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Exploring the hub genes and mechanisms of </w:t>
      </w:r>
      <w:r>
        <w:rPr>
          <w:rFonts w:hint="default" w:ascii="Times New Roman" w:hAnsi="Times New Roman" w:cs="Times New Roman"/>
          <w:b/>
          <w:bCs/>
          <w:i/>
          <w:iCs/>
          <w:sz w:val="32"/>
          <w:szCs w:val="32"/>
        </w:rPr>
        <w:t>Daphne altaica.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treating esophageal squamous cell carcinoma based on Network Pharmacology and Bioinformatics Analysis</w:t>
      </w:r>
    </w:p>
    <w:p>
      <w:pPr>
        <w:pStyle w:val="11"/>
        <w:jc w:val="both"/>
        <w:rPr>
          <w:rFonts w:hint="default" w:ascii="Times New Roman" w:hAnsi="Times New Roman" w:cs="Times New Roman"/>
          <w:u w:val="none"/>
        </w:rPr>
      </w:pPr>
      <w:r>
        <w:rPr>
          <w:rFonts w:hint="default" w:ascii="Times New Roman" w:hAnsi="Times New Roman" w:cs="Times New Roman"/>
          <w:u w:val="none"/>
        </w:rPr>
        <w:t>Sendaer Hailati</w:t>
      </w:r>
      <w:r>
        <w:rPr>
          <w:rFonts w:hint="default" w:ascii="Times New Roman" w:hAnsi="Times New Roman" w:cs="Times New Roman"/>
          <w:u w:val="none"/>
          <w:vertAlign w:val="superscript"/>
        </w:rPr>
        <w:t>1†</w:t>
      </w:r>
      <w:r>
        <w:rPr>
          <w:rFonts w:hint="default" w:ascii="Times New Roman" w:hAnsi="Times New Roman" w:cs="Times New Roman"/>
          <w:u w:val="none"/>
        </w:rPr>
        <w:t>, Ziruo Talihati</w:t>
      </w:r>
      <w:r>
        <w:rPr>
          <w:rFonts w:hint="default" w:ascii="Times New Roman" w:hAnsi="Times New Roman" w:cs="Times New Roman"/>
          <w:u w:val="none"/>
          <w:vertAlign w:val="superscript"/>
        </w:rPr>
        <w:t>1†</w:t>
      </w:r>
      <w:r>
        <w:rPr>
          <w:rFonts w:hint="default" w:ascii="Times New Roman" w:hAnsi="Times New Roman" w:cs="Times New Roman"/>
          <w:u w:val="none"/>
        </w:rPr>
        <w:t>, Kayisaier Abudurousuli</w:t>
      </w:r>
      <w:r>
        <w:rPr>
          <w:rFonts w:hint="default" w:ascii="Times New Roman" w:hAnsi="Times New Roman" w:cs="Times New Roman"/>
          <w:u w:val="none"/>
          <w:vertAlign w:val="superscript"/>
        </w:rPr>
        <w:t>1</w:t>
      </w:r>
      <w:r>
        <w:rPr>
          <w:rFonts w:hint="default" w:ascii="Times New Roman" w:hAnsi="Times New Roman" w:cs="Times New Roman"/>
          <w:u w:val="none"/>
        </w:rPr>
        <w:t>, Meng yuan Han</w:t>
      </w:r>
      <w:r>
        <w:rPr>
          <w:rFonts w:hint="default" w:ascii="Times New Roman" w:hAnsi="Times New Roman" w:cs="Times New Roman"/>
          <w:u w:val="none"/>
          <w:vertAlign w:val="superscript"/>
        </w:rPr>
        <w:t>1</w:t>
      </w:r>
      <w:r>
        <w:rPr>
          <w:rFonts w:hint="default" w:ascii="Times New Roman" w:hAnsi="Times New Roman" w:cs="Times New Roman"/>
          <w:u w:val="none"/>
        </w:rPr>
        <w:t>, Muhadaisi Nuer</w:t>
      </w:r>
      <w:r>
        <w:rPr>
          <w:rFonts w:hint="default" w:ascii="Times New Roman" w:hAnsi="Times New Roman" w:cs="Times New Roman"/>
          <w:u w:val="none"/>
          <w:vertAlign w:val="superscript"/>
        </w:rPr>
        <w:t>1</w:t>
      </w:r>
      <w:r>
        <w:rPr>
          <w:rFonts w:hint="default" w:ascii="Times New Roman" w:hAnsi="Times New Roman" w:cs="Times New Roman"/>
          <w:u w:val="none"/>
        </w:rPr>
        <w:t>,</w:t>
      </w:r>
      <w:r>
        <w:rPr>
          <w:rFonts w:hint="default" w:ascii="Times New Roman" w:hAnsi="Times New Roman" w:eastAsia="宋体" w:cs="Times New Roman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u w:val="none"/>
        </w:rPr>
        <w:t>Nawaz Khan</w:t>
      </w:r>
      <w:r>
        <w:rPr>
          <w:rFonts w:hint="default" w:ascii="Times New Roman" w:hAnsi="Times New Roman" w:cs="Times New Roman"/>
          <w:u w:val="none"/>
          <w:vertAlign w:val="superscript"/>
        </w:rPr>
        <w:t>1</w:t>
      </w:r>
      <w:r>
        <w:rPr>
          <w:rFonts w:hint="default" w:ascii="Times New Roman" w:hAnsi="Times New Roman" w:cs="Times New Roman"/>
          <w:u w:val="none"/>
        </w:rPr>
        <w:t>, Nulibiya Maihemuti</w:t>
      </w:r>
      <w:r>
        <w:rPr>
          <w:rFonts w:hint="default" w:ascii="Times New Roman" w:hAnsi="Times New Roman" w:cs="Times New Roman"/>
          <w:u w:val="none"/>
          <w:vertAlign w:val="superscript"/>
        </w:rPr>
        <w:t>1</w:t>
      </w:r>
      <w:r>
        <w:rPr>
          <w:rFonts w:hint="default" w:ascii="Times New Roman" w:hAnsi="Times New Roman" w:cs="Times New Roman"/>
          <w:u w:val="none"/>
        </w:rPr>
        <w:t>, Jimilihan Simayi</w:t>
      </w:r>
      <w:r>
        <w:rPr>
          <w:rFonts w:hint="default" w:ascii="Times New Roman" w:hAnsi="Times New Roman" w:cs="Times New Roman"/>
          <w:u w:val="none"/>
          <w:vertAlign w:val="superscript"/>
        </w:rPr>
        <w:t>1</w:t>
      </w:r>
      <w:r>
        <w:rPr>
          <w:rFonts w:hint="default" w:ascii="Times New Roman" w:hAnsi="Times New Roman" w:cs="Times New Roman"/>
          <w:u w:val="none"/>
        </w:rPr>
        <w:t>, Dilihuma Dilimulati</w:t>
      </w:r>
      <w:r>
        <w:rPr>
          <w:rFonts w:hint="default" w:ascii="Times New Roman" w:hAnsi="Times New Roman" w:cs="Times New Roman"/>
          <w:u w:val="none"/>
          <w:vertAlign w:val="superscript"/>
        </w:rPr>
        <w:t>1</w:t>
      </w:r>
      <w:r>
        <w:rPr>
          <w:rFonts w:hint="default" w:ascii="Times New Roman" w:hAnsi="Times New Roman" w:cs="Times New Roman"/>
          <w:u w:val="none"/>
        </w:rPr>
        <w:t>, Nuerbiye nueraihemaiti</w:t>
      </w:r>
      <w:r>
        <w:rPr>
          <w:rFonts w:hint="default" w:ascii="Times New Roman" w:hAnsi="Times New Roman" w:cs="Times New Roman"/>
          <w:u w:val="none"/>
          <w:vertAlign w:val="superscript"/>
        </w:rPr>
        <w:t>1</w:t>
      </w:r>
      <w:r>
        <w:rPr>
          <w:rFonts w:hint="default" w:ascii="Times New Roman" w:hAnsi="Times New Roman" w:cs="Times New Roman"/>
          <w:u w:val="none"/>
        </w:rPr>
        <w:t>, Wenting Zhou</w:t>
      </w:r>
      <w:r>
        <w:rPr>
          <w:rFonts w:hint="default" w:ascii="Times New Roman" w:hAnsi="Times New Roman" w:cs="Times New Roman"/>
          <w:u w:val="none"/>
          <w:vertAlign w:val="superscript"/>
        </w:rPr>
        <w:t>1*</w:t>
      </w:r>
    </w:p>
    <w:p>
      <w:pPr>
        <w:spacing w:before="240" w:after="0"/>
        <w:jc w:val="both"/>
        <w:rPr>
          <w:rFonts w:hint="default" w:ascii="Times New Roman" w:hAnsi="Times New Roman" w:eastAsia="宋体" w:cs="Times New Roman"/>
          <w:b/>
          <w:szCs w:val="24"/>
          <w:u w:val="none"/>
          <w:lang w:val="en-US" w:eastAsia="zh-CN"/>
        </w:rPr>
      </w:pPr>
      <w:r>
        <w:rPr>
          <w:rFonts w:hint="default" w:ascii="Times New Roman" w:hAnsi="Times New Roman" w:cs="Times New Roman"/>
          <w:u w:val="none"/>
        </w:rPr>
        <w:t>Sendaer Hailati, Ziruo Talihati</w:t>
      </w:r>
      <w:r>
        <w:rPr>
          <w:rFonts w:hint="default" w:ascii="Times New Roman" w:hAnsi="Times New Roman" w:eastAsia="宋体" w:cs="Times New Roman"/>
          <w:u w:val="none"/>
          <w:lang w:val="en-US" w:eastAsia="zh-CN"/>
        </w:rPr>
        <w:t xml:space="preserve">, and </w:t>
      </w:r>
      <w:r>
        <w:rPr>
          <w:rFonts w:hint="default" w:ascii="Times New Roman" w:hAnsi="Times New Roman" w:cs="Times New Roman"/>
          <w:szCs w:val="24"/>
          <w:u w:val="none"/>
        </w:rPr>
        <w:t>Wenting Zhou</w:t>
      </w:r>
      <w:r>
        <w:rPr>
          <w:rFonts w:hint="default" w:ascii="Times New Roman" w:hAnsi="Times New Roman" w:eastAsia="宋体" w:cs="Times New Roman"/>
          <w:szCs w:val="24"/>
          <w:u w:val="none"/>
          <w:lang w:val="en-US" w:eastAsia="zh-CN"/>
        </w:rPr>
        <w:t xml:space="preserve"> have contributed equally to this work.</w:t>
      </w:r>
    </w:p>
    <w:p>
      <w:pPr>
        <w:spacing w:before="240" w:after="0"/>
        <w:rPr>
          <w:rFonts w:hint="default" w:ascii="Times New Roman" w:hAnsi="Times New Roman" w:cs="Times New Roman"/>
          <w:szCs w:val="24"/>
          <w:u w:val="none"/>
        </w:rPr>
      </w:pPr>
      <w:r>
        <w:rPr>
          <w:rFonts w:hint="default" w:ascii="Times New Roman" w:hAnsi="Times New Roman" w:cs="Times New Roman"/>
          <w:b/>
          <w:szCs w:val="24"/>
          <w:u w:val="none"/>
        </w:rPr>
        <w:t xml:space="preserve">* Correspondence: </w:t>
      </w:r>
      <w:r>
        <w:rPr>
          <w:rFonts w:hint="default" w:ascii="Times New Roman" w:hAnsi="Times New Roman" w:cs="Times New Roman"/>
          <w:b/>
          <w:szCs w:val="24"/>
          <w:u w:val="none"/>
        </w:rPr>
        <w:br w:type="textWrapping"/>
      </w:r>
      <w:r>
        <w:rPr>
          <w:rFonts w:hint="default" w:ascii="Times New Roman" w:hAnsi="Times New Roman" w:cs="Times New Roman"/>
          <w:szCs w:val="24"/>
          <w:u w:val="none"/>
        </w:rPr>
        <w:t>Wenting Zhou</w:t>
      </w:r>
      <w:r>
        <w:rPr>
          <w:rFonts w:hint="default" w:ascii="Times New Roman" w:hAnsi="Times New Roman" w:cs="Times New Roman"/>
          <w:szCs w:val="24"/>
          <w:u w:val="none"/>
        </w:rPr>
        <w:br w:type="textWrapping"/>
      </w:r>
      <w:r>
        <w:rPr>
          <w:rFonts w:hint="default" w:ascii="Times New Roman" w:hAnsi="Times New Roman" w:cs="Times New Roman"/>
          <w:szCs w:val="24"/>
          <w:u w:val="none"/>
        </w:rPr>
        <w:t>zwt@xjmu.edu.cn</w:t>
      </w:r>
    </w:p>
    <w:p>
      <w:pPr>
        <w:spacing w:before="240" w:after="0"/>
        <w:jc w:val="both"/>
        <w:rPr>
          <w:rFonts w:hint="default" w:ascii="Times New Roman" w:hAnsi="Times New Roman" w:cs="Times New Roman"/>
          <w:szCs w:val="24"/>
          <w:u w:val="none"/>
        </w:rPr>
      </w:pPr>
      <w:r>
        <w:rPr>
          <w:rFonts w:hint="default" w:ascii="Times New Roman" w:hAnsi="Times New Roman" w:cs="Times New Roman"/>
          <w:szCs w:val="24"/>
          <w:u w:val="none"/>
          <w:vertAlign w:val="superscript"/>
        </w:rPr>
        <w:t>1</w:t>
      </w:r>
      <w:r>
        <w:rPr>
          <w:rFonts w:hint="default" w:ascii="Times New Roman" w:hAnsi="Times New Roman" w:cs="Times New Roman"/>
          <w:szCs w:val="24"/>
          <w:u w:val="none"/>
        </w:rPr>
        <w:t>Department of Pharmacology, School of Pharmacy, Xinjiang Medical University, Urumqi, Xinjiang P.R. China.</w:t>
      </w:r>
    </w:p>
    <w:p>
      <w:pPr>
        <w:spacing w:before="240" w:after="0"/>
        <w:rPr>
          <w:rFonts w:hint="eastAsia" w:eastAsia="宋体"/>
          <w:b/>
          <w:bCs/>
          <w:lang w:val="en-US" w:eastAsia="zh-CN"/>
        </w:rPr>
      </w:pPr>
      <w:bookmarkStart w:id="0" w:name="_GoBack"/>
      <w:r>
        <w:rPr>
          <w:rFonts w:hint="eastAsia"/>
          <w:b/>
          <w:bCs/>
        </w:rPr>
        <w:t>Supplementary Table</w:t>
      </w:r>
      <w:bookmarkEnd w:id="0"/>
      <w:r>
        <w:rPr>
          <w:rFonts w:hint="eastAsia" w:eastAsia="宋体"/>
          <w:b/>
          <w:bCs/>
          <w:lang w:val="en-US" w:eastAsia="zh-CN"/>
        </w:rPr>
        <w:t xml:space="preserve"> 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Table </w:t>
      </w:r>
      <w:r>
        <w:rPr>
          <w:rFonts w:hint="eastAsia" w:cs="Times New Roman"/>
          <w:b/>
          <w:bCs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127 DEGs in ESCC </w:t>
      </w:r>
      <w:r>
        <w:rPr>
          <w:rFonts w:hint="eastAsia" w:ascii="Times New Roman" w:hAnsi="Times New Roman" w:cs="Times New Roman"/>
          <w:b/>
          <w:bCs/>
          <w:vertAlign w:val="baseline"/>
          <w:lang w:val="en-US" w:eastAsia="zh-CN"/>
        </w:rPr>
        <w:t>patients cancer and paracancerous tissues</w:t>
      </w:r>
    </w:p>
    <w:tbl>
      <w:tblPr>
        <w:tblStyle w:val="9"/>
        <w:tblW w:w="4993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247"/>
        <w:gridCol w:w="1371"/>
        <w:gridCol w:w="1597"/>
        <w:gridCol w:w="1103"/>
        <w:gridCol w:w="1232"/>
        <w:gridCol w:w="1538"/>
        <w:gridCol w:w="118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No.</w:t>
            </w:r>
          </w:p>
        </w:tc>
        <w:tc>
          <w:tcPr>
            <w:tcW w:w="624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Gene</w:t>
            </w:r>
          </w:p>
        </w:tc>
        <w:tc>
          <w:tcPr>
            <w:tcW w:w="686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Log2 FC</w:t>
            </w:r>
          </w:p>
        </w:tc>
        <w:tc>
          <w:tcPr>
            <w:tcW w:w="800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P.Value</w:t>
            </w:r>
          </w:p>
        </w:tc>
        <w:tc>
          <w:tcPr>
            <w:tcW w:w="552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No.</w:t>
            </w:r>
          </w:p>
        </w:tc>
        <w:tc>
          <w:tcPr>
            <w:tcW w:w="617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Gene</w:t>
            </w:r>
          </w:p>
        </w:tc>
        <w:tc>
          <w:tcPr>
            <w:tcW w:w="770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Log2 FC</w:t>
            </w:r>
          </w:p>
        </w:tc>
        <w:tc>
          <w:tcPr>
            <w:tcW w:w="595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P.Value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624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RASEF</w:t>
            </w:r>
          </w:p>
        </w:tc>
        <w:tc>
          <w:tcPr>
            <w:tcW w:w="686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2.0913</w:t>
            </w:r>
          </w:p>
        </w:tc>
        <w:tc>
          <w:tcPr>
            <w:tcW w:w="800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0.0009</w:t>
            </w:r>
          </w:p>
        </w:tc>
        <w:tc>
          <w:tcPr>
            <w:tcW w:w="552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65</w:t>
            </w:r>
          </w:p>
        </w:tc>
        <w:tc>
          <w:tcPr>
            <w:tcW w:w="617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KCNMB1</w:t>
            </w:r>
          </w:p>
        </w:tc>
        <w:tc>
          <w:tcPr>
            <w:tcW w:w="770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-2.6173</w:t>
            </w:r>
          </w:p>
        </w:tc>
        <w:tc>
          <w:tcPr>
            <w:tcW w:w="595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ANK2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-2.0190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66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KIF2C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2.0918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TMEM35A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-2.3142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0.0021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67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SMTN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-2.0530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REEP1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-2.4221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68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EPCAM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2.3783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LYVE1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-2.7573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69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ECRG4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-2.8483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CILP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-2.2114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70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PCOLCE2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-2.6173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PLP1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-2.9938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71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PDK4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-3.3843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0.0152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AFF3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-2.1250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72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SYNPO2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-3.0753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SCARA5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-2.2688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73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KRT7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2.1226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FAM149A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-2.0573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74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SCN7A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-2.5226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DAAM2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-2.0357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75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TMEM100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-2.1280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POSTN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2.0047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76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ACTG2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-2.4070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PDZRN4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-2.5093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77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PLAC9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-2.0633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IGF2BP3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3.3561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78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MUCL1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2.9782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NUF2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2.0643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79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BUB1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2.0628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SORBS1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-2.5792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0.0040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80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MYH11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-2.6276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CACNB2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-2.2303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0.0040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81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SORBS2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-2.7540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NEK2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2.4479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82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FHL5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-2.2554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CXCL9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2.2258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83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PGM5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-2.6893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MYOCD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-2.9713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84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CEP55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2.1273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KIF4A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2.3558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85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ECT2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2.0210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ATP1A2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-2.9810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86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COL4A6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-2.5233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RAB9B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-2.2345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87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LINC00702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-2.0567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DKK1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2.5011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88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HLF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-2.3871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TPX2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2.0484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89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STEAP4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-2.1552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TOP2A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2.3735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90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CHRDL1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-2.6830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27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CXCL10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2.2361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91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UHRF1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2.0126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KIF20A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2.3587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92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GREM2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-2.2273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CDCA7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2.0282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93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DPT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-2.4251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MYOC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-3.2082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94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CAPN14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-2.9296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0.0252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31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PRUNE2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-2.4478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95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P2RY14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-2.0958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CFD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-2.7405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96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DES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-2.8692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33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TTK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2.2688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97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SYNM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-2.4671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FAM107A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-2.5101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98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PTGS2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-2.2233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0.0268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35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TCEAL2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-2.4427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99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PTX3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-2.5916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0.0269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MTURN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-2.1042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100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C7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-2.7278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37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DEPDC1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2.2943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101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PLN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-2.3413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LMO3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-2.4277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102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ADH1B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-3.5526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39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HMGB3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2.0254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0.0070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103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SFRP1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-2.0802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NEGR1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-2.6479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0.0073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104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MMP3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3.3665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0.0292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41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ANGPTL1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-2.4096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0.0074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105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HOXD10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2.4100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0.0292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42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CTHRC1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3.1535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0.0078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106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PGM5-AS1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-2.7376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43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SGO2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2.0446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0.0078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107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BCHE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-3.0085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44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RBPMS2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-2.2367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0.0080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108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APOBEC3B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2.6421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45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ADAMTS1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-2.3251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0.0080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109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MMP1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4.9384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46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MFAP4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-2.1600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0.0084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110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HBB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-2.1222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47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MYOT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-2.1924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0.0085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111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SMPX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-2.4834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48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FXYD1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-2.1021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112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IL6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-2.4295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49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BUB1B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2.2700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113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CRCT1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-2.4628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0.0352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50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CASQ2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-2.3378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114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CXCL12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-2.6931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51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IGF2BP2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2.4522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0.0105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115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MAGEA6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3.2782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52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LMOD1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-2.5082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0.0105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116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ADAMDEC1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2.5249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53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CMA1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-2.0722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0.0108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117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CDKN2A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2.2426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0.0381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54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CDC20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2.5524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0.0109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118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CCN4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2.1730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55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TRIP13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2.1418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0.0111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119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CXCR2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-2.3111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56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MAMDC2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-2.2075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0.0115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120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MTFR2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2.0080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57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FHL1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-2.0340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0.0115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121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ABCA8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-2.5088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58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RHPN2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2.3325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0.0115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122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CFAP251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2.3676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0.0452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59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CST1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2.9097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0.0115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123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PCP4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-2.7380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0.0453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60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MT1M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-2.6659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0.0125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124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OGN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-2.8636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61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MAP7D2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2.2432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0.0131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125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MMRN1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-2.1509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62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DLGAP5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2.3753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0.0133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126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GPM6A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-2.9800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63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CNN1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-2.6966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0.0133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127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MMP12</w:t>
            </w: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3.4766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64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CTNNA3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-2.4921</w:t>
            </w:r>
          </w:p>
        </w:tc>
        <w:tc>
          <w:tcPr>
            <w:tcW w:w="8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0.0134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pStyle w:val="4"/>
        <w:numPr>
          <w:numId w:val="0"/>
        </w:numPr>
        <w:spacing w:line="240" w:lineRule="auto"/>
        <w:ind w:leftChars="0"/>
        <w:rPr>
          <w:rFonts w:hint="eastAsia" w:ascii="Times New Roman" w:hAnsi="Times New Roman" w:cs="Times New Roman"/>
          <w:b/>
          <w:bCs/>
          <w:lang w:val="en-US" w:eastAsia="zh-CN"/>
        </w:rPr>
      </w:pPr>
      <w:r>
        <w:t xml:space="preserve">Supplementary </w:t>
      </w:r>
      <w:r>
        <w:rPr>
          <w:rFonts w:hint="eastAsia" w:eastAsia="宋体"/>
          <w:lang w:val="en-US" w:eastAsia="zh-CN"/>
        </w:rPr>
        <w:t>Table 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Table </w:t>
      </w:r>
      <w:r>
        <w:rPr>
          <w:rFonts w:hint="eastAsia" w:cs="Times New Roman"/>
          <w:b/>
          <w:bCs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The information of significant GO analysis</w:t>
      </w:r>
    </w:p>
    <w:tbl>
      <w:tblPr>
        <w:tblStyle w:val="9"/>
        <w:tblW w:w="924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382"/>
        <w:gridCol w:w="4811"/>
        <w:gridCol w:w="869"/>
        <w:gridCol w:w="139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4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2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Term ID</w:t>
            </w:r>
          </w:p>
        </w:tc>
        <w:tc>
          <w:tcPr>
            <w:tcW w:w="4811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Term</w:t>
            </w:r>
          </w:p>
        </w:tc>
        <w:tc>
          <w:tcPr>
            <w:tcW w:w="869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Count</w:t>
            </w:r>
          </w:p>
        </w:tc>
        <w:tc>
          <w:tcPr>
            <w:tcW w:w="1396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P.Value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BP</w:t>
            </w:r>
          </w:p>
        </w:tc>
        <w:tc>
          <w:tcPr>
            <w:tcW w:w="1382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GO:0022617</w:t>
            </w:r>
          </w:p>
        </w:tc>
        <w:tc>
          <w:tcPr>
            <w:tcW w:w="4811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tbl>
            <w:tblPr>
              <w:tblStyle w:val="8"/>
              <w:tblW w:w="7755" w:type="dxa"/>
              <w:tblInd w:w="-1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822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77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40" w:lineRule="auto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extracellular matrix disassembly</w:t>
                  </w:r>
                </w:p>
              </w:tc>
            </w:tr>
          </w:tbl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69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96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1.60E-07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BP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GO:0006925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inflammatory cell apoptotic process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3.04E-07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BP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GO:0032963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collagen metabolic process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4.74E-07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BP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GO:0033028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myeloid cell apoptotic process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1.13E-06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BP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GO:0035633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maintenance of permeability of blood-brain barrier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1.23E-06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BP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GO:0030574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collagen catabolic process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1.76E-06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BP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GO:0010942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positive regulation of cell death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2.86E-06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BP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GO:0019221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cytokine-mediated signaling pathway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4.38E-06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BP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GO:0150077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regulation of neuroinflammatory response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4.70E-06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BP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GO:0001781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neutrophil apoptotic process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8.63E-06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CC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GO:0005788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endoplasmic reticulum lumen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0.000858804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CC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GO:0005896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interleukin-6 receptor complex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0.001926576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CC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GO:0031262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Ndc80 complex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0.002568011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CC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GO:0035985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senescence-associated heterochromatin focus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0.002568011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CC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GO:0005694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chromosome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0.002677477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CC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GO:0031012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extracellular matrix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0.002906251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CC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GO:0000776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kinetochore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0.003077949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CC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GO:0000922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spindle pole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0.004117304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CC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GO:0005641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nuclear envelope lumen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0.005769523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CC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GO:0000775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chromosome, centromeric region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0.006034881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MF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GO:0008237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metallopeptidase activity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0.000149015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MF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GO:0019899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enzyme binding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0.001113457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MF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GO:0004175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endopeptidase activity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0.001311843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MF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GO:0004222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metalloendopeptidase activity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0.001735341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MF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GO:0004104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cholinesterase activity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0.00212039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MF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GO:0019959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interleukin-8 binding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0.00212039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MF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GO:0033265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 binding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0.00212039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MF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GO:0042826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histone deacetylase binding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0.002270993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MF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GO:0003916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DNA topoisomerase activity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0.003531693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MF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GO:0004252</w:t>
            </w:r>
          </w:p>
        </w:tc>
        <w:tc>
          <w:tcPr>
            <w:tcW w:w="48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serine-type endopeptidase activity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0.00382324</w:t>
            </w:r>
          </w:p>
        </w:tc>
      </w:tr>
    </w:tbl>
    <w:p>
      <w:pPr>
        <w:spacing w:before="240" w:after="0"/>
        <w:rPr>
          <w:rFonts w:hint="default" w:eastAsia="宋体"/>
          <w:b/>
          <w:bCs/>
          <w:lang w:val="en-US" w:eastAsia="zh-CN"/>
        </w:rPr>
      </w:pPr>
    </w:p>
    <w:sectPr>
      <w:headerReference r:id="rId5" w:type="default"/>
      <w:pgSz w:w="12240" w:h="15839"/>
      <w:pgMar w:top="1140" w:right="1179" w:bottom="1140" w:left="128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sz w:val="13"/>
        <w:szCs w:val="18"/>
      </w:rPr>
    </w:pPr>
    <w:r>
      <w:rPr>
        <w:rFonts w:hint="eastAsia" w:ascii="Times New Roman" w:hAnsi="Times New Roman" w:cs="Times New Roman"/>
        <w:color w:val="000000"/>
        <w:kern w:val="0"/>
        <w:sz w:val="21"/>
        <w:szCs w:val="21"/>
      </w:rPr>
      <w:t>Journal of Cancer Research and Clinical Oncology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3ZTcwMTAwMTIyMzkwYWZhYTdmYTIzZjQ0ZDFiZTkifQ=="/>
  </w:docVars>
  <w:rsids>
    <w:rsidRoot w:val="03891232"/>
    <w:rsid w:val="0389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qFormat/>
    <w:uiPriority w:val="2"/>
    <w:pPr>
      <w:numPr>
        <w:ilvl w:val="1"/>
      </w:numPr>
      <w:spacing w:after="200"/>
      <w:outlineLvl w:val="1"/>
    </w:p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Subtitle"/>
    <w:basedOn w:val="1"/>
    <w:next w:val="1"/>
    <w:unhideWhenUsed/>
    <w:qFormat/>
    <w:uiPriority w:val="99"/>
    <w:pPr>
      <w:spacing w:before="240"/>
    </w:pPr>
    <w:rPr>
      <w:rFonts w:cs="Times New Roman"/>
      <w:b/>
      <w:szCs w:val="24"/>
    </w:rPr>
  </w:style>
  <w:style w:type="table" w:styleId="9">
    <w:name w:val="Table Grid"/>
    <w:basedOn w:val="8"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Author List"/>
    <w:basedOn w:val="7"/>
    <w:next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2023-04-13T08:35:00Z</dcterms:created>
  <dc:creator>0</dc:creator>
  <cp:lastModifiedBy>0</cp:lastModifiedBy>
  <dcterms:modified xsi:type="dcterms:W3CDTF">2023-04-13T08:47:21Z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A7B4089E130647599DC161A1AF3BA191_11</vt:lpwstr>
  </property>
</Properties>
</file>