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2B13F" w14:textId="77777777" w:rsidR="00A00AD5" w:rsidRPr="00DF76BE" w:rsidRDefault="00A00AD5" w:rsidP="00A00AD5">
      <w:pPr>
        <w:widowControl/>
        <w:rPr>
          <w:rFonts w:ascii="Times New Roman" w:eastAsia="ＭＳ Ｐゴシック" w:hAnsi="Times New Roman" w:cs="Times New Roman"/>
          <w:b/>
          <w:bCs/>
          <w:kern w:val="0"/>
          <w:sz w:val="32"/>
          <w:szCs w:val="32"/>
        </w:rPr>
      </w:pPr>
      <w:r w:rsidRPr="00DF76BE">
        <w:rPr>
          <w:rFonts w:ascii="Times New Roman" w:eastAsia="ＭＳ Ｐゴシック" w:hAnsi="Times New Roman" w:cs="Times New Roman" w:hint="eastAsia"/>
          <w:b/>
          <w:bCs/>
          <w:kern w:val="0"/>
          <w:sz w:val="32"/>
          <w:szCs w:val="32"/>
        </w:rPr>
        <w:t>S</w:t>
      </w:r>
      <w:r w:rsidRPr="00DF76BE">
        <w:rPr>
          <w:rFonts w:ascii="Times New Roman" w:eastAsia="ＭＳ Ｐゴシック" w:hAnsi="Times New Roman" w:cs="Times New Roman"/>
          <w:b/>
          <w:bCs/>
          <w:kern w:val="0"/>
          <w:sz w:val="32"/>
          <w:szCs w:val="32"/>
        </w:rPr>
        <w:t>upplementary Figures</w:t>
      </w:r>
    </w:p>
    <w:p w14:paraId="6E367FD2" w14:textId="77777777" w:rsidR="00A00AD5" w:rsidRPr="00DF76BE" w:rsidRDefault="00A00AD5" w:rsidP="00A00AD5">
      <w:pPr>
        <w:rPr>
          <w:rFonts w:ascii="Times New Roman" w:hAnsi="Times New Roman" w:cs="Times New Roman"/>
        </w:rPr>
      </w:pPr>
      <w:r w:rsidRPr="00DF76BE">
        <w:rPr>
          <w:rFonts w:ascii="Times New Roman" w:eastAsia="ＭＳ Ｐゴシック" w:hAnsi="Times New Roman" w:cs="Times New Roman"/>
          <w:b/>
          <w:bCs/>
          <w:noProof/>
          <w:color w:val="000000"/>
          <w:kern w:val="0"/>
          <w:sz w:val="24"/>
          <w:szCs w:val="24"/>
          <w:bdr w:val="none" w:sz="0" w:space="0" w:color="auto" w:frame="1"/>
          <w:lang w:eastAsia="en-IN"/>
        </w:rPr>
        <w:drawing>
          <wp:inline distT="0" distB="0" distL="0" distR="0" wp14:anchorId="742690D5" wp14:editId="068F3A50">
            <wp:extent cx="5400040" cy="2362835"/>
            <wp:effectExtent l="0" t="0" r="0" b="0"/>
            <wp:docPr id="10" name="図 10" descr="ホワイトボ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ホワイトボード&#10;&#10;自動的に生成された説明"/>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2362835"/>
                    </a:xfrm>
                    <a:prstGeom prst="rect">
                      <a:avLst/>
                    </a:prstGeom>
                    <a:noFill/>
                    <a:ln>
                      <a:noFill/>
                    </a:ln>
                  </pic:spPr>
                </pic:pic>
              </a:graphicData>
            </a:graphic>
          </wp:inline>
        </w:drawing>
      </w:r>
    </w:p>
    <w:p w14:paraId="3BD2957F" w14:textId="77777777" w:rsidR="00A00AD5" w:rsidRPr="00DF76BE" w:rsidRDefault="00A00AD5" w:rsidP="00A00AD5">
      <w:pPr>
        <w:widowControl/>
        <w:rPr>
          <w:rFonts w:ascii="Times New Roman" w:eastAsia="ＭＳ Ｐゴシック" w:hAnsi="Times New Roman" w:cs="Times New Roman"/>
          <w:kern w:val="0"/>
          <w:sz w:val="24"/>
          <w:szCs w:val="24"/>
        </w:rPr>
      </w:pPr>
    </w:p>
    <w:p w14:paraId="18BE0CDE"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Supplementary Fig. 1:</w:t>
      </w:r>
      <w:r w:rsidRPr="00DF76BE">
        <w:rPr>
          <w:rFonts w:ascii="Times New Roman" w:eastAsia="ＭＳ Ｐゴシック" w:hAnsi="Times New Roman" w:cs="Times New Roman"/>
          <w:color w:val="000000"/>
          <w:kern w:val="0"/>
          <w:sz w:val="24"/>
          <w:szCs w:val="24"/>
        </w:rPr>
        <w:t xml:space="preserve"> </w:t>
      </w:r>
      <w:r w:rsidRPr="00DF76BE">
        <w:rPr>
          <w:rFonts w:ascii="Times New Roman" w:eastAsia="ＭＳ Ｐゴシック" w:hAnsi="Times New Roman" w:cs="Times New Roman"/>
          <w:b/>
          <w:bCs/>
          <w:i/>
          <w:iCs/>
          <w:color w:val="000000"/>
          <w:kern w:val="0"/>
          <w:sz w:val="24"/>
          <w:szCs w:val="24"/>
        </w:rPr>
        <w:t>In vitro</w:t>
      </w:r>
      <w:r w:rsidRPr="00DF76BE">
        <w:rPr>
          <w:rFonts w:ascii="Times New Roman" w:eastAsia="ＭＳ Ｐゴシック" w:hAnsi="Times New Roman" w:cs="Times New Roman"/>
          <w:b/>
          <w:bCs/>
          <w:color w:val="000000"/>
          <w:kern w:val="0"/>
          <w:sz w:val="24"/>
          <w:szCs w:val="24"/>
        </w:rPr>
        <w:t xml:space="preserve"> SpCas9-gRNA RNP preparation.</w:t>
      </w:r>
    </w:p>
    <w:p w14:paraId="4E00716C"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a</w:t>
      </w:r>
      <w:r w:rsidRPr="00DF76BE">
        <w:rPr>
          <w:rFonts w:ascii="Times New Roman" w:eastAsia="ＭＳ Ｐゴシック" w:hAnsi="Times New Roman" w:cs="Times New Roman"/>
          <w:color w:val="000000"/>
          <w:kern w:val="0"/>
          <w:sz w:val="24"/>
          <w:szCs w:val="24"/>
        </w:rPr>
        <w:t xml:space="preserve"> SDS-PAGE image showing the recombinant SpCas9-NLS protein purity; </w:t>
      </w:r>
      <w:r w:rsidRPr="00DF76BE">
        <w:rPr>
          <w:rFonts w:ascii="Times New Roman" w:eastAsia="ＭＳ Ｐゴシック" w:hAnsi="Times New Roman" w:cs="Times New Roman"/>
          <w:b/>
          <w:bCs/>
          <w:color w:val="000000"/>
          <w:kern w:val="0"/>
          <w:sz w:val="24"/>
          <w:szCs w:val="24"/>
        </w:rPr>
        <w:t>b</w:t>
      </w:r>
      <w:r w:rsidRPr="00DF76BE">
        <w:rPr>
          <w:rFonts w:ascii="Times New Roman" w:eastAsia="ＭＳ Ｐゴシック" w:hAnsi="Times New Roman" w:cs="Times New Roman"/>
          <w:color w:val="000000"/>
          <w:kern w:val="0"/>
          <w:sz w:val="24"/>
          <w:szCs w:val="24"/>
        </w:rPr>
        <w:t xml:space="preserve"> The Urea-PAGE image of the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transcribed gRNA targeting the </w:t>
      </w:r>
      <w:r w:rsidRPr="00DF76BE">
        <w:rPr>
          <w:rFonts w:ascii="Times New Roman" w:eastAsia="ＭＳ Ｐゴシック" w:hAnsi="Times New Roman" w:cs="Times New Roman"/>
          <w:i/>
          <w:iCs/>
          <w:color w:val="000000"/>
          <w:kern w:val="0"/>
          <w:sz w:val="24"/>
          <w:szCs w:val="24"/>
        </w:rPr>
        <w:t>OsPDS</w:t>
      </w:r>
      <w:r w:rsidRPr="00DF76BE">
        <w:rPr>
          <w:rFonts w:ascii="Times New Roman" w:eastAsia="ＭＳ Ｐゴシック" w:hAnsi="Times New Roman" w:cs="Times New Roman"/>
          <w:color w:val="000000"/>
          <w:kern w:val="0"/>
          <w:sz w:val="24"/>
          <w:szCs w:val="24"/>
        </w:rPr>
        <w:t xml:space="preserve"> gene; </w:t>
      </w:r>
      <w:r w:rsidRPr="00DF76BE">
        <w:rPr>
          <w:rFonts w:ascii="Times New Roman" w:eastAsia="ＭＳ Ｐゴシック" w:hAnsi="Times New Roman" w:cs="Times New Roman"/>
          <w:b/>
          <w:bCs/>
          <w:color w:val="000000"/>
          <w:kern w:val="0"/>
          <w:sz w:val="24"/>
          <w:szCs w:val="24"/>
        </w:rPr>
        <w:t>c</w:t>
      </w:r>
      <w:r w:rsidRPr="00DF76BE">
        <w:rPr>
          <w:rFonts w:ascii="Times New Roman" w:eastAsia="ＭＳ Ｐゴシック" w:hAnsi="Times New Roman" w:cs="Times New Roman"/>
          <w:color w:val="000000"/>
          <w:kern w:val="0"/>
          <w:sz w:val="24"/>
          <w:szCs w:val="24"/>
        </w:rPr>
        <w:t xml:space="preserv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cleavage assay using the recombinant RNPs as an enzyme and the PCR product of </w:t>
      </w:r>
      <w:r w:rsidRPr="00DF76BE">
        <w:rPr>
          <w:rFonts w:ascii="Times New Roman" w:eastAsia="ＭＳ Ｐゴシック" w:hAnsi="Times New Roman" w:cs="Times New Roman"/>
          <w:i/>
          <w:iCs/>
          <w:color w:val="000000"/>
          <w:kern w:val="0"/>
          <w:sz w:val="24"/>
          <w:szCs w:val="24"/>
        </w:rPr>
        <w:t>OsPDS</w:t>
      </w:r>
      <w:r w:rsidRPr="00DF76BE">
        <w:rPr>
          <w:rFonts w:ascii="Times New Roman" w:eastAsia="ＭＳ Ｐゴシック" w:hAnsi="Times New Roman" w:cs="Times New Roman"/>
          <w:color w:val="000000"/>
          <w:kern w:val="0"/>
          <w:sz w:val="24"/>
          <w:szCs w:val="24"/>
        </w:rPr>
        <w:t xml:space="preserve"> as a substrate. The upper drawing shows the schematic image of the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cleavage assay. The pseudo-electrophoresis image was reconstituted from the electrophoresis data from the output of capillary electrophoresis, which analyzed the products of the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cleavage reaction (left). The DNA digestion activity, calculated by signals from undigested products / all the signals (see Methods in detail), are highlighted on the right. </w:t>
      </w:r>
    </w:p>
    <w:p w14:paraId="020C0EBC" w14:textId="77777777" w:rsidR="00A00AD5" w:rsidRPr="00DF76BE" w:rsidRDefault="00A00AD5" w:rsidP="00A00AD5">
      <w:pPr>
        <w:widowControl/>
        <w:rPr>
          <w:rFonts w:ascii="Times New Roman" w:eastAsia="ＭＳ Ｐゴシック" w:hAnsi="Times New Roman" w:cs="Times New Roman"/>
          <w:kern w:val="0"/>
          <w:sz w:val="24"/>
          <w:szCs w:val="24"/>
        </w:rPr>
      </w:pPr>
    </w:p>
    <w:p w14:paraId="239DF540" w14:textId="77777777" w:rsidR="00A00AD5" w:rsidRPr="00DF76BE" w:rsidRDefault="00A00AD5" w:rsidP="00A00AD5">
      <w:pPr>
        <w:rPr>
          <w:rFonts w:ascii="Times New Roman" w:hAnsi="Times New Roman" w:cs="Times New Roman"/>
          <w:b/>
          <w:bCs/>
          <w:sz w:val="24"/>
          <w:szCs w:val="24"/>
        </w:rPr>
      </w:pPr>
    </w:p>
    <w:p w14:paraId="7DD65F81" w14:textId="77777777" w:rsidR="00A00AD5" w:rsidRPr="00DF76BE" w:rsidRDefault="00A00AD5" w:rsidP="00A00AD5">
      <w:pPr>
        <w:rPr>
          <w:rFonts w:ascii="Times New Roman" w:hAnsi="Times New Roman" w:cs="Times New Roman"/>
        </w:rPr>
      </w:pPr>
      <w:r w:rsidRPr="00DF76BE">
        <w:rPr>
          <w:rFonts w:ascii="Times New Roman" w:eastAsia="ＭＳ Ｐゴシック" w:hAnsi="Times New Roman" w:cs="Times New Roman"/>
          <w:noProof/>
          <w:color w:val="000000"/>
          <w:kern w:val="0"/>
          <w:sz w:val="24"/>
          <w:szCs w:val="24"/>
          <w:bdr w:val="none" w:sz="0" w:space="0" w:color="auto" w:frame="1"/>
          <w:lang w:eastAsia="en-IN"/>
        </w:rPr>
        <w:drawing>
          <wp:inline distT="0" distB="0" distL="0" distR="0" wp14:anchorId="3FBCB726" wp14:editId="45CB0D76">
            <wp:extent cx="5400040" cy="1113155"/>
            <wp:effectExtent l="0" t="0" r="0" b="4445"/>
            <wp:docPr id="8" name="図 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1113155"/>
                    </a:xfrm>
                    <a:prstGeom prst="rect">
                      <a:avLst/>
                    </a:prstGeom>
                    <a:noFill/>
                    <a:ln>
                      <a:noFill/>
                    </a:ln>
                  </pic:spPr>
                </pic:pic>
              </a:graphicData>
            </a:graphic>
          </wp:inline>
        </w:drawing>
      </w:r>
    </w:p>
    <w:p w14:paraId="241AE51B" w14:textId="77777777" w:rsidR="00A00AD5" w:rsidRPr="00DF76BE" w:rsidRDefault="00A00AD5" w:rsidP="00A00AD5">
      <w:pPr>
        <w:widowControl/>
        <w:rPr>
          <w:rFonts w:ascii="Times New Roman" w:eastAsia="ＭＳ Ｐゴシック" w:hAnsi="Times New Roman" w:cs="Times New Roman"/>
          <w:kern w:val="0"/>
          <w:sz w:val="24"/>
          <w:szCs w:val="24"/>
        </w:rPr>
      </w:pPr>
    </w:p>
    <w:p w14:paraId="36D3FF6C"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Supplementary Fig. 2: Representative genome sequence in rice calli harboring mutations developed by RNP delivery (left) and plasmid delivery (right) using the sonication-assisted whisker method.</w:t>
      </w:r>
    </w:p>
    <w:p w14:paraId="7DFA9810" w14:textId="77777777" w:rsidR="00A00AD5" w:rsidRPr="00DF76BE" w:rsidRDefault="00A00AD5" w:rsidP="00A00AD5">
      <w:pPr>
        <w:widowControl/>
        <w:jc w:val="left"/>
        <w:rPr>
          <w:rFonts w:ascii="Times New Roman" w:hAnsi="Times New Roman" w:cs="Times New Roman"/>
        </w:rPr>
      </w:pPr>
      <w:r w:rsidRPr="00DF76BE">
        <w:rPr>
          <w:rFonts w:ascii="Times New Roman" w:hAnsi="Times New Roman" w:cs="Times New Roman"/>
        </w:rPr>
        <w:br w:type="page"/>
      </w:r>
    </w:p>
    <w:p w14:paraId="11A8A91B" w14:textId="77777777" w:rsidR="00A00AD5" w:rsidRPr="00DF76BE" w:rsidRDefault="00A00AD5" w:rsidP="00A00AD5">
      <w:pPr>
        <w:rPr>
          <w:rFonts w:ascii="Times New Roman" w:hAnsi="Times New Roman" w:cs="Times New Roman"/>
        </w:rPr>
      </w:pPr>
    </w:p>
    <w:p w14:paraId="0E6C3E10" w14:textId="77777777" w:rsidR="00A00AD5" w:rsidRPr="00DF76BE" w:rsidRDefault="00A00AD5" w:rsidP="00A00AD5">
      <w:pPr>
        <w:rPr>
          <w:rFonts w:ascii="Times New Roman" w:hAnsi="Times New Roman" w:cs="Times New Roman"/>
        </w:rPr>
      </w:pPr>
      <w:r w:rsidRPr="00DF76BE">
        <w:rPr>
          <w:rFonts w:ascii="Times New Roman" w:eastAsia="ＭＳ Ｐゴシック" w:hAnsi="Times New Roman" w:cs="Times New Roman"/>
          <w:b/>
          <w:bCs/>
          <w:i/>
          <w:iCs/>
          <w:noProof/>
          <w:color w:val="000000"/>
          <w:kern w:val="0"/>
          <w:sz w:val="24"/>
          <w:szCs w:val="24"/>
          <w:bdr w:val="none" w:sz="0" w:space="0" w:color="auto" w:frame="1"/>
          <w:lang w:eastAsia="en-IN"/>
        </w:rPr>
        <w:drawing>
          <wp:inline distT="0" distB="0" distL="0" distR="0" wp14:anchorId="19D04DD9" wp14:editId="67473979">
            <wp:extent cx="5400040" cy="3453765"/>
            <wp:effectExtent l="0" t="0" r="0" b="0"/>
            <wp:docPr id="6" name="図 6"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 棒グラフ&#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453765"/>
                    </a:xfrm>
                    <a:prstGeom prst="rect">
                      <a:avLst/>
                    </a:prstGeom>
                    <a:noFill/>
                    <a:ln>
                      <a:noFill/>
                    </a:ln>
                  </pic:spPr>
                </pic:pic>
              </a:graphicData>
            </a:graphic>
          </wp:inline>
        </w:drawing>
      </w:r>
    </w:p>
    <w:p w14:paraId="6995A9B3"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 xml:space="preserve">Supplementary Fig. 3: </w:t>
      </w:r>
      <w:r w:rsidRPr="00DF76BE">
        <w:rPr>
          <w:rFonts w:ascii="Times New Roman" w:eastAsia="ＭＳ Ｐゴシック" w:hAnsi="Times New Roman" w:cs="Times New Roman"/>
          <w:b/>
          <w:bCs/>
          <w:i/>
          <w:iCs/>
          <w:color w:val="000000"/>
          <w:kern w:val="0"/>
          <w:sz w:val="24"/>
          <w:szCs w:val="24"/>
        </w:rPr>
        <w:t>in vitro</w:t>
      </w:r>
      <w:r w:rsidRPr="00DF76BE">
        <w:rPr>
          <w:rFonts w:ascii="Times New Roman" w:eastAsia="ＭＳ Ｐゴシック" w:hAnsi="Times New Roman" w:cs="Times New Roman"/>
          <w:b/>
          <w:bCs/>
          <w:color w:val="000000"/>
          <w:kern w:val="0"/>
          <w:sz w:val="24"/>
          <w:szCs w:val="24"/>
        </w:rPr>
        <w:t xml:space="preserve"> cleavage assay of the gRNAs used in this study.</w:t>
      </w:r>
    </w:p>
    <w:p w14:paraId="2D9C3994" w14:textId="77777777" w:rsidR="00A00AD5" w:rsidRPr="00DF76BE" w:rsidRDefault="00A00AD5" w:rsidP="00A00AD5">
      <w:pPr>
        <w:widowControl/>
        <w:rPr>
          <w:rFonts w:ascii="Times New Roman" w:eastAsia="ＭＳ Ｐゴシック" w:hAnsi="Times New Roman" w:cs="Times New Roman"/>
          <w:color w:val="000000"/>
          <w:kern w:val="0"/>
          <w:sz w:val="24"/>
          <w:szCs w:val="24"/>
        </w:rPr>
      </w:pPr>
      <w:r w:rsidRPr="00DF76BE">
        <w:rPr>
          <w:rFonts w:ascii="Times New Roman" w:eastAsia="ＭＳ Ｐゴシック" w:hAnsi="Times New Roman" w:cs="Times New Roman"/>
          <w:color w:val="000000"/>
          <w:kern w:val="0"/>
          <w:sz w:val="24"/>
          <w:szCs w:val="24"/>
        </w:rPr>
        <w:t xml:space="preserve">The time course experiments of the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cleavage assay were performed at 25°C. Each gRNA was mixed with the recombinant SpCas9, then incubated with the substrate DNA fragment for 5 and 30 min. The </w:t>
      </w:r>
      <w:r w:rsidRPr="00DF76BE">
        <w:rPr>
          <w:rFonts w:ascii="Times New Roman" w:eastAsia="ＭＳ Ｐゴシック" w:hAnsi="Times New Roman" w:cs="Times New Roman"/>
          <w:i/>
          <w:iCs/>
          <w:color w:val="000000"/>
          <w:kern w:val="0"/>
          <w:sz w:val="24"/>
          <w:szCs w:val="24"/>
        </w:rPr>
        <w:t xml:space="preserve">in vitro </w:t>
      </w:r>
      <w:r w:rsidRPr="00DF76BE">
        <w:rPr>
          <w:rFonts w:ascii="Times New Roman" w:eastAsia="ＭＳ Ｐゴシック" w:hAnsi="Times New Roman" w:cs="Times New Roman"/>
          <w:color w:val="000000"/>
          <w:kern w:val="0"/>
          <w:sz w:val="24"/>
          <w:szCs w:val="24"/>
        </w:rPr>
        <w:t>cleavage assays were performed at least three times.</w:t>
      </w:r>
    </w:p>
    <w:p w14:paraId="5D59BEC7" w14:textId="77777777" w:rsidR="00A00AD5" w:rsidRPr="00DF76BE" w:rsidRDefault="00A00AD5" w:rsidP="00A00AD5">
      <w:pPr>
        <w:widowControl/>
        <w:jc w:val="left"/>
        <w:rPr>
          <w:rFonts w:ascii="Times New Roman" w:eastAsia="ＭＳ Ｐゴシック" w:hAnsi="Times New Roman" w:cs="Times New Roman"/>
          <w:color w:val="000000"/>
          <w:kern w:val="0"/>
          <w:sz w:val="24"/>
          <w:szCs w:val="24"/>
        </w:rPr>
      </w:pPr>
      <w:r w:rsidRPr="00DF76BE">
        <w:rPr>
          <w:rFonts w:ascii="Times New Roman" w:eastAsia="ＭＳ Ｐゴシック" w:hAnsi="Times New Roman" w:cs="Times New Roman"/>
          <w:color w:val="000000"/>
          <w:kern w:val="0"/>
          <w:sz w:val="24"/>
          <w:szCs w:val="24"/>
        </w:rPr>
        <w:br w:type="page"/>
      </w:r>
    </w:p>
    <w:p w14:paraId="56F8B43B" w14:textId="77777777" w:rsidR="00A00AD5" w:rsidRPr="00DF76BE" w:rsidRDefault="00A00AD5" w:rsidP="00A00AD5">
      <w:pPr>
        <w:widowControl/>
        <w:rPr>
          <w:rFonts w:ascii="Times New Roman" w:eastAsia="ＭＳ Ｐゴシック" w:hAnsi="Times New Roman" w:cs="Times New Roman"/>
          <w:kern w:val="0"/>
          <w:sz w:val="24"/>
          <w:szCs w:val="24"/>
        </w:rPr>
      </w:pPr>
    </w:p>
    <w:p w14:paraId="1E271068" w14:textId="77777777" w:rsidR="00A00AD5" w:rsidRPr="00DF76BE" w:rsidRDefault="00A00AD5" w:rsidP="00A00AD5">
      <w:pPr>
        <w:widowControl/>
        <w:rPr>
          <w:rFonts w:ascii="Times New Roman" w:eastAsia="ＭＳ Ｐゴシック" w:hAnsi="Times New Roman" w:cs="Times New Roman"/>
          <w:kern w:val="0"/>
          <w:sz w:val="24"/>
          <w:szCs w:val="24"/>
        </w:rPr>
      </w:pPr>
    </w:p>
    <w:p w14:paraId="5BAD1882" w14:textId="77777777" w:rsidR="00A00AD5" w:rsidRPr="00DF76BE" w:rsidRDefault="00A00AD5" w:rsidP="00A00AD5">
      <w:pPr>
        <w:rPr>
          <w:rFonts w:ascii="Times New Roman" w:hAnsi="Times New Roman" w:cs="Times New Roman"/>
        </w:rPr>
      </w:pPr>
      <w:r w:rsidRPr="00DF76BE">
        <w:rPr>
          <w:rFonts w:ascii="Times New Roman" w:eastAsia="ＭＳ Ｐゴシック" w:hAnsi="Times New Roman" w:cs="Times New Roman"/>
          <w:noProof/>
          <w:color w:val="000000"/>
          <w:kern w:val="0"/>
          <w:sz w:val="24"/>
          <w:szCs w:val="24"/>
          <w:bdr w:val="none" w:sz="0" w:space="0" w:color="auto" w:frame="1"/>
          <w:lang w:eastAsia="en-IN"/>
        </w:rPr>
        <w:drawing>
          <wp:inline distT="0" distB="0" distL="0" distR="0" wp14:anchorId="3274C747" wp14:editId="450DACFC">
            <wp:extent cx="5400040" cy="2663825"/>
            <wp:effectExtent l="0" t="0" r="0" b="3175"/>
            <wp:docPr id="4" name="図 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663825"/>
                    </a:xfrm>
                    <a:prstGeom prst="rect">
                      <a:avLst/>
                    </a:prstGeom>
                    <a:noFill/>
                    <a:ln>
                      <a:noFill/>
                    </a:ln>
                  </pic:spPr>
                </pic:pic>
              </a:graphicData>
            </a:graphic>
          </wp:inline>
        </w:drawing>
      </w:r>
    </w:p>
    <w:p w14:paraId="1A920BF2"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Supplementary Fig. 4:</w:t>
      </w:r>
      <w:r w:rsidRPr="00DF76BE">
        <w:rPr>
          <w:rFonts w:ascii="Times New Roman" w:eastAsia="ＭＳ Ｐゴシック" w:hAnsi="Times New Roman" w:cs="Times New Roman"/>
          <w:color w:val="000000"/>
          <w:kern w:val="0"/>
          <w:sz w:val="24"/>
          <w:szCs w:val="24"/>
        </w:rPr>
        <w:t xml:space="preserve"> </w:t>
      </w:r>
      <w:r w:rsidRPr="00DF76BE">
        <w:rPr>
          <w:rFonts w:ascii="Times New Roman" w:eastAsia="ＭＳ Ｐゴシック" w:hAnsi="Times New Roman" w:cs="Times New Roman"/>
          <w:b/>
          <w:bCs/>
          <w:color w:val="000000"/>
          <w:kern w:val="0"/>
          <w:sz w:val="24"/>
          <w:szCs w:val="24"/>
        </w:rPr>
        <w:t xml:space="preserve">LC-PDA-MS analysis of the callus extract of the </w:t>
      </w:r>
      <w:r w:rsidRPr="00DF76BE">
        <w:rPr>
          <w:rFonts w:ascii="Times New Roman" w:eastAsia="ＭＳ Ｐゴシック" w:hAnsi="Times New Roman" w:cs="Times New Roman"/>
          <w:b/>
          <w:bCs/>
          <w:i/>
          <w:iCs/>
          <w:color w:val="000000"/>
          <w:kern w:val="0"/>
          <w:sz w:val="24"/>
          <w:szCs w:val="24"/>
        </w:rPr>
        <w:t>LCYβ-2</w:t>
      </w:r>
      <w:r w:rsidRPr="00DF76BE">
        <w:rPr>
          <w:rFonts w:ascii="Times New Roman" w:eastAsia="ＭＳ Ｐゴシック" w:hAnsi="Times New Roman" w:cs="Times New Roman"/>
          <w:b/>
          <w:bCs/>
          <w:color w:val="000000"/>
          <w:kern w:val="0"/>
          <w:sz w:val="24"/>
          <w:szCs w:val="24"/>
        </w:rPr>
        <w:t xml:space="preserve"> #2 mutant. a</w:t>
      </w:r>
      <w:r w:rsidRPr="00DF76BE">
        <w:rPr>
          <w:rFonts w:ascii="Times New Roman" w:eastAsia="ＭＳ Ｐゴシック" w:hAnsi="Times New Roman" w:cs="Times New Roman"/>
          <w:color w:val="000000"/>
          <w:kern w:val="0"/>
          <w:sz w:val="24"/>
          <w:szCs w:val="24"/>
        </w:rPr>
        <w:t xml:space="preserve"> PDA chromatogram of the carotenoid standards (top) and the extracted samples (bottom). The peak area from this chromatogram was used to quantify the carotenoids, shown in main Figure 4d; </w:t>
      </w:r>
      <w:r w:rsidRPr="00DF76BE">
        <w:rPr>
          <w:rFonts w:ascii="Times New Roman" w:eastAsia="ＭＳ Ｐゴシック" w:hAnsi="Times New Roman" w:cs="Times New Roman"/>
          <w:b/>
          <w:bCs/>
          <w:color w:val="000000"/>
          <w:kern w:val="0"/>
          <w:sz w:val="24"/>
          <w:szCs w:val="24"/>
        </w:rPr>
        <w:t>b</w:t>
      </w:r>
      <w:r w:rsidRPr="00DF76BE">
        <w:rPr>
          <w:rFonts w:ascii="Times New Roman" w:eastAsia="ＭＳ Ｐゴシック" w:hAnsi="Times New Roman" w:cs="Times New Roman"/>
          <w:color w:val="000000"/>
          <w:kern w:val="0"/>
          <w:sz w:val="24"/>
          <w:szCs w:val="24"/>
        </w:rPr>
        <w:t xml:space="preserve"> The absorbance spectrum of peak 1 or 2 identified in the chromatogram of callus </w:t>
      </w:r>
      <w:r w:rsidRPr="00DF76BE">
        <w:rPr>
          <w:rFonts w:ascii="Times New Roman" w:eastAsia="ＭＳ Ｐゴシック" w:hAnsi="Times New Roman" w:cs="Times New Roman"/>
          <w:i/>
          <w:iCs/>
          <w:color w:val="000000"/>
          <w:kern w:val="0"/>
          <w:sz w:val="24"/>
          <w:szCs w:val="24"/>
        </w:rPr>
        <w:t>LCYβ-2</w:t>
      </w:r>
      <w:r w:rsidRPr="00DF76BE">
        <w:rPr>
          <w:rFonts w:ascii="Times New Roman" w:eastAsia="ＭＳ Ｐゴシック" w:hAnsi="Times New Roman" w:cs="Times New Roman"/>
          <w:color w:val="000000"/>
          <w:kern w:val="0"/>
          <w:sz w:val="24"/>
          <w:szCs w:val="24"/>
        </w:rPr>
        <w:t xml:space="preserve"> #2 in panel </w:t>
      </w:r>
      <w:r w:rsidRPr="00DF76BE">
        <w:rPr>
          <w:rFonts w:ascii="Times New Roman" w:eastAsia="ＭＳ Ｐゴシック" w:hAnsi="Times New Roman" w:cs="Times New Roman"/>
          <w:b/>
          <w:bCs/>
          <w:color w:val="000000"/>
          <w:kern w:val="0"/>
          <w:sz w:val="24"/>
          <w:szCs w:val="24"/>
        </w:rPr>
        <w:t>a</w:t>
      </w:r>
      <w:r w:rsidRPr="00DF76BE">
        <w:rPr>
          <w:rFonts w:ascii="Times New Roman" w:eastAsia="ＭＳ Ｐゴシック" w:hAnsi="Times New Roman" w:cs="Times New Roman"/>
          <w:color w:val="000000"/>
          <w:kern w:val="0"/>
          <w:sz w:val="24"/>
          <w:szCs w:val="24"/>
        </w:rPr>
        <w:t xml:space="preserve">. Peaks 1 and 2 were identified as lycopene and δ-carotene, respectively, based on the retention time, absorbance spectrum, and mass spectrum. </w:t>
      </w:r>
    </w:p>
    <w:p w14:paraId="6FE0F8C9" w14:textId="77777777" w:rsidR="00A00AD5" w:rsidRPr="00DF76BE" w:rsidRDefault="00A00AD5" w:rsidP="00A00AD5">
      <w:pPr>
        <w:rPr>
          <w:rFonts w:ascii="Times New Roman" w:hAnsi="Times New Roman" w:cs="Times New Roman"/>
        </w:rPr>
      </w:pPr>
    </w:p>
    <w:p w14:paraId="24B527DD" w14:textId="77777777" w:rsidR="00A00AD5" w:rsidRPr="00DF76BE" w:rsidRDefault="00A00AD5" w:rsidP="00A00AD5">
      <w:pPr>
        <w:rPr>
          <w:rFonts w:ascii="Times New Roman" w:hAnsi="Times New Roman" w:cs="Times New Roman"/>
        </w:rPr>
      </w:pPr>
      <w:r w:rsidRPr="00DF76BE">
        <w:rPr>
          <w:rFonts w:ascii="Times New Roman" w:eastAsia="ＭＳ Ｐゴシック" w:hAnsi="Times New Roman" w:cs="Times New Roman"/>
          <w:noProof/>
          <w:color w:val="000000"/>
          <w:kern w:val="0"/>
          <w:sz w:val="24"/>
          <w:szCs w:val="24"/>
          <w:bdr w:val="none" w:sz="0" w:space="0" w:color="auto" w:frame="1"/>
          <w:lang w:eastAsia="en-IN"/>
        </w:rPr>
        <w:lastRenderedPageBreak/>
        <w:drawing>
          <wp:inline distT="0" distB="0" distL="0" distR="0" wp14:anchorId="38B2103F" wp14:editId="22260C6B">
            <wp:extent cx="5400040" cy="4674870"/>
            <wp:effectExtent l="0" t="0" r="5080" b="0"/>
            <wp:docPr id="3" name="図 3"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 設計図&#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4674870"/>
                    </a:xfrm>
                    <a:prstGeom prst="rect">
                      <a:avLst/>
                    </a:prstGeom>
                    <a:noFill/>
                    <a:ln>
                      <a:noFill/>
                    </a:ln>
                  </pic:spPr>
                </pic:pic>
              </a:graphicData>
            </a:graphic>
          </wp:inline>
        </w:drawing>
      </w:r>
    </w:p>
    <w:p w14:paraId="54C7120A" w14:textId="77777777" w:rsidR="00A00AD5" w:rsidRPr="00DF76BE" w:rsidRDefault="00A00AD5" w:rsidP="00A00AD5">
      <w:pPr>
        <w:widowControl/>
        <w:spacing w:before="240" w:after="240"/>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 xml:space="preserve">Supplementary Fig. 5: LC-PDA-MS/MS analyses of the extract from the shoot of the </w:t>
      </w:r>
      <w:r w:rsidRPr="00DF76BE">
        <w:rPr>
          <w:rFonts w:ascii="Times New Roman" w:eastAsia="ＭＳ Ｐゴシック" w:hAnsi="Times New Roman" w:cs="Times New Roman"/>
          <w:b/>
          <w:bCs/>
          <w:i/>
          <w:iCs/>
          <w:color w:val="000000"/>
          <w:kern w:val="0"/>
          <w:sz w:val="24"/>
          <w:szCs w:val="24"/>
        </w:rPr>
        <w:t>LCYβ-2</w:t>
      </w:r>
      <w:r w:rsidRPr="00DF76BE">
        <w:rPr>
          <w:rFonts w:ascii="Times New Roman" w:eastAsia="ＭＳ Ｐゴシック" w:hAnsi="Times New Roman" w:cs="Times New Roman"/>
          <w:b/>
          <w:bCs/>
          <w:color w:val="000000"/>
          <w:kern w:val="0"/>
          <w:sz w:val="24"/>
          <w:szCs w:val="24"/>
        </w:rPr>
        <w:t xml:space="preserve"> #2 mutant.</w:t>
      </w:r>
      <w:r w:rsidRPr="00DF76BE">
        <w:rPr>
          <w:rFonts w:ascii="Times New Roman" w:eastAsia="ＭＳ Ｐゴシック" w:hAnsi="Times New Roman" w:cs="Times New Roman"/>
          <w:color w:val="000000"/>
          <w:kern w:val="0"/>
          <w:sz w:val="24"/>
          <w:szCs w:val="24"/>
        </w:rPr>
        <w:t xml:space="preserve"> </w:t>
      </w:r>
      <w:r w:rsidRPr="00DF76BE">
        <w:rPr>
          <w:rFonts w:ascii="Times New Roman" w:eastAsia="ＭＳ Ｐゴシック" w:hAnsi="Times New Roman" w:cs="Times New Roman"/>
          <w:b/>
          <w:bCs/>
          <w:color w:val="000000"/>
          <w:kern w:val="0"/>
          <w:sz w:val="24"/>
          <w:szCs w:val="24"/>
        </w:rPr>
        <w:t>a</w:t>
      </w:r>
      <w:r w:rsidRPr="00DF76BE">
        <w:rPr>
          <w:rFonts w:ascii="Times New Roman" w:eastAsia="ＭＳ Ｐゴシック" w:hAnsi="Times New Roman" w:cs="Times New Roman"/>
          <w:color w:val="000000"/>
          <w:kern w:val="0"/>
          <w:sz w:val="24"/>
          <w:szCs w:val="24"/>
        </w:rPr>
        <w:t xml:space="preserve"> Carotenoid production of the plant of the Wild or the </w:t>
      </w:r>
      <w:r w:rsidRPr="00DF76BE">
        <w:rPr>
          <w:rFonts w:ascii="Times New Roman" w:eastAsia="ＭＳ Ｐゴシック" w:hAnsi="Times New Roman" w:cs="Times New Roman"/>
          <w:i/>
          <w:iCs/>
          <w:color w:val="000000"/>
          <w:kern w:val="0"/>
          <w:sz w:val="24"/>
          <w:szCs w:val="24"/>
        </w:rPr>
        <w:t xml:space="preserve">LCYβ-2 </w:t>
      </w:r>
      <w:r w:rsidRPr="00DF76BE">
        <w:rPr>
          <w:rFonts w:ascii="Times New Roman" w:eastAsia="ＭＳ Ｐゴシック" w:hAnsi="Times New Roman" w:cs="Times New Roman"/>
          <w:color w:val="000000"/>
          <w:kern w:val="0"/>
          <w:sz w:val="24"/>
          <w:szCs w:val="24"/>
        </w:rPr>
        <w:t xml:space="preserve">#2 mutant. The amount was calculated using the peak area of the PDA chromatogram indicated in the panel. Each box plot indicates the quantification data of three samples from three different calli derived from the </w:t>
      </w:r>
      <w:r w:rsidRPr="00DF76BE">
        <w:rPr>
          <w:rFonts w:ascii="Times New Roman" w:eastAsia="ＭＳ Ｐゴシック" w:hAnsi="Times New Roman" w:cs="Times New Roman"/>
          <w:i/>
          <w:iCs/>
          <w:color w:val="000000"/>
          <w:kern w:val="0"/>
          <w:sz w:val="24"/>
          <w:szCs w:val="24"/>
        </w:rPr>
        <w:t>LCYβ-2</w:t>
      </w:r>
      <w:r w:rsidRPr="00DF76BE">
        <w:rPr>
          <w:rFonts w:ascii="Times New Roman" w:eastAsia="ＭＳ Ｐゴシック" w:hAnsi="Times New Roman" w:cs="Times New Roman"/>
          <w:color w:val="000000"/>
          <w:kern w:val="0"/>
          <w:sz w:val="24"/>
          <w:szCs w:val="24"/>
        </w:rPr>
        <w:t xml:space="preserve"> #2 lines. Quantities of all the types of measured carotenoids exhibited a significant difference between the Wild and the </w:t>
      </w:r>
      <w:r w:rsidRPr="00DF76BE">
        <w:rPr>
          <w:rFonts w:ascii="Times New Roman" w:eastAsia="ＭＳ Ｐゴシック" w:hAnsi="Times New Roman" w:cs="Times New Roman"/>
          <w:i/>
          <w:iCs/>
          <w:color w:val="000000"/>
          <w:kern w:val="0"/>
          <w:sz w:val="24"/>
          <w:szCs w:val="24"/>
        </w:rPr>
        <w:t xml:space="preserve">LCYβ-2 </w:t>
      </w:r>
      <w:r w:rsidRPr="00DF76BE">
        <w:rPr>
          <w:rFonts w:ascii="Times New Roman" w:eastAsia="ＭＳ Ｐゴシック" w:hAnsi="Times New Roman" w:cs="Times New Roman"/>
          <w:color w:val="000000"/>
          <w:kern w:val="0"/>
          <w:sz w:val="24"/>
          <w:szCs w:val="24"/>
        </w:rPr>
        <w:t xml:space="preserve">#2 mutant (Wilcoxon rank-sum test, </w:t>
      </w:r>
      <w:r w:rsidRPr="00DF76BE">
        <w:rPr>
          <w:rFonts w:ascii="Times New Roman" w:eastAsia="ＭＳ Ｐゴシック" w:hAnsi="Times New Roman" w:cs="Times New Roman"/>
          <w:i/>
          <w:iCs/>
          <w:color w:val="000000"/>
          <w:kern w:val="0"/>
          <w:sz w:val="24"/>
          <w:szCs w:val="24"/>
        </w:rPr>
        <w:t>p</w:t>
      </w:r>
      <w:r w:rsidRPr="00DF76BE">
        <w:rPr>
          <w:rFonts w:ascii="Times New Roman" w:eastAsia="ＭＳ Ｐゴシック" w:hAnsi="Times New Roman" w:cs="Times New Roman"/>
          <w:color w:val="000000"/>
          <w:kern w:val="0"/>
          <w:sz w:val="24"/>
          <w:szCs w:val="24"/>
        </w:rPr>
        <w:t xml:space="preserve"> &lt; 0.01); </w:t>
      </w:r>
      <w:r w:rsidRPr="00DF76BE">
        <w:rPr>
          <w:rFonts w:ascii="Times New Roman" w:eastAsia="ＭＳ Ｐゴシック" w:hAnsi="Times New Roman" w:cs="Times New Roman"/>
          <w:b/>
          <w:bCs/>
          <w:color w:val="000000"/>
          <w:kern w:val="0"/>
          <w:sz w:val="24"/>
          <w:szCs w:val="24"/>
        </w:rPr>
        <w:t xml:space="preserve">b </w:t>
      </w:r>
      <w:r w:rsidRPr="00DF76BE">
        <w:rPr>
          <w:rFonts w:ascii="Times New Roman" w:eastAsia="ＭＳ Ｐゴシック" w:hAnsi="Times New Roman" w:cs="Times New Roman"/>
          <w:color w:val="000000"/>
          <w:kern w:val="0"/>
          <w:sz w:val="24"/>
          <w:szCs w:val="24"/>
        </w:rPr>
        <w:t xml:space="preserve">Representative chromatogram of the carotenoid extracts; </w:t>
      </w:r>
      <w:r w:rsidRPr="00DF76BE">
        <w:rPr>
          <w:rFonts w:ascii="Times New Roman" w:eastAsia="ＭＳ Ｐゴシック" w:hAnsi="Times New Roman" w:cs="Times New Roman"/>
          <w:b/>
          <w:bCs/>
          <w:color w:val="000000"/>
          <w:kern w:val="0"/>
          <w:sz w:val="24"/>
          <w:szCs w:val="24"/>
        </w:rPr>
        <w:t>c</w:t>
      </w:r>
      <w:r w:rsidRPr="00DF76BE">
        <w:rPr>
          <w:rFonts w:ascii="Times New Roman" w:eastAsia="ＭＳ Ｐゴシック" w:hAnsi="Times New Roman" w:cs="Times New Roman"/>
          <w:color w:val="000000"/>
          <w:kern w:val="0"/>
          <w:sz w:val="24"/>
          <w:szCs w:val="24"/>
        </w:rPr>
        <w:t xml:space="preserve"> Absorbance (left) and MS/MS (right) spectra of peaks 11, 11’, and 12 from the chromatogram of plant </w:t>
      </w:r>
      <w:r w:rsidRPr="00DF76BE">
        <w:rPr>
          <w:rFonts w:ascii="Times New Roman" w:eastAsia="ＭＳ Ｐゴシック" w:hAnsi="Times New Roman" w:cs="Times New Roman"/>
          <w:i/>
          <w:iCs/>
          <w:color w:val="000000"/>
          <w:kern w:val="0"/>
          <w:sz w:val="24"/>
          <w:szCs w:val="24"/>
        </w:rPr>
        <w:t>LCYβ-2</w:t>
      </w:r>
      <w:r w:rsidRPr="00DF76BE">
        <w:rPr>
          <w:rFonts w:ascii="Times New Roman" w:eastAsia="ＭＳ Ｐゴシック" w:hAnsi="Times New Roman" w:cs="Times New Roman"/>
          <w:color w:val="000000"/>
          <w:kern w:val="0"/>
          <w:sz w:val="24"/>
          <w:szCs w:val="24"/>
        </w:rPr>
        <w:t xml:space="preserve"> #2 extract in panel </w:t>
      </w:r>
      <w:r w:rsidRPr="00DF76BE">
        <w:rPr>
          <w:rFonts w:ascii="Times New Roman" w:eastAsia="ＭＳ Ｐゴシック" w:hAnsi="Times New Roman" w:cs="Times New Roman"/>
          <w:b/>
          <w:bCs/>
          <w:color w:val="000000"/>
          <w:kern w:val="0"/>
          <w:sz w:val="24"/>
          <w:szCs w:val="24"/>
        </w:rPr>
        <w:t>b</w:t>
      </w:r>
      <w:r w:rsidRPr="00DF76BE">
        <w:rPr>
          <w:rFonts w:ascii="Times New Roman" w:eastAsia="ＭＳ Ｐゴシック" w:hAnsi="Times New Roman" w:cs="Times New Roman"/>
          <w:color w:val="000000"/>
          <w:kern w:val="0"/>
          <w:sz w:val="24"/>
          <w:szCs w:val="24"/>
        </w:rPr>
        <w:t xml:space="preserve">. Peak 12 is identified as β-carotene since its absorbance spectrum, MS/MS spectrum, and retention time matched with the authentic standard of β-carotene. For peaks 11 and 11’, the molecular mass was 610, which is 42 mass heavier than that of lutein, and the absorbance spectrum was identical to that of lutein. Consistent with a previous study (Kusaba et al. 2009), the retention time was between that of lutein (4.2 min) and chlorophyll b (6.7 min). Based on </w:t>
      </w:r>
      <w:r w:rsidRPr="00DF76BE">
        <w:rPr>
          <w:rFonts w:ascii="Times New Roman" w:eastAsia="ＭＳ Ｐゴシック" w:hAnsi="Times New Roman" w:cs="Times New Roman"/>
          <w:color w:val="000000"/>
          <w:kern w:val="0"/>
          <w:sz w:val="24"/>
          <w:szCs w:val="24"/>
        </w:rPr>
        <w:lastRenderedPageBreak/>
        <w:t>these results and the fact that lutein 3’-acetate was detected in rice leaves (Kusaba et al. 2009), the carotenoids of peak 11 and 11’ are most probably either lutein 3-acetate or lutein 3’-acetate.</w:t>
      </w:r>
    </w:p>
    <w:p w14:paraId="740BF1C8" w14:textId="77777777" w:rsidR="00A00AD5" w:rsidRPr="00DF76BE" w:rsidRDefault="00A00AD5" w:rsidP="00A00AD5">
      <w:pPr>
        <w:rPr>
          <w:rFonts w:ascii="Times New Roman" w:hAnsi="Times New Roman" w:cs="Times New Roman"/>
        </w:rPr>
      </w:pPr>
    </w:p>
    <w:p w14:paraId="094771EE"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noProof/>
          <w:color w:val="000000"/>
          <w:kern w:val="0"/>
          <w:sz w:val="24"/>
          <w:szCs w:val="24"/>
          <w:bdr w:val="none" w:sz="0" w:space="0" w:color="auto" w:frame="1"/>
          <w:lang w:eastAsia="en-IN"/>
        </w:rPr>
        <w:drawing>
          <wp:inline distT="0" distB="0" distL="0" distR="0" wp14:anchorId="28B71BF2" wp14:editId="13B7D9CD">
            <wp:extent cx="5400040" cy="4875530"/>
            <wp:effectExtent l="0" t="0" r="0" b="1270"/>
            <wp:docPr id="2"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ダイアグラム&#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875530"/>
                    </a:xfrm>
                    <a:prstGeom prst="rect">
                      <a:avLst/>
                    </a:prstGeom>
                    <a:noFill/>
                    <a:ln>
                      <a:noFill/>
                    </a:ln>
                  </pic:spPr>
                </pic:pic>
              </a:graphicData>
            </a:graphic>
          </wp:inline>
        </w:drawing>
      </w:r>
    </w:p>
    <w:p w14:paraId="14EA7D13" w14:textId="77777777" w:rsidR="00A00AD5" w:rsidRPr="00DF76BE"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Supplementary Fig. 6: Genome editing using the whisker-mediated RNP delivery without additional DNA</w:t>
      </w:r>
    </w:p>
    <w:p w14:paraId="02CCEB91" w14:textId="77777777" w:rsidR="00A00AD5" w:rsidRPr="00506614" w:rsidRDefault="00A00AD5" w:rsidP="00A00AD5">
      <w:pPr>
        <w:widowControl/>
        <w:rPr>
          <w:rFonts w:ascii="Times New Roman" w:eastAsia="ＭＳ Ｐゴシック" w:hAnsi="Times New Roman" w:cs="Times New Roman"/>
          <w:kern w:val="0"/>
          <w:sz w:val="24"/>
          <w:szCs w:val="24"/>
        </w:rPr>
      </w:pPr>
      <w:r w:rsidRPr="00DF76BE">
        <w:rPr>
          <w:rFonts w:ascii="Times New Roman" w:eastAsia="ＭＳ Ｐゴシック" w:hAnsi="Times New Roman" w:cs="Times New Roman"/>
          <w:b/>
          <w:bCs/>
          <w:color w:val="000000"/>
          <w:kern w:val="0"/>
          <w:sz w:val="24"/>
          <w:szCs w:val="24"/>
        </w:rPr>
        <w:t>a</w:t>
      </w:r>
      <w:r w:rsidRPr="00DF76BE">
        <w:rPr>
          <w:rFonts w:ascii="Times New Roman" w:eastAsia="ＭＳ Ｐゴシック" w:hAnsi="Times New Roman" w:cs="Times New Roman"/>
          <w:color w:val="000000"/>
          <w:kern w:val="0"/>
          <w:sz w:val="24"/>
          <w:szCs w:val="24"/>
        </w:rPr>
        <w:t xml:space="preserve"> Overview of the experimental procedure (see also Fig.1). The recombinant SpCas9-NLS and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transcribed gRNA were mixed to form RNPs. The RNPs were mixed with the whiskers, selection marker-harboring plasmids, and specific amounts of rice embryonic suspension cells (250 PCV). The calli mixed with the whiskers and RNPs were ultrasonicated by a sonicator. Sonication-treated cells were washed with the R2 medium and incubated without antibiotics for the recovery culture. After the 6-day recovery culture, we conducted a subsequent 1-week incubation. The propagated calli were </w:t>
      </w:r>
      <w:r w:rsidRPr="00DF76BE">
        <w:rPr>
          <w:rFonts w:ascii="Times New Roman" w:eastAsia="ＭＳ Ｐゴシック" w:hAnsi="Times New Roman" w:cs="Times New Roman"/>
          <w:color w:val="000000"/>
          <w:kern w:val="0"/>
          <w:sz w:val="24"/>
          <w:szCs w:val="24"/>
        </w:rPr>
        <w:lastRenderedPageBreak/>
        <w:t xml:space="preserve">subjected to DNA extraction and the genome sequence was analyzed by Amplicon-seq. Six out of 36 samples carried mutations. </w:t>
      </w:r>
      <w:r w:rsidRPr="00DF76BE">
        <w:rPr>
          <w:rFonts w:ascii="Times New Roman" w:eastAsia="ＭＳ Ｐゴシック" w:hAnsi="Times New Roman" w:cs="Times New Roman"/>
          <w:i/>
          <w:iCs/>
          <w:color w:val="000000"/>
          <w:kern w:val="0"/>
          <w:sz w:val="24"/>
          <w:szCs w:val="24"/>
        </w:rPr>
        <w:t>OsPDS</w:t>
      </w:r>
      <w:r w:rsidRPr="00DF76BE">
        <w:rPr>
          <w:rFonts w:ascii="Times New Roman" w:eastAsia="ＭＳ Ｐゴシック" w:hAnsi="Times New Roman" w:cs="Times New Roman"/>
          <w:color w:val="000000"/>
          <w:kern w:val="0"/>
          <w:sz w:val="24"/>
          <w:szCs w:val="24"/>
        </w:rPr>
        <w:t xml:space="preserve"> exon12 was selected as the genome editing target (inlet). The target sequence of the gRNA for </w:t>
      </w:r>
      <w:r w:rsidRPr="00DF76BE">
        <w:rPr>
          <w:rFonts w:ascii="Times New Roman" w:eastAsia="ＭＳ Ｐゴシック" w:hAnsi="Times New Roman" w:cs="Times New Roman"/>
          <w:i/>
          <w:iCs/>
          <w:color w:val="000000"/>
          <w:kern w:val="0"/>
          <w:sz w:val="24"/>
          <w:szCs w:val="24"/>
        </w:rPr>
        <w:t>OsPDS</w:t>
      </w:r>
      <w:r w:rsidRPr="00DF76BE">
        <w:rPr>
          <w:rFonts w:ascii="Times New Roman" w:eastAsia="ＭＳ Ｐゴシック" w:hAnsi="Times New Roman" w:cs="Times New Roman"/>
          <w:color w:val="000000"/>
          <w:kern w:val="0"/>
          <w:sz w:val="24"/>
          <w:szCs w:val="24"/>
        </w:rPr>
        <w:t xml:space="preserve"> and the PAM sequence are marked in red and blue, respectively. The restriction enzyme PstI recognition site is underlined. The </w:t>
      </w:r>
      <w:r w:rsidRPr="00DF76BE">
        <w:rPr>
          <w:rFonts w:ascii="Times New Roman" w:eastAsia="ＭＳ Ｐゴシック" w:hAnsi="Times New Roman" w:cs="Times New Roman"/>
          <w:i/>
          <w:iCs/>
          <w:color w:val="000000"/>
          <w:kern w:val="0"/>
          <w:sz w:val="24"/>
          <w:szCs w:val="24"/>
        </w:rPr>
        <w:t>in vitro</w:t>
      </w:r>
      <w:r w:rsidRPr="00DF76BE">
        <w:rPr>
          <w:rFonts w:ascii="Times New Roman" w:eastAsia="ＭＳ Ｐゴシック" w:hAnsi="Times New Roman" w:cs="Times New Roman"/>
          <w:color w:val="000000"/>
          <w:kern w:val="0"/>
          <w:sz w:val="24"/>
          <w:szCs w:val="24"/>
        </w:rPr>
        <w:t xml:space="preserve"> transcribed gRNA sequence is also indicated in the inlet; </w:t>
      </w:r>
      <w:r w:rsidRPr="00DF76BE">
        <w:rPr>
          <w:rFonts w:ascii="Times New Roman" w:eastAsia="ＭＳ Ｐゴシック" w:hAnsi="Times New Roman" w:cs="Times New Roman"/>
          <w:b/>
          <w:bCs/>
          <w:color w:val="000000"/>
          <w:kern w:val="0"/>
          <w:sz w:val="24"/>
          <w:szCs w:val="24"/>
        </w:rPr>
        <w:t>b</w:t>
      </w:r>
      <w:r w:rsidRPr="00DF76BE">
        <w:rPr>
          <w:rFonts w:ascii="Times New Roman" w:eastAsia="ＭＳ Ｐゴシック" w:hAnsi="Times New Roman" w:cs="Times New Roman"/>
          <w:color w:val="000000"/>
          <w:kern w:val="0"/>
          <w:sz w:val="24"/>
          <w:szCs w:val="24"/>
        </w:rPr>
        <w:t xml:space="preserve"> The mutations detected in the six samples are shown sample by sample. The results of Amplicon-seq were summarized by CRISPResso2. The wild-type sequence is the uppermost. The reads with mutations are indicated by red arrows.</w:t>
      </w:r>
    </w:p>
    <w:p w14:paraId="0A75CCDB" w14:textId="77777777" w:rsidR="00A00AD5" w:rsidRPr="00506614" w:rsidRDefault="00A00AD5" w:rsidP="00A00AD5">
      <w:pPr>
        <w:rPr>
          <w:rFonts w:ascii="Times New Roman" w:hAnsi="Times New Roman" w:cs="Times New Roman"/>
        </w:rPr>
      </w:pPr>
    </w:p>
    <w:p w14:paraId="6440A35C" w14:textId="78B46C63" w:rsidR="00A00AD5" w:rsidRDefault="00A00AD5" w:rsidP="00A00AD5">
      <w:pPr>
        <w:widowControl/>
        <w:jc w:val="left"/>
        <w:rPr>
          <w:rFonts w:ascii="Times New Roman" w:hAnsi="Times New Roman" w:cs="Times New Roman"/>
          <w:b/>
          <w:bCs/>
        </w:rPr>
      </w:pPr>
      <w:r w:rsidRPr="00506614">
        <w:rPr>
          <w:rFonts w:ascii="Times New Roman" w:hAnsi="Times New Roman" w:cs="Times New Roman"/>
          <w:b/>
          <w:bCs/>
        </w:rPr>
        <w:br w:type="page"/>
      </w:r>
    </w:p>
    <w:p w14:paraId="3CAF18FC" w14:textId="77777777" w:rsidR="009C547A" w:rsidRPr="008F5916" w:rsidRDefault="009C547A" w:rsidP="00A00AD5">
      <w:pPr>
        <w:widowControl/>
        <w:jc w:val="left"/>
        <w:rPr>
          <w:rFonts w:ascii="Times New Roman" w:hAnsi="Times New Roman" w:cs="Times New Roman"/>
          <w:b/>
          <w:bCs/>
        </w:rPr>
      </w:pPr>
    </w:p>
    <w:p w14:paraId="1EC7DAEE" w14:textId="77777777" w:rsidR="00A00AD5" w:rsidRPr="000B0728" w:rsidRDefault="00A00AD5" w:rsidP="00A00AD5">
      <w:pPr>
        <w:rPr>
          <w:rFonts w:ascii="Times New Roman" w:hAnsi="Times New Roman" w:cs="Times New Roman"/>
        </w:rPr>
      </w:pPr>
    </w:p>
    <w:p w14:paraId="4598F0DC" w14:textId="7823E83E" w:rsidR="00DF6306" w:rsidRDefault="009C547A">
      <w:r w:rsidRPr="009C547A">
        <w:drawing>
          <wp:inline distT="0" distB="0" distL="0" distR="0" wp14:anchorId="149182EB" wp14:editId="2AE46BB1">
            <wp:extent cx="5400040" cy="26308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630805"/>
                    </a:xfrm>
                    <a:prstGeom prst="rect">
                      <a:avLst/>
                    </a:prstGeom>
                  </pic:spPr>
                </pic:pic>
              </a:graphicData>
            </a:graphic>
          </wp:inline>
        </w:drawing>
      </w:r>
    </w:p>
    <w:sectPr w:rsidR="00DF63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796D" w14:textId="77777777" w:rsidR="00A82E02" w:rsidRDefault="00A82E02">
      <w:r>
        <w:separator/>
      </w:r>
    </w:p>
  </w:endnote>
  <w:endnote w:type="continuationSeparator" w:id="0">
    <w:p w14:paraId="4185D9ED" w14:textId="77777777" w:rsidR="00A82E02" w:rsidRDefault="00A82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EC07E" w14:textId="77777777" w:rsidR="00A82E02" w:rsidRDefault="00A82E02">
      <w:r>
        <w:separator/>
      </w:r>
    </w:p>
  </w:footnote>
  <w:footnote w:type="continuationSeparator" w:id="0">
    <w:p w14:paraId="3018C035" w14:textId="77777777" w:rsidR="00A82E02" w:rsidRDefault="00A82E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D5"/>
    <w:rsid w:val="00623D68"/>
    <w:rsid w:val="00646439"/>
    <w:rsid w:val="009C547A"/>
    <w:rsid w:val="00A00AD5"/>
    <w:rsid w:val="00A82E02"/>
    <w:rsid w:val="00D92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95D1B"/>
  <w15:chartTrackingRefBased/>
  <w15:docId w15:val="{140FDBE1-C9CC-4F3E-93EA-7FA015740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A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47A"/>
    <w:pPr>
      <w:tabs>
        <w:tab w:val="center" w:pos="4252"/>
        <w:tab w:val="right" w:pos="8504"/>
      </w:tabs>
      <w:snapToGrid w:val="0"/>
    </w:pPr>
  </w:style>
  <w:style w:type="character" w:customStyle="1" w:styleId="a4">
    <w:name w:val="ヘッダー (文字)"/>
    <w:basedOn w:val="a0"/>
    <w:link w:val="a3"/>
    <w:uiPriority w:val="99"/>
    <w:rsid w:val="009C547A"/>
  </w:style>
  <w:style w:type="paragraph" w:styleId="a5">
    <w:name w:val="footer"/>
    <w:basedOn w:val="a"/>
    <w:link w:val="a6"/>
    <w:uiPriority w:val="99"/>
    <w:unhideWhenUsed/>
    <w:rsid w:val="009C547A"/>
    <w:pPr>
      <w:tabs>
        <w:tab w:val="center" w:pos="4252"/>
        <w:tab w:val="right" w:pos="8504"/>
      </w:tabs>
      <w:snapToGrid w:val="0"/>
    </w:pPr>
  </w:style>
  <w:style w:type="character" w:customStyle="1" w:styleId="a6">
    <w:name w:val="フッター (文字)"/>
    <w:basedOn w:val="a0"/>
    <w:link w:val="a5"/>
    <w:uiPriority w:val="99"/>
    <w:rsid w:val="009C5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7</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菅野茂夫</dc:creator>
  <cp:keywords/>
  <dc:description/>
  <cp:lastModifiedBy>菅野茂夫</cp:lastModifiedBy>
  <cp:revision>3</cp:revision>
  <dcterms:created xsi:type="dcterms:W3CDTF">2023-04-25T12:39:00Z</dcterms:created>
  <dcterms:modified xsi:type="dcterms:W3CDTF">2023-04-27T06:54:00Z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2023-04-25T12:39:52Z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31dc3024-03bf-4c0f-922a-5e0a26bace3e</vt:lpwstr>
  </property>
  <property fmtid="{D5CDD505-2E9C-101B-9397-08002B2CF9AE}" pid="8" name="MSIP_Label_ddc55989-3c9e-4466-8514-eac6f80f6373_ContentBits">
    <vt:lpwstr>0</vt:lpwstr>
  </property>
</Properties>
</file>