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8F5AF" w14:textId="77777777" w:rsidR="00D32C53" w:rsidRPr="00824215" w:rsidRDefault="00D32C53" w:rsidP="00D32C53">
      <w:pPr>
        <w:pStyle w:val="Heading1"/>
        <w:rPr>
          <w:b/>
          <w:bCs/>
        </w:rPr>
      </w:pPr>
      <w:r w:rsidRPr="003B1820">
        <w:rPr>
          <w:b/>
        </w:rPr>
        <w:t>Supplementary Information</w:t>
      </w:r>
    </w:p>
    <w:p w14:paraId="64060547" w14:textId="77777777" w:rsidR="00D32C53" w:rsidRDefault="00D32C53" w:rsidP="00D32C53">
      <w:pPr>
        <w:pStyle w:val="Heading2"/>
      </w:pPr>
      <w:r>
        <w:t>Extended Data</w:t>
      </w:r>
      <w:r w:rsidRPr="4D832DD6">
        <w:t xml:space="preserve"> Fig. 1.</w:t>
      </w:r>
      <w:r w:rsidRPr="003B1820">
        <w:t xml:space="preserve"> SteatoSITE architecture schematic.</w:t>
      </w:r>
    </w:p>
    <w:p w14:paraId="5605524D" w14:textId="77777777" w:rsidR="00D32C53" w:rsidRDefault="00D32C53" w:rsidP="00D32C53">
      <w:r>
        <w:t>A schematic representation of the data sources and integration undertaken to construct the SteatoSITE data commons.</w:t>
      </w:r>
    </w:p>
    <w:p w14:paraId="25334830" w14:textId="77777777" w:rsidR="00D32C53" w:rsidRPr="00824215" w:rsidRDefault="00D32C53" w:rsidP="00D32C53">
      <w:pPr>
        <w:jc w:val="center"/>
      </w:pP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12DB3FA2" wp14:editId="0024DD68">
            <wp:extent cx="5727701" cy="2476500"/>
            <wp:effectExtent l="0" t="0" r="0" b="0"/>
            <wp:docPr id="2047459808" name="Picture 20474598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1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528B6" w14:textId="77777777" w:rsidR="00D32C53" w:rsidRDefault="00D32C53" w:rsidP="00D32C53">
      <w:pPr>
        <w:spacing w:after="160" w:line="259" w:lineRule="auto"/>
        <w:rPr>
          <w:b/>
          <w:bCs/>
          <w:color w:val="auto"/>
          <w:sz w:val="32"/>
          <w:szCs w:val="32"/>
          <w:lang w:eastAsia="en-GB"/>
        </w:rPr>
      </w:pPr>
      <w:r>
        <w:br w:type="page"/>
      </w:r>
    </w:p>
    <w:p w14:paraId="32D7AEB3" w14:textId="77777777" w:rsidR="00D32C53" w:rsidRPr="00824215" w:rsidRDefault="00D32C53" w:rsidP="00D32C53">
      <w:pPr>
        <w:pStyle w:val="Heading2"/>
        <w:rPr>
          <w:highlight w:val="yellow"/>
        </w:rPr>
      </w:pPr>
      <w:r>
        <w:lastRenderedPageBreak/>
        <w:t>Extended Data</w:t>
      </w:r>
      <w:r w:rsidRPr="00855880">
        <w:t xml:space="preserve"> Fig. 2. Additional histopathological analyses.</w:t>
      </w:r>
    </w:p>
    <w:p w14:paraId="1755E80A" w14:textId="77777777" w:rsidR="00D32C53" w:rsidRPr="00554843" w:rsidRDefault="00D32C53" w:rsidP="00D32C53">
      <w:pPr>
        <w:rPr>
          <w:color w:val="auto"/>
          <w:sz w:val="20"/>
          <w:szCs w:val="20"/>
          <w:highlight w:val="yellow"/>
        </w:rPr>
      </w:pPr>
      <w:r w:rsidRPr="00554843">
        <w:rPr>
          <w:b/>
          <w:bCs/>
          <w:color w:val="auto"/>
          <w:sz w:val="20"/>
          <w:szCs w:val="20"/>
        </w:rPr>
        <w:t>a,</w:t>
      </w:r>
      <w:r w:rsidRPr="00554843">
        <w:rPr>
          <w:color w:val="auto"/>
          <w:sz w:val="20"/>
          <w:szCs w:val="20"/>
        </w:rPr>
        <w:t xml:space="preserve"> Clinical follow-up depth (in days) according to specimen type. </w:t>
      </w:r>
      <w:r w:rsidRPr="00554843">
        <w:rPr>
          <w:b/>
          <w:bCs/>
          <w:color w:val="auto"/>
          <w:sz w:val="20"/>
          <w:szCs w:val="20"/>
        </w:rPr>
        <w:t>b,</w:t>
      </w:r>
      <w:r w:rsidRPr="00554843">
        <w:rPr>
          <w:color w:val="auto"/>
          <w:sz w:val="20"/>
          <w:szCs w:val="20"/>
        </w:rPr>
        <w:t xml:space="preserve"> Clinical assessment of the presence or absence of a histological diagnosis of steatohepatitis versus NASH-CRN stage. </w:t>
      </w:r>
      <w:r w:rsidRPr="00554843">
        <w:rPr>
          <w:b/>
          <w:bCs/>
          <w:color w:val="auto"/>
          <w:sz w:val="20"/>
          <w:szCs w:val="20"/>
        </w:rPr>
        <w:t>c,</w:t>
      </w:r>
      <w:r w:rsidRPr="00554843">
        <w:rPr>
          <w:color w:val="auto"/>
          <w:sz w:val="20"/>
          <w:szCs w:val="20"/>
        </w:rPr>
        <w:t xml:space="preserve"> A representative whole-slide image of a PSR-stained section with the associated tissue mask and applied classifier showing PSR-positive (red) and fat droplets (purple) from the QuPath quantitative pathology pipeline; only pixels present within the tissue mask are used for PSR and fat quantitation. </w:t>
      </w:r>
      <w:r w:rsidRPr="00554843">
        <w:rPr>
          <w:b/>
          <w:bCs/>
          <w:color w:val="auto"/>
          <w:sz w:val="20"/>
          <w:szCs w:val="20"/>
        </w:rPr>
        <w:t>d,</w:t>
      </w:r>
      <w:r w:rsidRPr="00554843">
        <w:rPr>
          <w:color w:val="auto"/>
          <w:sz w:val="20"/>
          <w:szCs w:val="20"/>
        </w:rPr>
        <w:t xml:space="preserve"> The amount of steatosis from image quantification versus NAS steatosis assigned scores. </w:t>
      </w:r>
      <w:r w:rsidRPr="00554843">
        <w:rPr>
          <w:b/>
          <w:bCs/>
          <w:color w:val="auto"/>
          <w:sz w:val="20"/>
          <w:szCs w:val="20"/>
        </w:rPr>
        <w:t>e,</w:t>
      </w:r>
      <w:r w:rsidRPr="00554843">
        <w:rPr>
          <w:color w:val="auto"/>
          <w:sz w:val="20"/>
          <w:szCs w:val="20"/>
        </w:rPr>
        <w:t xml:space="preserve"> The PSR percentage from image quantification versus assigned NASH-CRN scores. </w:t>
      </w:r>
      <w:r w:rsidRPr="00554843">
        <w:rPr>
          <w:b/>
          <w:bCs/>
          <w:color w:val="auto"/>
          <w:sz w:val="20"/>
          <w:szCs w:val="20"/>
        </w:rPr>
        <w:t xml:space="preserve">f, </w:t>
      </w:r>
      <w:r w:rsidRPr="00554843">
        <w:rPr>
          <w:color w:val="auto"/>
          <w:sz w:val="20"/>
          <w:szCs w:val="20"/>
        </w:rPr>
        <w:t xml:space="preserve">The PSR percentage from image quantification versus assigned modified Ishak scores. </w:t>
      </w:r>
      <w:r w:rsidRPr="00554843">
        <w:rPr>
          <w:b/>
          <w:bCs/>
          <w:color w:val="auto"/>
          <w:sz w:val="20"/>
          <w:szCs w:val="20"/>
        </w:rPr>
        <w:t xml:space="preserve">g, </w:t>
      </w:r>
      <w:r w:rsidRPr="00554843">
        <w:rPr>
          <w:color w:val="auto"/>
          <w:sz w:val="20"/>
          <w:szCs w:val="20"/>
        </w:rPr>
        <w:t>Count of presence or absence of HCC in resection cases versus assigned NASH-CRN stage.</w:t>
      </w:r>
    </w:p>
    <w:p w14:paraId="55B38765" w14:textId="77777777" w:rsidR="00D32C53" w:rsidRDefault="00D32C53" w:rsidP="00D32C53">
      <w:pPr>
        <w:spacing w:after="160" w:line="259" w:lineRule="auto"/>
        <w:jc w:val="center"/>
        <w:rPr>
          <w:b/>
          <w:bCs/>
          <w:color w:val="auto"/>
          <w:sz w:val="32"/>
          <w:szCs w:val="32"/>
          <w:lang w:eastAsia="en-GB"/>
        </w:rPr>
      </w:pP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214E910F" wp14:editId="5E1FC1B8">
            <wp:extent cx="4343400" cy="6137562"/>
            <wp:effectExtent l="0" t="0" r="0" b="0"/>
            <wp:docPr id="2" name="Picture 2" descr="C:\Users\tkendall\AppData\Local\Microsoft\Windows\INetCache\Content.Word\supp_figure_2_patholog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137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635E1DA2" w14:textId="77777777" w:rsidR="00D32C53" w:rsidRPr="00824215" w:rsidRDefault="00D32C53" w:rsidP="00D32C53">
      <w:pPr>
        <w:pStyle w:val="Heading2"/>
      </w:pPr>
      <w:r>
        <w:lastRenderedPageBreak/>
        <w:t>Extended Data</w:t>
      </w:r>
      <w:r w:rsidRPr="4D832DD6">
        <w:t xml:space="preserve"> Fig. 3. Validation of normal liver transcriptome. </w:t>
      </w:r>
    </w:p>
    <w:p w14:paraId="2CA3B7EE" w14:textId="77777777" w:rsidR="00D32C53" w:rsidRPr="00554843" w:rsidRDefault="00D32C53" w:rsidP="00D32C53">
      <w:pPr>
        <w:rPr>
          <w:b/>
          <w:bCs/>
          <w:color w:val="auto"/>
          <w:sz w:val="20"/>
          <w:szCs w:val="20"/>
          <w:lang w:eastAsia="en-GB"/>
        </w:rPr>
      </w:pPr>
      <w:r w:rsidRPr="00554843">
        <w:rPr>
          <w:noProof/>
          <w:color w:val="2B579A"/>
          <w:sz w:val="20"/>
          <w:szCs w:val="20"/>
          <w:shd w:val="clear" w:color="auto" w:fill="E6E6E6"/>
          <w:lang w:eastAsia="en-GB"/>
        </w:rPr>
        <w:drawing>
          <wp:anchor distT="0" distB="0" distL="114300" distR="114300" simplePos="0" relativeHeight="251659264" behindDoc="0" locked="0" layoutInCell="1" allowOverlap="1" wp14:anchorId="03578CD5" wp14:editId="50C28AD0">
            <wp:simplePos x="0" y="0"/>
            <wp:positionH relativeFrom="margin">
              <wp:align>center</wp:align>
            </wp:positionH>
            <wp:positionV relativeFrom="paragraph">
              <wp:posOffset>675640</wp:posOffset>
            </wp:positionV>
            <wp:extent cx="5126990" cy="7302500"/>
            <wp:effectExtent l="0" t="0" r="0" b="0"/>
            <wp:wrapNone/>
            <wp:docPr id="5" name="Picture 5" descr="C:\Users\tkendall\AppData\Local\Microsoft\Windows\INetCache\Content.Word\Corrcontrols_all_SteatoS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kendall\AppData\Local\Microsoft\Windows\INetCache\Content.Word\Corrcontrols_all_SteatoSIT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730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54843">
        <w:rPr>
          <w:color w:val="auto"/>
          <w:sz w:val="20"/>
          <w:szCs w:val="20"/>
        </w:rPr>
        <w:t xml:space="preserve">Correlation (corrplot) of transcriptomic profiles of normal SteatoSITE samples (n = 40) with published normal liver reference data (n = 57). The colour scale corresponds to the strength and direction of correlations.   </w:t>
      </w:r>
      <w:r w:rsidRPr="00554843">
        <w:rPr>
          <w:sz w:val="20"/>
          <w:szCs w:val="20"/>
        </w:rPr>
        <w:br w:type="page"/>
      </w:r>
    </w:p>
    <w:p w14:paraId="1FD3E467" w14:textId="77777777" w:rsidR="00D32C53" w:rsidRPr="00824215" w:rsidRDefault="00D32C53" w:rsidP="00D32C53">
      <w:pPr>
        <w:pStyle w:val="Heading2"/>
      </w:pPr>
      <w:r>
        <w:lastRenderedPageBreak/>
        <w:t>Extended Data Fig. 4. SteatoSITE RNA-seq summary heatmap.</w:t>
      </w:r>
    </w:p>
    <w:p w14:paraId="1EEE0D13" w14:textId="77777777" w:rsidR="00D32C53" w:rsidRPr="00824215" w:rsidRDefault="00D32C53" w:rsidP="00D32C53">
      <w:pPr>
        <w:jc w:val="center"/>
        <w:rPr>
          <w:color w:val="auto"/>
          <w:highlight w:val="yellow"/>
        </w:rPr>
      </w:pPr>
      <w:r w:rsidRPr="00554843">
        <w:rPr>
          <w:sz w:val="20"/>
          <w:szCs w:val="20"/>
        </w:rPr>
        <w:t>Unsupervised clustering using the RNA-seq data from the SteatoSITE cohort using the log expression of the top 100 most expressed genes across all samples.</w:t>
      </w: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525439AF" wp14:editId="0435CC8A">
            <wp:extent cx="6467272" cy="5175250"/>
            <wp:effectExtent l="0" t="0" r="0" b="6350"/>
            <wp:docPr id="3" name="Picture 3" descr="C:\Users\tkendall\AppData\Local\Microsoft\Windows\INetCache\Content.Word\SI 4- Pheat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8892" cy="5176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85A96" w14:textId="77777777" w:rsidR="00D32C53" w:rsidRDefault="00D32C53" w:rsidP="00D32C53">
      <w:pPr>
        <w:rPr>
          <w:b/>
          <w:bCs/>
          <w:color w:val="auto"/>
          <w:sz w:val="32"/>
          <w:szCs w:val="32"/>
          <w:lang w:eastAsia="en-GB"/>
        </w:rPr>
      </w:pPr>
    </w:p>
    <w:p w14:paraId="7D37E74F" w14:textId="77777777" w:rsidR="00D32C53" w:rsidRDefault="00D32C53" w:rsidP="00D32C53">
      <w:pPr>
        <w:spacing w:after="160" w:line="259" w:lineRule="auto"/>
        <w:rPr>
          <w:b/>
          <w:bCs/>
          <w:color w:val="auto"/>
          <w:sz w:val="32"/>
          <w:szCs w:val="32"/>
          <w:lang w:eastAsia="en-GB"/>
        </w:rPr>
      </w:pPr>
      <w:r>
        <w:br w:type="page"/>
      </w:r>
    </w:p>
    <w:p w14:paraId="64B1B217" w14:textId="77777777" w:rsidR="00D32C53" w:rsidRDefault="00D32C53" w:rsidP="00D32C53">
      <w:pPr>
        <w:pStyle w:val="Heading2"/>
      </w:pPr>
      <w:r>
        <w:lastRenderedPageBreak/>
        <w:t>Extended Data</w:t>
      </w:r>
      <w:r w:rsidRPr="00AE16AE">
        <w:t xml:space="preserve"> Fig. 5. </w:t>
      </w:r>
      <w:r w:rsidRPr="5DB64EDF">
        <w:t>SteatoSITE RNA-seq gene ontology analysis.</w:t>
      </w:r>
    </w:p>
    <w:p w14:paraId="100A07E1" w14:textId="77777777" w:rsidR="00D32C53" w:rsidRPr="00554843" w:rsidRDefault="00D32C53" w:rsidP="00D32C53">
      <w:pPr>
        <w:rPr>
          <w:sz w:val="20"/>
          <w:szCs w:val="20"/>
        </w:rPr>
      </w:pPr>
      <w:r w:rsidRPr="00554843">
        <w:rPr>
          <w:b/>
          <w:bCs/>
          <w:sz w:val="20"/>
          <w:szCs w:val="20"/>
        </w:rPr>
        <w:t xml:space="preserve">a, </w:t>
      </w:r>
      <w:r w:rsidRPr="00554843">
        <w:rPr>
          <w:sz w:val="20"/>
          <w:szCs w:val="20"/>
        </w:rPr>
        <w:t>GO terms molecular function (MF) for F0/1 vs control.</w:t>
      </w:r>
      <w:r w:rsidRPr="00554843">
        <w:rPr>
          <w:b/>
          <w:bCs/>
          <w:sz w:val="20"/>
          <w:szCs w:val="20"/>
        </w:rPr>
        <w:t xml:space="preserve"> b, </w:t>
      </w:r>
      <w:r w:rsidRPr="00554843">
        <w:rPr>
          <w:sz w:val="20"/>
          <w:szCs w:val="20"/>
        </w:rPr>
        <w:t xml:space="preserve">GO terms MF for F2 vs control. </w:t>
      </w:r>
      <w:r w:rsidRPr="00554843">
        <w:rPr>
          <w:b/>
          <w:bCs/>
          <w:sz w:val="20"/>
          <w:szCs w:val="20"/>
        </w:rPr>
        <w:t xml:space="preserve">c, </w:t>
      </w:r>
      <w:r w:rsidRPr="00554843">
        <w:rPr>
          <w:sz w:val="20"/>
          <w:szCs w:val="20"/>
        </w:rPr>
        <w:t xml:space="preserve">GO terms MF for F3 vs control. </w:t>
      </w:r>
      <w:r w:rsidRPr="00554843">
        <w:rPr>
          <w:b/>
          <w:bCs/>
          <w:sz w:val="20"/>
          <w:szCs w:val="20"/>
        </w:rPr>
        <w:t xml:space="preserve">d, </w:t>
      </w:r>
      <w:r w:rsidRPr="00554843">
        <w:rPr>
          <w:sz w:val="20"/>
          <w:szCs w:val="20"/>
        </w:rPr>
        <w:t>GO terms MF F4 vs control.</w:t>
      </w:r>
    </w:p>
    <w:p w14:paraId="6BDD0F50" w14:textId="77777777" w:rsidR="00D32C53" w:rsidRPr="00AE16AE" w:rsidRDefault="00D32C53" w:rsidP="00D32C53">
      <w:pPr>
        <w:jc w:val="center"/>
      </w:pP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1EF47512" wp14:editId="233BEA17">
            <wp:extent cx="6343650" cy="4572000"/>
            <wp:effectExtent l="0" t="0" r="0" b="0"/>
            <wp:docPr id="1719597470" name="Picture 17195974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16255" w14:textId="77777777" w:rsidR="00D32C53" w:rsidRDefault="00D32C53" w:rsidP="00D32C53">
      <w:pPr>
        <w:spacing w:after="160" w:line="259" w:lineRule="auto"/>
        <w:rPr>
          <w:b/>
          <w:bCs/>
          <w:color w:val="auto"/>
          <w:sz w:val="32"/>
          <w:szCs w:val="32"/>
          <w:lang w:eastAsia="en-GB"/>
        </w:rPr>
      </w:pPr>
      <w:r>
        <w:br w:type="page"/>
      </w:r>
    </w:p>
    <w:p w14:paraId="3C460A81" w14:textId="77777777" w:rsidR="00D32C53" w:rsidRPr="00AE16AE" w:rsidRDefault="00D32C53" w:rsidP="00D32C53">
      <w:pPr>
        <w:pStyle w:val="Heading2"/>
        <w:rPr>
          <w:color w:val="000000" w:themeColor="text1"/>
        </w:rPr>
      </w:pPr>
      <w:r>
        <w:lastRenderedPageBreak/>
        <w:t>Extended Data</w:t>
      </w:r>
      <w:r w:rsidRPr="5DB64EDF">
        <w:t xml:space="preserve"> Fig. 6. </w:t>
      </w:r>
      <w:r w:rsidRPr="00840D80">
        <w:t xml:space="preserve">SteatoSITE RNA-seq </w:t>
      </w:r>
      <w:r w:rsidRPr="5DB64EDF">
        <w:t xml:space="preserve">according to </w:t>
      </w:r>
      <w:r w:rsidRPr="00840D80">
        <w:t>NAS scores</w:t>
      </w:r>
    </w:p>
    <w:p w14:paraId="660DD678" w14:textId="77777777" w:rsidR="00D32C53" w:rsidRPr="00554843" w:rsidRDefault="00D32C53" w:rsidP="00D32C53">
      <w:pPr>
        <w:rPr>
          <w:color w:val="auto"/>
          <w:sz w:val="20"/>
          <w:szCs w:val="20"/>
        </w:rPr>
      </w:pPr>
      <w:r w:rsidRPr="00554843">
        <w:rPr>
          <w:b/>
          <w:bCs/>
          <w:color w:val="auto"/>
          <w:sz w:val="20"/>
          <w:szCs w:val="20"/>
        </w:rPr>
        <w:t xml:space="preserve">a, </w:t>
      </w:r>
      <w:r w:rsidRPr="00554843">
        <w:rPr>
          <w:color w:val="auto"/>
          <w:sz w:val="20"/>
          <w:szCs w:val="20"/>
        </w:rPr>
        <w:t xml:space="preserve">UpSet plot of differentially assessed genes (DEGs), 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 xml:space="preserve">showing DEGs belonging to individual sets (according to </w:t>
      </w:r>
      <w:r w:rsidRPr="00554843">
        <w:rPr>
          <w:color w:val="auto"/>
          <w:sz w:val="20"/>
          <w:szCs w:val="20"/>
        </w:rPr>
        <w:t>NAFLD activity score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 xml:space="preserve"> (NAS) </w:t>
      </w:r>
      <w:r w:rsidRPr="00554843">
        <w:rPr>
          <w:rFonts w:ascii="Symbol" w:eastAsia="Symbol" w:hAnsi="Symbol" w:cs="Symbol"/>
          <w:color w:val="auto"/>
          <w:sz w:val="20"/>
          <w:szCs w:val="20"/>
        </w:rPr>
        <w:t>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 xml:space="preserve"> 2, NAS 3/4 and NAS </w:t>
      </w:r>
      <w:r w:rsidRPr="00554843">
        <w:rPr>
          <w:rFonts w:ascii="Symbol" w:eastAsia="Symbol" w:hAnsi="Symbol" w:cs="Symbol"/>
          <w:color w:val="auto"/>
          <w:sz w:val="20"/>
          <w:szCs w:val="20"/>
        </w:rPr>
        <w:t>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 xml:space="preserve"> 5) and the intersection of DEGs across all NAS sets. Set sizes are presented as bars and their composition is described by the bottom panel. </w:t>
      </w:r>
      <w:r w:rsidRPr="00554843">
        <w:rPr>
          <w:b/>
          <w:bCs/>
          <w:color w:val="auto"/>
          <w:sz w:val="20"/>
          <w:szCs w:val="20"/>
        </w:rPr>
        <w:t xml:space="preserve">b, </w:t>
      </w:r>
      <w:r w:rsidRPr="00554843">
        <w:rPr>
          <w:color w:val="auto"/>
          <w:sz w:val="20"/>
          <w:szCs w:val="20"/>
        </w:rPr>
        <w:t xml:space="preserve">Top 10 molecular functions (gene ontology (GO) terms) based on the differentially expressed genes of NAS </w:t>
      </w:r>
      <w:r w:rsidRPr="00554843">
        <w:rPr>
          <w:rFonts w:ascii="Symbol" w:eastAsia="Symbol" w:hAnsi="Symbol" w:cs="Symbol"/>
          <w:color w:val="auto"/>
          <w:sz w:val="20"/>
          <w:szCs w:val="20"/>
        </w:rPr>
        <w:t></w:t>
      </w:r>
      <w:r w:rsidRPr="00554843">
        <w:rPr>
          <w:color w:val="auto"/>
          <w:sz w:val="20"/>
          <w:szCs w:val="20"/>
        </w:rPr>
        <w:t xml:space="preserve"> 2; </w:t>
      </w:r>
      <w:r w:rsidRPr="00554843">
        <w:rPr>
          <w:b/>
          <w:bCs/>
          <w:color w:val="auto"/>
          <w:sz w:val="20"/>
          <w:szCs w:val="20"/>
        </w:rPr>
        <w:t xml:space="preserve">c, </w:t>
      </w:r>
      <w:r w:rsidRPr="00554843">
        <w:rPr>
          <w:color w:val="auto"/>
          <w:sz w:val="20"/>
          <w:szCs w:val="20"/>
        </w:rPr>
        <w:t xml:space="preserve">NAS 3/4; </w:t>
      </w:r>
      <w:r w:rsidRPr="00554843">
        <w:rPr>
          <w:b/>
          <w:bCs/>
          <w:color w:val="auto"/>
          <w:sz w:val="20"/>
          <w:szCs w:val="20"/>
        </w:rPr>
        <w:t>d,</w:t>
      </w:r>
      <w:r w:rsidRPr="00554843">
        <w:rPr>
          <w:color w:val="auto"/>
          <w:sz w:val="20"/>
          <w:szCs w:val="20"/>
        </w:rPr>
        <w:t xml:space="preserve"> NAS </w:t>
      </w:r>
      <w:r w:rsidRPr="00554843">
        <w:rPr>
          <w:rFonts w:ascii="Symbol" w:eastAsia="Symbol" w:hAnsi="Symbol" w:cs="Symbol"/>
          <w:color w:val="auto"/>
          <w:sz w:val="20"/>
          <w:szCs w:val="20"/>
        </w:rPr>
        <w:t></w:t>
      </w:r>
      <w:r w:rsidRPr="00554843">
        <w:rPr>
          <w:color w:val="auto"/>
          <w:sz w:val="20"/>
          <w:szCs w:val="20"/>
        </w:rPr>
        <w:t xml:space="preserve"> 5.</w:t>
      </w:r>
    </w:p>
    <w:p w14:paraId="3BE9B11B" w14:textId="77777777" w:rsidR="00D32C53" w:rsidRPr="00824215" w:rsidRDefault="00D32C53" w:rsidP="00D32C53">
      <w:pPr>
        <w:jc w:val="center"/>
        <w:rPr>
          <w:color w:val="auto"/>
        </w:rPr>
      </w:pP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4C9030D2" wp14:editId="52ADD888">
            <wp:extent cx="6337300" cy="4381500"/>
            <wp:effectExtent l="0" t="0" r="6350" b="0"/>
            <wp:docPr id="982697087" name="Picture 9826970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73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C27C9" w14:textId="77777777" w:rsidR="00D32C53" w:rsidRDefault="00D32C53" w:rsidP="00D32C53">
      <w:pPr>
        <w:spacing w:after="160" w:line="259" w:lineRule="auto"/>
      </w:pPr>
    </w:p>
    <w:p w14:paraId="11CF0EBB" w14:textId="77777777" w:rsidR="00D32C53" w:rsidRDefault="00D32C53" w:rsidP="00D32C53">
      <w:pPr>
        <w:spacing w:after="160" w:line="259" w:lineRule="auto"/>
      </w:pPr>
      <w:r>
        <w:br w:type="page"/>
      </w:r>
    </w:p>
    <w:p w14:paraId="4F74E510" w14:textId="77777777" w:rsidR="00D32C53" w:rsidRPr="0032650E" w:rsidRDefault="00D32C53" w:rsidP="00D32C53">
      <w:pPr>
        <w:pStyle w:val="Heading2"/>
      </w:pPr>
      <w:r w:rsidRPr="0032650E">
        <w:lastRenderedPageBreak/>
        <w:t>Extended Data Fig. 7. Correlation of scar-associated macrophage numbers with NAFLD activity score components.</w:t>
      </w:r>
    </w:p>
    <w:p w14:paraId="52847B71" w14:textId="77777777" w:rsidR="00D32C53" w:rsidRPr="00554843" w:rsidRDefault="00D32C53" w:rsidP="00D32C53">
      <w:pPr>
        <w:rPr>
          <w:b/>
          <w:bCs/>
          <w:color w:val="auto"/>
          <w:sz w:val="20"/>
          <w:szCs w:val="20"/>
        </w:rPr>
      </w:pPr>
      <w:r w:rsidRPr="00554843">
        <w:rPr>
          <w:color w:val="auto"/>
          <w:sz w:val="20"/>
          <w:szCs w:val="20"/>
        </w:rPr>
        <w:t>Scar-associated macrophage numbers determined by multiplex immunofluorescence correlated positively with assigned components of the NAFLD activity score (n=43).  Spearman</w:t>
      </w:r>
      <w:r w:rsidRPr="00554843">
        <w:rPr>
          <w:color w:val="auto"/>
          <w:sz w:val="20"/>
          <w:szCs w:val="20"/>
        </w:rPr>
        <w:t>’</w:t>
      </w:r>
      <w:r w:rsidRPr="00554843">
        <w:rPr>
          <w:color w:val="auto"/>
          <w:sz w:val="20"/>
          <w:szCs w:val="20"/>
        </w:rPr>
        <w:t xml:space="preserve">s rho and </w:t>
      </w:r>
      <w:r w:rsidRPr="00554843">
        <w:rPr>
          <w:i/>
          <w:iCs/>
          <w:color w:val="auto"/>
          <w:sz w:val="20"/>
          <w:szCs w:val="20"/>
        </w:rPr>
        <w:t>P</w:t>
      </w:r>
      <w:r w:rsidRPr="00554843">
        <w:rPr>
          <w:color w:val="auto"/>
          <w:sz w:val="20"/>
          <w:szCs w:val="20"/>
        </w:rPr>
        <w:t>-value indicated for ballooning (</w:t>
      </w:r>
      <w:r w:rsidRPr="00554843">
        <w:rPr>
          <w:b/>
          <w:color w:val="auto"/>
          <w:sz w:val="20"/>
          <w:szCs w:val="20"/>
        </w:rPr>
        <w:t>a</w:t>
      </w:r>
      <w:r w:rsidRPr="00554843">
        <w:rPr>
          <w:color w:val="auto"/>
          <w:sz w:val="20"/>
          <w:szCs w:val="20"/>
        </w:rPr>
        <w:t>), steatosis (</w:t>
      </w:r>
      <w:r w:rsidRPr="00554843">
        <w:rPr>
          <w:b/>
          <w:color w:val="auto"/>
          <w:sz w:val="20"/>
          <w:szCs w:val="20"/>
        </w:rPr>
        <w:t>b</w:t>
      </w:r>
      <w:r w:rsidRPr="00554843">
        <w:rPr>
          <w:color w:val="auto"/>
          <w:sz w:val="20"/>
          <w:szCs w:val="20"/>
        </w:rPr>
        <w:t>), and inflammation (</w:t>
      </w:r>
      <w:r w:rsidRPr="00554843">
        <w:rPr>
          <w:b/>
          <w:color w:val="auto"/>
          <w:sz w:val="20"/>
          <w:szCs w:val="20"/>
        </w:rPr>
        <w:t>c</w:t>
      </w:r>
      <w:r w:rsidRPr="00554843">
        <w:rPr>
          <w:color w:val="auto"/>
          <w:sz w:val="20"/>
          <w:szCs w:val="20"/>
        </w:rPr>
        <w:t xml:space="preserve">). </w:t>
      </w:r>
      <w:r w:rsidRPr="00554843">
        <w:rPr>
          <w:b/>
          <w:bCs/>
          <w:color w:val="auto"/>
          <w:sz w:val="20"/>
          <w:szCs w:val="20"/>
        </w:rPr>
        <w:t xml:space="preserve"> </w:t>
      </w:r>
    </w:p>
    <w:p w14:paraId="3F8075B8" w14:textId="77777777" w:rsidR="00D32C53" w:rsidRDefault="00D32C53" w:rsidP="00D32C53">
      <w:pPr>
        <w:jc w:val="center"/>
        <w:rPr>
          <w:b/>
          <w:bCs/>
          <w:color w:val="auto"/>
        </w:rPr>
      </w:pP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7258B6FD" wp14:editId="50710317">
            <wp:extent cx="5734052" cy="1460500"/>
            <wp:effectExtent l="0" t="0" r="0" b="0"/>
            <wp:docPr id="781149434" name="Picture 7811494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2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0DB40" w14:textId="77777777" w:rsidR="00D32C53" w:rsidRDefault="00D32C53" w:rsidP="00D32C53">
      <w:pPr>
        <w:spacing w:after="160" w:line="259" w:lineRule="auto"/>
        <w:rPr>
          <w:b/>
          <w:bCs/>
          <w:color w:val="auto"/>
          <w:sz w:val="32"/>
          <w:szCs w:val="32"/>
          <w:highlight w:val="yellow"/>
          <w:lang w:eastAsia="en-GB"/>
        </w:rPr>
      </w:pPr>
      <w:r w:rsidRPr="4692D645">
        <w:rPr>
          <w:highlight w:val="yellow"/>
        </w:rPr>
        <w:br w:type="page"/>
      </w:r>
    </w:p>
    <w:p w14:paraId="7358040F" w14:textId="77777777" w:rsidR="00D32C53" w:rsidRPr="00083569" w:rsidRDefault="00D32C53" w:rsidP="00D32C53">
      <w:pPr>
        <w:pStyle w:val="Heading2"/>
      </w:pPr>
      <w:r>
        <w:lastRenderedPageBreak/>
        <w:t>Extended Data</w:t>
      </w:r>
      <w:r w:rsidRPr="00083569">
        <w:t xml:space="preserve"> Fig. </w:t>
      </w:r>
      <w:r>
        <w:t>8</w:t>
      </w:r>
      <w:r w:rsidRPr="00083569">
        <w:t>. Regularised COX regression model.</w:t>
      </w:r>
    </w:p>
    <w:p w14:paraId="12A09D2D" w14:textId="77777777" w:rsidR="00D32C53" w:rsidRPr="00554843" w:rsidRDefault="00D32C53" w:rsidP="00D32C53">
      <w:pPr>
        <w:rPr>
          <w:rFonts w:eastAsia="Avenir Next LT Pro" w:hAnsi="Avenir Next LT Pro" w:cs="Avenir Next LT Pro"/>
          <w:color w:val="auto"/>
          <w:sz w:val="20"/>
          <w:szCs w:val="20"/>
        </w:rPr>
      </w:pPr>
      <w:r w:rsidRPr="00554843">
        <w:rPr>
          <w:rFonts w:eastAsia="Avenir Next LT Pro" w:hAnsi="Avenir Next LT Pro" w:cs="Avenir Next LT Pro"/>
          <w:b/>
          <w:bCs/>
          <w:color w:val="auto"/>
          <w:sz w:val="20"/>
          <w:szCs w:val="20"/>
        </w:rPr>
        <w:t xml:space="preserve">a, 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 xml:space="preserve">Plot of the optimal value of logarithmic lambda and the cross-validation error. </w:t>
      </w:r>
      <w:r w:rsidRPr="00554843">
        <w:rPr>
          <w:rFonts w:eastAsia="Avenir Next LT Pro" w:hAnsi="Avenir Next LT Pro" w:cs="Avenir Next LT Pro"/>
          <w:b/>
          <w:bCs/>
          <w:color w:val="auto"/>
          <w:sz w:val="20"/>
          <w:szCs w:val="20"/>
        </w:rPr>
        <w:t xml:space="preserve">b, 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 xml:space="preserve">Coefficient values across the logarithmic lambda. </w:t>
      </w:r>
      <w:r w:rsidRPr="00554843">
        <w:rPr>
          <w:rFonts w:eastAsia="Avenir Next LT Pro" w:hAnsi="Avenir Next LT Pro" w:cs="Avenir Next LT Pro"/>
          <w:b/>
          <w:bCs/>
          <w:color w:val="auto"/>
          <w:sz w:val="20"/>
          <w:szCs w:val="20"/>
        </w:rPr>
        <w:t xml:space="preserve">c, </w:t>
      </w:r>
      <w:r w:rsidRPr="00554843">
        <w:rPr>
          <w:rFonts w:eastAsia="Avenir Next LT Pro" w:hAnsi="Avenir Next LT Pro" w:cs="Avenir Next LT Pro"/>
          <w:color w:val="auto"/>
          <w:sz w:val="20"/>
          <w:szCs w:val="20"/>
        </w:rPr>
        <w:t>Risk-values and their distributions. The horizontal dashed line indicates the median risk-value.</w:t>
      </w:r>
    </w:p>
    <w:p w14:paraId="36BA8637" w14:textId="77777777" w:rsidR="00D32C53" w:rsidRPr="00AE16AE" w:rsidRDefault="00D32C53" w:rsidP="00D32C53">
      <w:pPr>
        <w:jc w:val="center"/>
        <w:rPr>
          <w:rFonts w:eastAsia="Avenir Next LT Pro" w:hAnsi="Avenir Next LT Pro" w:cs="Avenir Next LT Pro"/>
          <w:color w:val="auto"/>
        </w:rPr>
      </w:pPr>
      <w:r>
        <w:rPr>
          <w:rFonts w:eastAsia="Avenir Next LT Pro" w:hAnsi="Avenir Next LT Pro" w:cs="Avenir Next LT Pro"/>
          <w:noProof/>
          <w:color w:val="auto"/>
          <w:lang w:eastAsia="en-GB"/>
        </w:rPr>
        <w:drawing>
          <wp:inline distT="0" distB="0" distL="0" distR="0" wp14:anchorId="1A907AE0" wp14:editId="33C69DF8">
            <wp:extent cx="5908866" cy="42227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phic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2920" cy="423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BAEAB" w14:textId="77777777" w:rsidR="00D32C53" w:rsidRDefault="00D32C53" w:rsidP="00D32C53">
      <w:pPr>
        <w:spacing w:after="160" w:line="259" w:lineRule="auto"/>
        <w:rPr>
          <w:b/>
          <w:bCs/>
          <w:color w:val="auto"/>
          <w:sz w:val="32"/>
          <w:szCs w:val="32"/>
          <w:highlight w:val="yellow"/>
          <w:lang w:eastAsia="en-GB"/>
        </w:rPr>
      </w:pPr>
      <w:r w:rsidRPr="4692D645">
        <w:rPr>
          <w:highlight w:val="yellow"/>
        </w:rPr>
        <w:br w:type="page"/>
      </w:r>
    </w:p>
    <w:p w14:paraId="3728A2EC" w14:textId="77777777" w:rsidR="00D32C53" w:rsidRPr="00833AE9" w:rsidRDefault="00D32C53" w:rsidP="00D32C53">
      <w:pPr>
        <w:pStyle w:val="Heading2"/>
      </w:pPr>
      <w:r>
        <w:lastRenderedPageBreak/>
        <w:t>Extended Data Fig. 9. Gene expression of the prognostic signature across the fibrotic stages.</w:t>
      </w:r>
    </w:p>
    <w:p w14:paraId="2CFF188B" w14:textId="77777777" w:rsidR="00D32C53" w:rsidRDefault="00D32C53" w:rsidP="00D32C53">
      <w:pPr>
        <w:spacing w:after="160" w:line="259" w:lineRule="auto"/>
        <w:jc w:val="center"/>
        <w:rPr>
          <w:b/>
          <w:bCs/>
          <w:color w:val="auto"/>
          <w:sz w:val="32"/>
          <w:szCs w:val="32"/>
          <w:highlight w:val="yellow"/>
          <w:lang w:eastAsia="en-GB"/>
        </w:rPr>
      </w:pPr>
      <w:r>
        <w:rPr>
          <w:noProof/>
          <w:color w:val="2B579A"/>
          <w:shd w:val="clear" w:color="auto" w:fill="E6E6E6"/>
          <w:lang w:eastAsia="en-GB"/>
        </w:rPr>
        <w:drawing>
          <wp:inline distT="0" distB="0" distL="0" distR="0" wp14:anchorId="65A70E94" wp14:editId="54E73BA6">
            <wp:extent cx="6350000" cy="5607050"/>
            <wp:effectExtent l="0" t="0" r="0" b="0"/>
            <wp:docPr id="1024427460" name="Picture 10244274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2" cy="5607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692D645">
        <w:rPr>
          <w:highlight w:val="yellow"/>
        </w:rPr>
        <w:br w:type="page"/>
      </w:r>
    </w:p>
    <w:p w14:paraId="515D5A0C" w14:textId="77777777" w:rsidR="00D32C53" w:rsidRPr="008711E3" w:rsidRDefault="00D32C53" w:rsidP="00D32C53">
      <w:pPr>
        <w:pStyle w:val="Heading2"/>
      </w:pPr>
      <w:r>
        <w:lastRenderedPageBreak/>
        <w:t>Extended Data Fig. 10. Additional predictive and personalisation value of estimated THRB regulon activity in F0 and F1 stage disease.</w:t>
      </w:r>
    </w:p>
    <w:p w14:paraId="05545821" w14:textId="77777777" w:rsidR="00D32C53" w:rsidRPr="00554843" w:rsidRDefault="00D32C53" w:rsidP="00D32C53">
      <w:pPr>
        <w:rPr>
          <w:sz w:val="20"/>
          <w:szCs w:val="20"/>
        </w:rPr>
      </w:pPr>
      <w:r w:rsidRPr="00554843">
        <w:rPr>
          <w:b/>
          <w:bCs/>
          <w:sz w:val="20"/>
          <w:szCs w:val="20"/>
        </w:rPr>
        <w:t>a,</w:t>
      </w:r>
      <w:r w:rsidRPr="00554843">
        <w:rPr>
          <w:sz w:val="20"/>
          <w:szCs w:val="20"/>
        </w:rPr>
        <w:t xml:space="preserve"> In histologically identical low-risk fibrosis stages (F0 and F1 biopsy cases), low THRB activity identifies patients at high risk of progression to a hepatic decompensation event; log rank test </w:t>
      </w:r>
      <w:r w:rsidRPr="00554843">
        <w:rPr>
          <w:i/>
          <w:iCs/>
          <w:sz w:val="20"/>
          <w:szCs w:val="20"/>
        </w:rPr>
        <w:t>P</w:t>
      </w:r>
      <w:r w:rsidRPr="00554843">
        <w:rPr>
          <w:sz w:val="20"/>
          <w:szCs w:val="20"/>
        </w:rPr>
        <w:t xml:space="preserve">-value. </w:t>
      </w:r>
      <w:r w:rsidRPr="00554843">
        <w:rPr>
          <w:b/>
          <w:bCs/>
          <w:sz w:val="20"/>
          <w:szCs w:val="20"/>
        </w:rPr>
        <w:t>b,</w:t>
      </w:r>
      <w:r w:rsidRPr="00554843">
        <w:rPr>
          <w:sz w:val="20"/>
          <w:szCs w:val="20"/>
        </w:rPr>
        <w:t xml:space="preserve"> Example individual 2-tailed gene set enrichment plots of target genes in the THRB regulon (left, Benjamini and Hochberg (false discovery rate) adjusted </w:t>
      </w:r>
      <w:r w:rsidRPr="00554843">
        <w:rPr>
          <w:i/>
          <w:iCs/>
          <w:sz w:val="20"/>
          <w:szCs w:val="20"/>
        </w:rPr>
        <w:t>P</w:t>
      </w:r>
      <w:r w:rsidRPr="00554843">
        <w:rPr>
          <w:sz w:val="20"/>
          <w:szCs w:val="20"/>
        </w:rPr>
        <w:t>-values) from two patients with identical F0 stage (no scarring) on PSR stained sections (right), where the patient with low THRB differential regulon activity (top, blue) progressed to a hepatic decompensation event 3000 days after biopsy in contrast to a patient with high THRB regulon activity who did not experience a decompensation event during the 4400 days until censoring (bottom, red). Scale bars, 2 mm.</w:t>
      </w:r>
    </w:p>
    <w:p w14:paraId="0FC58E55" w14:textId="77777777" w:rsidR="00D32C53" w:rsidRPr="0029639B" w:rsidRDefault="00D32C53" w:rsidP="00D32C53">
      <w:pPr>
        <w:jc w:val="center"/>
      </w:pPr>
      <w:r>
        <w:rPr>
          <w:noProof/>
          <w:color w:val="2B579A"/>
          <w:shd w:val="clear" w:color="auto" w:fill="E6E6E6"/>
          <w:lang w:eastAsia="en-GB"/>
        </w:rPr>
        <w:lastRenderedPageBreak/>
        <w:drawing>
          <wp:inline distT="0" distB="0" distL="0" distR="0" wp14:anchorId="45E8411F" wp14:editId="7A1718BA">
            <wp:extent cx="3619500" cy="6197189"/>
            <wp:effectExtent l="0" t="0" r="0" b="0"/>
            <wp:docPr id="4" name="Picture 4" descr="C:\Users\tkendall\AppData\Local\Microsoft\Windows\INetCache\Content.Word\Extended_data_fig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0386" cy="6198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20A07" w14:textId="77777777" w:rsidR="00D32C53" w:rsidRPr="008711E3" w:rsidRDefault="00D32C53" w:rsidP="00D32C53">
      <w:pPr>
        <w:pStyle w:val="Heading2"/>
      </w:pPr>
      <w:r>
        <w:t>Extended Data Fig. 11. Correlations between the main principal components and the clinical data.</w:t>
      </w:r>
    </w:p>
    <w:p w14:paraId="68777C64" w14:textId="77777777" w:rsidR="00D32C53" w:rsidRDefault="00D32C53" w:rsidP="00D32C53">
      <w:pPr>
        <w:spacing w:after="160" w:line="259" w:lineRule="auto"/>
        <w:jc w:val="center"/>
      </w:pPr>
      <w:r>
        <w:rPr>
          <w:noProof/>
          <w:color w:val="2B579A"/>
          <w:shd w:val="clear" w:color="auto" w:fill="E6E6E6"/>
          <w:lang w:eastAsia="en-GB"/>
        </w:rPr>
        <w:lastRenderedPageBreak/>
        <w:drawing>
          <wp:inline distT="0" distB="0" distL="0" distR="0" wp14:anchorId="631C88EF" wp14:editId="58BE3248">
            <wp:extent cx="6242051" cy="4064000"/>
            <wp:effectExtent l="0" t="0" r="0" b="0"/>
            <wp:docPr id="1959951013" name="Picture 19599510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2051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BFDF7" w14:textId="77777777" w:rsidR="00D32C53" w:rsidRDefault="00D32C53" w:rsidP="00D32C53">
      <w:pPr>
        <w:pStyle w:val="Heading2"/>
      </w:pPr>
      <w:r>
        <w:br w:type="page"/>
      </w:r>
      <w:r w:rsidRPr="4D832DD6">
        <w:lastRenderedPageBreak/>
        <w:t>Supplementary Table 1.</w:t>
      </w:r>
      <w:r w:rsidRPr="003B1820">
        <w:t xml:space="preserve"> </w:t>
      </w:r>
      <w:r w:rsidRPr="4D832DD6">
        <w:t>SteatoSITE clinical data variable list.</w:t>
      </w:r>
    </w:p>
    <w:p w14:paraId="5A7ACD50" w14:textId="77777777" w:rsidR="00D32C53" w:rsidRPr="00824215" w:rsidRDefault="00D32C53" w:rsidP="00D32C53">
      <w:r>
        <w:t>A list of the variables retrieved from electronic health records and national data sources.</w:t>
      </w:r>
    </w:p>
    <w:p w14:paraId="34235513" w14:textId="77777777" w:rsidR="00D32C53" w:rsidRDefault="00D32C53" w:rsidP="00D32C53">
      <w:pPr>
        <w:pStyle w:val="Heading2"/>
      </w:pPr>
      <w:r w:rsidRPr="4D832DD6">
        <w:t>Supplementary Table 2.</w:t>
      </w:r>
      <w:r w:rsidRPr="003B1820">
        <w:t xml:space="preserve"> Pathology harmonisation exercise metrics.</w:t>
      </w:r>
    </w:p>
    <w:p w14:paraId="4A8379AA" w14:textId="77777777" w:rsidR="00D32C53" w:rsidRPr="006D6ACE" w:rsidRDefault="00D32C53" w:rsidP="00D32C53">
      <w:pPr>
        <w:rPr>
          <w:color w:val="auto"/>
        </w:rPr>
      </w:pPr>
      <w:r>
        <w:rPr>
          <w:color w:val="auto"/>
        </w:rPr>
        <w:t>Metrics of observer agreement for scored histological features after the scoring harmonisation exercise undertaken by the three pathologists on 20 cases.</w:t>
      </w:r>
    </w:p>
    <w:p w14:paraId="30DF5EB4" w14:textId="77777777" w:rsidR="00D32C53" w:rsidRPr="00824215" w:rsidRDefault="00D32C53" w:rsidP="00D32C53">
      <w:pPr>
        <w:pStyle w:val="Heading2"/>
        <w:rPr>
          <w:color w:val="000000" w:themeColor="text1"/>
          <w:sz w:val="24"/>
          <w:szCs w:val="24"/>
        </w:rPr>
      </w:pPr>
      <w:r w:rsidRPr="4D832DD6">
        <w:t>Supplementary Table 3.</w:t>
      </w:r>
      <w:r w:rsidRPr="003B1820">
        <w:t xml:space="preserve"> Fibrosis stage</w:t>
      </w:r>
      <w:r>
        <w:t xml:space="preserve"> and</w:t>
      </w:r>
      <w:r w:rsidRPr="003B1820">
        <w:t xml:space="preserve"> all-cause mortality in patients with biopsy-confirmed NAFLD. </w:t>
      </w:r>
    </w:p>
    <w:p w14:paraId="0440E11B" w14:textId="77777777" w:rsidR="00D32C53" w:rsidRDefault="00D32C53" w:rsidP="00D32C53">
      <w:pPr>
        <w:rPr>
          <w:color w:val="auto"/>
        </w:rPr>
      </w:pPr>
      <w:r w:rsidRPr="4D832DD6">
        <w:rPr>
          <w:color w:val="auto"/>
        </w:rPr>
        <w:t xml:space="preserve">Cox regression was used to estimate the hazard ratio (HR) and 95% confidence interval (CI) for the outcome of all-cause mortality according to NASH-CRN fibrosis stage at inclusion. </w:t>
      </w:r>
    </w:p>
    <w:p w14:paraId="480887C0" w14:textId="77777777" w:rsidR="00D32C53" w:rsidRDefault="00D32C53" w:rsidP="00D32C53">
      <w:pPr>
        <w:pStyle w:val="Heading2"/>
      </w:pPr>
      <w:r w:rsidRPr="4D832DD6">
        <w:t xml:space="preserve">Supplementary Table </w:t>
      </w:r>
      <w:r>
        <w:t>4</w:t>
      </w:r>
      <w:r w:rsidRPr="4D832DD6">
        <w:t>.</w:t>
      </w:r>
      <w:r w:rsidRPr="003B1820">
        <w:t xml:space="preserve"> Fibrosis stage</w:t>
      </w:r>
      <w:r>
        <w:t xml:space="preserve"> and</w:t>
      </w:r>
      <w:r w:rsidRPr="003B1820">
        <w:t xml:space="preserve"> new-onset hepatic decompensation events in patients with biopsy-confirmed NAFLD. </w:t>
      </w:r>
    </w:p>
    <w:p w14:paraId="0A4C9A68" w14:textId="77777777" w:rsidR="00D32C53" w:rsidRDefault="00D32C53" w:rsidP="00D32C53">
      <w:r>
        <w:t>Cox regression on the cause-specific hazard and Fine-Gray regression for proportional hazards modelling of the subdistribution hazard were used to estimate the hazard ratio (HR) and 95% confidence interval (CI) for the outcome of hepatic decompensation according to NASH-CRN fibrosis stage at inclusion, with all-cause mortality as a competing risk. The incidence of individual decompensation events is based on patients who did not have that event at or before the tissue sampling date.</w:t>
      </w:r>
    </w:p>
    <w:p w14:paraId="37CC5076" w14:textId="77777777" w:rsidR="00D32C53" w:rsidRDefault="00D32C53" w:rsidP="00D32C53">
      <w:pPr>
        <w:pStyle w:val="Heading2"/>
      </w:pPr>
      <w:r>
        <w:t>Supplementary Table 5. Follow-up periods in cases used for modelling of time-to-decompensation by fibrosis stage.</w:t>
      </w:r>
    </w:p>
    <w:p w14:paraId="3437A00D" w14:textId="77777777" w:rsidR="00D32C53" w:rsidRPr="00824215" w:rsidRDefault="00D32C53" w:rsidP="00D32C53">
      <w:r>
        <w:t>Median period in days of time until hepatic decompensation or censoring (end of follow-up or death) and interquartile range by fibrosis stage for biopsy cases used for modelling of time-to-decompensation.</w:t>
      </w:r>
    </w:p>
    <w:p w14:paraId="5503DCC0" w14:textId="77777777" w:rsidR="00D32C53" w:rsidRPr="00824215" w:rsidRDefault="00D32C53" w:rsidP="00D32C53">
      <w:pPr>
        <w:pStyle w:val="Heading2"/>
      </w:pPr>
      <w:r>
        <w:t>Supplementary Table 6. Variant callset.</w:t>
      </w:r>
    </w:p>
    <w:p w14:paraId="10389D46" w14:textId="77777777" w:rsidR="00D32C53" w:rsidRPr="00824215" w:rsidRDefault="00D32C53" w:rsidP="00D32C53">
      <w:pPr>
        <w:rPr>
          <w:rFonts w:eastAsia="Avenir Next LT Pro" w:hAnsi="Avenir Next LT Pro" w:cs="Avenir Next LT Pro"/>
          <w:color w:val="auto"/>
        </w:rPr>
      </w:pPr>
      <w:r w:rsidRPr="4D832DD6">
        <w:rPr>
          <w:rFonts w:eastAsia="Avenir Next LT Pro" w:hAnsi="Avenir Next LT Pro" w:cs="Avenir Next LT Pro"/>
          <w:color w:val="auto"/>
        </w:rPr>
        <w:t>RNA-seq variant calling for disease-associated SNPs in each sample.  Genotypes of SNPs “</w:t>
      </w:r>
      <w:r w:rsidRPr="4D832DD6">
        <w:rPr>
          <w:rFonts w:eastAsia="Avenir Next LT Pro" w:hAnsi="Avenir Next LT Pro" w:cs="Avenir Next LT Pro"/>
          <w:color w:val="auto"/>
          <w:sz w:val="22"/>
          <w:szCs w:val="22"/>
        </w:rPr>
        <w:t xml:space="preserve">rs738409”, “rs72613567”, “rs58542926” and “rs641738” </w:t>
      </w:r>
      <w:r w:rsidRPr="4D832DD6">
        <w:rPr>
          <w:rFonts w:eastAsia="Avenir Next LT Pro" w:hAnsi="Avenir Next LT Pro" w:cs="Avenir Next LT Pro"/>
          <w:color w:val="auto"/>
        </w:rPr>
        <w:t xml:space="preserve">are shown. </w:t>
      </w:r>
    </w:p>
    <w:p w14:paraId="66F65301" w14:textId="77777777" w:rsidR="00D32C53" w:rsidRPr="00824215" w:rsidRDefault="00D32C53" w:rsidP="00D32C53">
      <w:pPr>
        <w:rPr>
          <w:b/>
          <w:bCs/>
          <w:color w:val="auto"/>
        </w:rPr>
      </w:pPr>
    </w:p>
    <w:p w14:paraId="1C18564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altName w:val="Arial"/>
    <w:charset w:val="00"/>
    <w:family w:val="swiss"/>
    <w:pitch w:val="variable"/>
    <w:sig w:usb0="800000EF" w:usb1="5000204A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C53"/>
    <w:rsid w:val="00755780"/>
    <w:rsid w:val="00D3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15980"/>
  <w15:chartTrackingRefBased/>
  <w15:docId w15:val="{7466477A-2B9C-4456-9940-4666E9E90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C53"/>
    <w:pPr>
      <w:spacing w:after="240" w:line="240" w:lineRule="auto"/>
    </w:pPr>
    <w:rPr>
      <w:rFonts w:ascii="Avenir Next LT Pro" w:eastAsia="SimSun"/>
      <w:color w:val="000000" w:themeColor="text1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D32C53"/>
    <w:pPr>
      <w:keepNext/>
      <w:spacing w:before="480" w:after="80"/>
      <w:outlineLvl w:val="0"/>
    </w:pPr>
    <w:rPr>
      <w:color w:val="4472C4" w:themeColor="accent1"/>
      <w:sz w:val="42"/>
      <w:szCs w:val="42"/>
    </w:rPr>
  </w:style>
  <w:style w:type="paragraph" w:styleId="Heading2">
    <w:name w:val="heading 2"/>
    <w:basedOn w:val="Normal"/>
    <w:link w:val="Heading2Char"/>
    <w:qFormat/>
    <w:rsid w:val="00D32C53"/>
    <w:pPr>
      <w:spacing w:before="240" w:after="80"/>
      <w:outlineLvl w:val="1"/>
    </w:pPr>
    <w:rPr>
      <w:b/>
      <w:bCs/>
      <w:color w:val="auto"/>
      <w:sz w:val="32"/>
      <w:szCs w:val="3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32C53"/>
    <w:rPr>
      <w:rFonts w:ascii="Avenir Next LT Pro" w:eastAsia="SimSun"/>
      <w:color w:val="4472C4" w:themeColor="accent1"/>
      <w:sz w:val="42"/>
      <w:szCs w:val="42"/>
      <w:lang w:val="en-GB"/>
    </w:rPr>
  </w:style>
  <w:style w:type="character" w:customStyle="1" w:styleId="Heading2Char">
    <w:name w:val="Heading 2 Char"/>
    <w:basedOn w:val="DefaultParagraphFont"/>
    <w:link w:val="Heading2"/>
    <w:rsid w:val="00D32C53"/>
    <w:rPr>
      <w:rFonts w:ascii="Avenir Next LT Pro" w:eastAsia="SimSun"/>
      <w:b/>
      <w:bCs/>
      <w:sz w:val="32"/>
      <w:szCs w:val="3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sv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881</Words>
  <Characters>5022</Characters>
  <Application>Microsoft Office Word</Application>
  <DocSecurity>0</DocSecurity>
  <Lines>41</Lines>
  <Paragraphs>11</Paragraphs>
  <ScaleCrop>false</ScaleCrop>
  <Company>Springer Nature</Company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2023-04-18T04:45:00Z</dcterms:created>
  <dcterms:modified xsi:type="dcterms:W3CDTF">2023-04-18T04:45:00Z</dcterms:modified>
</cp:coreProperties>
</file>