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125"/>
        <w:tblW w:w="15500" w:type="dxa"/>
        <w:tblLayout w:type="fixed"/>
        <w:tblLook w:val="04A0" w:firstRow="1" w:lastRow="0" w:firstColumn="1" w:lastColumn="0" w:noHBand="0" w:noVBand="1"/>
      </w:tblPr>
      <w:tblGrid>
        <w:gridCol w:w="1226"/>
        <w:gridCol w:w="756"/>
        <w:gridCol w:w="761"/>
        <w:gridCol w:w="1415"/>
        <w:gridCol w:w="1170"/>
        <w:gridCol w:w="1800"/>
        <w:gridCol w:w="1708"/>
        <w:gridCol w:w="3796"/>
        <w:gridCol w:w="2868"/>
      </w:tblGrid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Skarn</w:t>
            </w:r>
          </w:p>
        </w:tc>
        <w:tc>
          <w:tcPr>
            <w:tcW w:w="75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Lat.</w:t>
            </w:r>
          </w:p>
        </w:tc>
        <w:tc>
          <w:tcPr>
            <w:tcW w:w="761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Long.</w:t>
            </w:r>
          </w:p>
        </w:tc>
        <w:tc>
          <w:tcPr>
            <w:tcW w:w="1415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Type</w:t>
            </w:r>
          </w:p>
        </w:tc>
        <w:tc>
          <w:tcPr>
            <w:tcW w:w="1170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Redox state</w:t>
            </w:r>
          </w:p>
        </w:tc>
        <w:tc>
          <w:tcPr>
            <w:tcW w:w="1800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Causative pluton</w:t>
            </w:r>
          </w:p>
        </w:tc>
        <w:tc>
          <w:tcPr>
            <w:tcW w:w="1708" w:type="dxa"/>
          </w:tcPr>
          <w:p w:rsidR="0078214A" w:rsidRPr="00592CDC" w:rsidRDefault="0078214A" w:rsidP="00AC5142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592CDC">
              <w:rPr>
                <w:rFonts w:asciiTheme="majorHAnsi" w:hAnsiTheme="majorHAnsi"/>
                <w:b/>
                <w:bCs/>
                <w:sz w:val="20"/>
                <w:szCs w:val="20"/>
              </w:rPr>
              <w:t>Mineralization</w:t>
            </w:r>
          </w:p>
        </w:tc>
        <w:tc>
          <w:tcPr>
            <w:tcW w:w="379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Notes</w:t>
            </w:r>
          </w:p>
        </w:tc>
        <w:tc>
          <w:tcPr>
            <w:tcW w:w="2868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References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Al-</w:t>
            </w: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Madhiq</w:t>
            </w:r>
            <w:proofErr w:type="spellEnd"/>
          </w:p>
        </w:tc>
        <w:tc>
          <w:tcPr>
            <w:tcW w:w="75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18.13</w:t>
            </w:r>
          </w:p>
        </w:tc>
        <w:tc>
          <w:tcPr>
            <w:tcW w:w="761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42.86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Reduced</w:t>
            </w:r>
          </w:p>
        </w:tc>
        <w:tc>
          <w:tcPr>
            <w:tcW w:w="180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granite</w:t>
            </w:r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W</w:t>
            </w:r>
          </w:p>
        </w:tc>
        <w:tc>
          <w:tcPr>
            <w:tcW w:w="3796" w:type="dxa"/>
          </w:tcPr>
          <w:p w:rsidR="0078214A" w:rsidRPr="00B6300E" w:rsidRDefault="0078214A" w:rsidP="00AC5142">
            <w:pPr>
              <w:shd w:val="clear" w:color="auto" w:fill="FFFFFF"/>
              <w:spacing w:line="0" w:lineRule="auto"/>
              <w:rPr>
                <w:rFonts w:ascii="ff3" w:eastAsia="Times New Roman" w:hAnsi="ff3" w:cs="Times New Roman"/>
                <w:spacing w:val="1"/>
              </w:rPr>
            </w:pPr>
            <w:proofErr w:type="spellStart"/>
            <w:r w:rsidRPr="00B6300E">
              <w:rPr>
                <w:rFonts w:ascii="ff3" w:eastAsia="Times New Roman" w:hAnsi="ff3" w:cs="Times New Roman"/>
                <w:spacing w:val="1"/>
              </w:rPr>
              <w:t>sulphides</w:t>
            </w:r>
            <w:proofErr w:type="spellEnd"/>
            <w:r w:rsidRPr="00B6300E">
              <w:rPr>
                <w:rFonts w:ascii="ff3" w:eastAsia="Times New Roman" w:hAnsi="ff3" w:cs="Times New Roman"/>
                <w:spacing w:val="1"/>
              </w:rPr>
              <w:t xml:space="preserve"> are more likely </w:t>
            </w:r>
          </w:p>
          <w:p w:rsidR="0078214A" w:rsidRPr="00B6300E" w:rsidRDefault="0078214A" w:rsidP="00AC5142">
            <w:pPr>
              <w:shd w:val="clear" w:color="auto" w:fill="FFFFFF"/>
              <w:spacing w:line="0" w:lineRule="auto"/>
              <w:rPr>
                <w:rFonts w:ascii="ff3" w:eastAsia="Times New Roman" w:hAnsi="ff3" w:cs="Times New Roman"/>
                <w:spacing w:val="2"/>
              </w:rPr>
            </w:pPr>
            <w:r w:rsidRPr="00B6300E">
              <w:rPr>
                <w:rFonts w:ascii="ff3" w:eastAsia="Times New Roman" w:hAnsi="ff3" w:cs="Times New Roman"/>
                <w:spacing w:val="2"/>
              </w:rPr>
              <w:t>hydrothermal indicating reducing condi</w:t>
            </w:r>
            <w:r w:rsidRPr="00B6300E">
              <w:rPr>
                <w:rFonts w:ascii="ff3" w:eastAsia="Times New Roman" w:hAnsi="ff3" w:cs="Times New Roman"/>
                <w:spacing w:val="1"/>
              </w:rPr>
              <w:t xml:space="preserve">tions for formation of </w:t>
            </w:r>
            <w:proofErr w:type="spellStart"/>
            <w:r w:rsidRPr="00B6300E">
              <w:rPr>
                <w:rFonts w:ascii="ff3" w:eastAsia="Times New Roman" w:hAnsi="ff3" w:cs="Times New Roman"/>
                <w:spacing w:val="1"/>
              </w:rPr>
              <w:t>grossular</w:t>
            </w:r>
            <w:proofErr w:type="spellEnd"/>
          </w:p>
          <w:p w:rsidR="0078214A" w:rsidRPr="00B6300E" w:rsidRDefault="0078214A" w:rsidP="00AC5142">
            <w:pPr>
              <w:shd w:val="clear" w:color="auto" w:fill="FFFFFF"/>
              <w:spacing w:line="0" w:lineRule="auto"/>
              <w:rPr>
                <w:rFonts w:ascii="ff3" w:eastAsia="Times New Roman" w:hAnsi="ff3" w:cs="Times New Roman"/>
                <w:spacing w:val="1"/>
              </w:rPr>
            </w:pPr>
            <w:proofErr w:type="spellStart"/>
            <w:r w:rsidRPr="00B6300E">
              <w:rPr>
                <w:rFonts w:ascii="ff3" w:eastAsia="Times New Roman" w:hAnsi="ff3" w:cs="Times New Roman"/>
                <w:spacing w:val="1"/>
              </w:rPr>
              <w:t>sulphides</w:t>
            </w:r>
            <w:proofErr w:type="spellEnd"/>
            <w:r w:rsidRPr="00B6300E">
              <w:rPr>
                <w:rFonts w:ascii="ff3" w:eastAsia="Times New Roman" w:hAnsi="ff3" w:cs="Times New Roman"/>
                <w:spacing w:val="1"/>
              </w:rPr>
              <w:t xml:space="preserve"> are more likely </w:t>
            </w:r>
          </w:p>
          <w:p w:rsidR="0078214A" w:rsidRPr="00B6300E" w:rsidRDefault="0078214A" w:rsidP="00AC5142">
            <w:pPr>
              <w:shd w:val="clear" w:color="auto" w:fill="FFFFFF"/>
              <w:spacing w:line="0" w:lineRule="auto"/>
              <w:rPr>
                <w:rFonts w:ascii="ff3" w:eastAsia="Times New Roman" w:hAnsi="ff3" w:cs="Times New Roman"/>
                <w:spacing w:val="2"/>
              </w:rPr>
            </w:pPr>
            <w:r w:rsidRPr="00B6300E">
              <w:rPr>
                <w:rFonts w:ascii="ff3" w:eastAsia="Times New Roman" w:hAnsi="ff3" w:cs="Times New Roman"/>
                <w:spacing w:val="2"/>
              </w:rPr>
              <w:t>hydrothermal indicating reducing condi</w:t>
            </w:r>
            <w:r w:rsidRPr="00B6300E">
              <w:rPr>
                <w:rFonts w:ascii="ff3" w:eastAsia="Times New Roman" w:hAnsi="ff3" w:cs="Times New Roman"/>
                <w:spacing w:val="1"/>
              </w:rPr>
              <w:t xml:space="preserve">tions for formation of </w:t>
            </w:r>
            <w:proofErr w:type="spellStart"/>
            <w:r w:rsidRPr="00B6300E">
              <w:rPr>
                <w:rFonts w:ascii="ff3" w:eastAsia="Times New Roman" w:hAnsi="ff3" w:cs="Times New Roman"/>
                <w:spacing w:val="1"/>
              </w:rPr>
              <w:t>grossular</w:t>
            </w:r>
            <w:proofErr w:type="spellEnd"/>
          </w:p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Syn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-genetic hydrothermal </w:t>
            </w:r>
            <w:proofErr w:type="spellStart"/>
            <w:r w:rsidRPr="00B6300E">
              <w:rPr>
                <w:rFonts w:asciiTheme="majorBidi" w:hAnsiTheme="majorBidi" w:cstheme="majorBidi"/>
              </w:rPr>
              <w:t>sulphides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indicating reducing conditions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Ahmed (200); Ahmed &amp; Hariri (2006); </w:t>
            </w:r>
            <w:proofErr w:type="spellStart"/>
            <w:r w:rsidRPr="00B6300E">
              <w:rPr>
                <w:rFonts w:asciiTheme="majorBidi" w:hAnsiTheme="majorBidi" w:cstheme="majorBidi"/>
              </w:rPr>
              <w:t>Moufti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(2011); 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Bahrah</w:t>
            </w:r>
            <w:proofErr w:type="spellEnd"/>
          </w:p>
        </w:tc>
        <w:tc>
          <w:tcPr>
            <w:tcW w:w="75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21.33</w:t>
            </w:r>
          </w:p>
        </w:tc>
        <w:tc>
          <w:tcPr>
            <w:tcW w:w="761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39.40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Khasrah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B6300E">
              <w:rPr>
                <w:rFonts w:asciiTheme="majorBidi" w:hAnsiTheme="majorBidi" w:cstheme="majorBidi"/>
              </w:rPr>
              <w:t>Sharqah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6300E">
              <w:rPr>
                <w:rFonts w:asciiTheme="majorBidi" w:hAnsiTheme="majorBidi" w:cstheme="majorBidi"/>
              </w:rPr>
              <w:t>granitoids</w:t>
            </w:r>
            <w:proofErr w:type="spellEnd"/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free of any metallic </w:t>
            </w:r>
            <w:proofErr w:type="spellStart"/>
            <w:r w:rsidRPr="00B6300E">
              <w:rPr>
                <w:rFonts w:asciiTheme="majorBidi" w:hAnsiTheme="majorBidi" w:cstheme="majorBidi"/>
              </w:rPr>
              <w:t>mineralizations</w:t>
            </w:r>
            <w:proofErr w:type="spellEnd"/>
          </w:p>
        </w:tc>
        <w:tc>
          <w:tcPr>
            <w:tcW w:w="379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The recorded pyrite is extremely fine and of very low modal percentage.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Surour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&amp; </w:t>
            </w:r>
            <w:proofErr w:type="spellStart"/>
            <w:r w:rsidRPr="00B6300E">
              <w:rPr>
                <w:rFonts w:asciiTheme="majorBidi" w:hAnsiTheme="majorBidi" w:cstheme="majorBidi"/>
              </w:rPr>
              <w:t>Moufti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(2011)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Jabal</w:t>
            </w:r>
            <w:proofErr w:type="spellEnd"/>
            <w:r w:rsidRPr="000575FA">
              <w:rPr>
                <w:rFonts w:asciiTheme="majorHAnsi" w:hAnsiTheme="majorHAnsi"/>
                <w:b/>
                <w:bCs/>
              </w:rPr>
              <w:t xml:space="preserve"> Ash </w:t>
            </w: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Shumt</w:t>
            </w:r>
            <w:proofErr w:type="spellEnd"/>
          </w:p>
        </w:tc>
        <w:tc>
          <w:tcPr>
            <w:tcW w:w="75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25.41</w:t>
            </w:r>
          </w:p>
        </w:tc>
        <w:tc>
          <w:tcPr>
            <w:tcW w:w="761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41.57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Garnet-</w:t>
            </w:r>
            <w:proofErr w:type="spellStart"/>
            <w:r w:rsidRPr="00B6300E">
              <w:rPr>
                <w:rFonts w:asciiTheme="majorBidi" w:hAnsiTheme="majorBidi" w:cstheme="majorBidi"/>
              </w:rPr>
              <w:t>Wollastonite</w:t>
            </w:r>
            <w:proofErr w:type="spellEnd"/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Syn</w:t>
            </w:r>
            <w:proofErr w:type="spellEnd"/>
            <w:r w:rsidRPr="00B6300E">
              <w:rPr>
                <w:rFonts w:asciiTheme="majorBidi" w:hAnsiTheme="majorBidi" w:cstheme="majorBidi"/>
              </w:rPr>
              <w:t>- to post-</w:t>
            </w:r>
            <w:proofErr w:type="spellStart"/>
            <w:r w:rsidRPr="00B6300E">
              <w:rPr>
                <w:rFonts w:asciiTheme="majorBidi" w:hAnsiTheme="majorBidi" w:cstheme="majorBidi"/>
              </w:rPr>
              <w:t>Isamah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6300E">
              <w:rPr>
                <w:rFonts w:asciiTheme="majorBidi" w:hAnsiTheme="majorBidi" w:cstheme="majorBidi"/>
              </w:rPr>
              <w:t>intrusives</w:t>
            </w:r>
            <w:proofErr w:type="spellEnd"/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Cu –Au</w:t>
            </w:r>
          </w:p>
        </w:tc>
        <w:tc>
          <w:tcPr>
            <w:tcW w:w="379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Tungsten-bearing quartz veins exist in El </w:t>
            </w:r>
            <w:proofErr w:type="spellStart"/>
            <w:r w:rsidRPr="00B6300E">
              <w:rPr>
                <w:rFonts w:asciiTheme="majorBidi" w:hAnsiTheme="majorBidi" w:cstheme="majorBidi"/>
              </w:rPr>
              <w:t>Khom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area.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Hummel  &amp; </w:t>
            </w:r>
            <w:proofErr w:type="spellStart"/>
            <w:r w:rsidRPr="00B6300E">
              <w:rPr>
                <w:rFonts w:asciiTheme="majorBidi" w:hAnsiTheme="majorBidi" w:cstheme="majorBidi"/>
              </w:rPr>
              <w:t>Ankary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(1972); </w:t>
            </w:r>
            <w:r w:rsidRPr="00B6300E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proofErr w:type="spellStart"/>
            <w:r w:rsidRPr="00B6300E">
              <w:rPr>
                <w:rFonts w:asciiTheme="majorBidi" w:hAnsiTheme="majorBidi" w:cstheme="majorBidi"/>
              </w:rPr>
              <w:t>Lemiere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et al. (1990)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Kirsh</w:t>
            </w:r>
            <w:proofErr w:type="spellEnd"/>
          </w:p>
        </w:tc>
        <w:tc>
          <w:tcPr>
            <w:tcW w:w="75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23.03</w:t>
            </w:r>
          </w:p>
        </w:tc>
        <w:tc>
          <w:tcPr>
            <w:tcW w:w="761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43.73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Al </w:t>
            </w:r>
            <w:proofErr w:type="spellStart"/>
            <w:r w:rsidRPr="00B6300E">
              <w:rPr>
                <w:rFonts w:asciiTheme="majorBidi" w:hAnsiTheme="majorBidi" w:cstheme="majorBidi"/>
              </w:rPr>
              <w:t>Khushaymiyah</w:t>
            </w:r>
            <w:proofErr w:type="spellEnd"/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Cu – Mo – Au </w:t>
            </w:r>
          </w:p>
        </w:tc>
        <w:tc>
          <w:tcPr>
            <w:tcW w:w="3796" w:type="dxa"/>
          </w:tcPr>
          <w:p w:rsidR="0078214A" w:rsidRPr="00B6300E" w:rsidRDefault="0078214A" w:rsidP="00AC5142">
            <w:pPr>
              <w:jc w:val="both"/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Contains Cu-Mo mineralization associated with young alkaline intrusions that cut </w:t>
            </w:r>
            <w:proofErr w:type="spellStart"/>
            <w:r w:rsidRPr="00B6300E">
              <w:rPr>
                <w:rFonts w:asciiTheme="majorBidi" w:hAnsiTheme="majorBidi" w:cstheme="majorBidi"/>
              </w:rPr>
              <w:t>Murdama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rocks, with gold occurrences at the contact or within the thermal haloes.  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  <w:shd w:val="clear" w:color="auto" w:fill="FFFFFF"/>
              </w:rPr>
              <w:t>Nehlig</w:t>
            </w:r>
            <w:proofErr w:type="spellEnd"/>
            <w:r w:rsidRPr="00B6300E">
              <w:rPr>
                <w:rFonts w:asciiTheme="majorBidi" w:hAnsiTheme="majorBidi" w:cstheme="majorBidi"/>
                <w:shd w:val="clear" w:color="auto" w:fill="FFFFFF"/>
              </w:rPr>
              <w:t xml:space="preserve"> et al. (1999)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Hamra</w:t>
            </w:r>
            <w:proofErr w:type="spellEnd"/>
          </w:p>
        </w:tc>
        <w:tc>
          <w:tcPr>
            <w:tcW w:w="756" w:type="dxa"/>
          </w:tcPr>
          <w:p w:rsidR="0078214A" w:rsidRPr="00B6300E" w:rsidRDefault="004D2DF4" w:rsidP="00AC5142">
            <w:pPr>
              <w:rPr>
                <w:rFonts w:asciiTheme="majorBidi" w:hAnsiTheme="majorBidi" w:cstheme="majorBidi"/>
              </w:rPr>
            </w:pPr>
            <w:r w:rsidRPr="004D2DF4">
              <w:rPr>
                <w:rFonts w:asciiTheme="majorBidi" w:hAnsiTheme="majorBidi" w:cstheme="majorBidi"/>
              </w:rPr>
              <w:t>25.62</w:t>
            </w:r>
          </w:p>
        </w:tc>
        <w:tc>
          <w:tcPr>
            <w:tcW w:w="761" w:type="dxa"/>
          </w:tcPr>
          <w:p w:rsidR="0078214A" w:rsidRPr="00B6300E" w:rsidRDefault="004D2DF4" w:rsidP="00AC5142">
            <w:pPr>
              <w:rPr>
                <w:rFonts w:asciiTheme="majorBidi" w:hAnsiTheme="majorBidi" w:cstheme="majorBidi"/>
              </w:rPr>
            </w:pPr>
            <w:r w:rsidRPr="004D2DF4">
              <w:rPr>
                <w:rFonts w:asciiTheme="majorBidi" w:hAnsiTheme="majorBidi" w:cstheme="majorBidi"/>
              </w:rPr>
              <w:t>40.72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78214A" w:rsidRPr="00B6300E" w:rsidRDefault="004D2DF4" w:rsidP="00AC5142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Syn</w:t>
            </w:r>
            <w:proofErr w:type="spellEnd"/>
            <w:r>
              <w:rPr>
                <w:rFonts w:asciiTheme="majorBidi" w:hAnsiTheme="majorBidi" w:cstheme="majorBidi"/>
              </w:rPr>
              <w:t>- to post-</w:t>
            </w:r>
            <w:proofErr w:type="spellStart"/>
            <w:r>
              <w:rPr>
                <w:rFonts w:asciiTheme="majorBidi" w:hAnsiTheme="majorBidi" w:cstheme="majorBidi"/>
              </w:rPr>
              <w:t>Hulayfah</w:t>
            </w:r>
            <w:proofErr w:type="spellEnd"/>
            <w:r>
              <w:rPr>
                <w:rFonts w:asciiTheme="majorBidi" w:hAnsiTheme="majorBidi" w:cstheme="majorBidi"/>
              </w:rPr>
              <w:t xml:space="preserve"> intrusions</w:t>
            </w:r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Cu</w:t>
            </w:r>
          </w:p>
        </w:tc>
        <w:tc>
          <w:tcPr>
            <w:tcW w:w="3796" w:type="dxa"/>
          </w:tcPr>
          <w:p w:rsidR="0078214A" w:rsidRPr="00B6300E" w:rsidRDefault="004D2DF4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  <w:shd w:val="clear" w:color="auto" w:fill="FFFFFF"/>
              </w:rPr>
              <w:t>Nehlig</w:t>
            </w:r>
            <w:proofErr w:type="spellEnd"/>
            <w:r w:rsidRPr="00B6300E">
              <w:rPr>
                <w:rFonts w:asciiTheme="majorBidi" w:hAnsiTheme="majorBidi" w:cstheme="majorBidi"/>
                <w:shd w:val="clear" w:color="auto" w:fill="FFFFFF"/>
              </w:rPr>
              <w:t xml:space="preserve"> et al. (1999)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Jabalul</w:t>
            </w:r>
            <w:proofErr w:type="spellEnd"/>
            <w:r w:rsidRPr="000575FA">
              <w:rPr>
                <w:rFonts w:asciiTheme="majorHAnsi" w:hAnsiTheme="majorHAnsi"/>
                <w:b/>
                <w:bCs/>
              </w:rPr>
              <w:t xml:space="preserve"> </w:t>
            </w: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Hamat</w:t>
            </w:r>
            <w:proofErr w:type="spellEnd"/>
          </w:p>
        </w:tc>
        <w:tc>
          <w:tcPr>
            <w:tcW w:w="75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23.31</w:t>
            </w:r>
          </w:p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761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45.4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Syn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- to post- Al Amar </w:t>
            </w:r>
            <w:proofErr w:type="spellStart"/>
            <w:r w:rsidRPr="00B6300E">
              <w:rPr>
                <w:rFonts w:asciiTheme="majorBidi" w:hAnsiTheme="majorBidi" w:cstheme="majorBidi"/>
              </w:rPr>
              <w:t>intrusives</w:t>
            </w:r>
            <w:proofErr w:type="spellEnd"/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Zn – Cu</w:t>
            </w:r>
          </w:p>
        </w:tc>
        <w:tc>
          <w:tcPr>
            <w:tcW w:w="379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&gt; 5 ppm Mo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67611E">
              <w:rPr>
                <w:rFonts w:asciiTheme="majorBidi" w:hAnsiTheme="majorBidi" w:cstheme="majorBidi"/>
                <w:color w:val="222222"/>
                <w:shd w:val="clear" w:color="auto" w:fill="FFFFFF"/>
              </w:rPr>
              <w:t>Kahr</w:t>
            </w:r>
            <w:proofErr w:type="spellEnd"/>
            <w:r>
              <w:rPr>
                <w:rFonts w:asciiTheme="majorBidi" w:hAnsiTheme="majorBidi" w:cstheme="majorBidi"/>
                <w:color w:val="222222"/>
                <w:shd w:val="clear" w:color="auto" w:fill="FFFFFF"/>
              </w:rPr>
              <w:t xml:space="preserve"> et al. (1972)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 xml:space="preserve">As </w:t>
            </w: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Safra</w:t>
            </w:r>
            <w:proofErr w:type="spellEnd"/>
          </w:p>
        </w:tc>
        <w:tc>
          <w:tcPr>
            <w:tcW w:w="756" w:type="dxa"/>
          </w:tcPr>
          <w:p w:rsidR="0078214A" w:rsidRPr="00B6300E" w:rsidRDefault="00D258CA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26.83</w:t>
            </w:r>
          </w:p>
        </w:tc>
        <w:tc>
          <w:tcPr>
            <w:tcW w:w="761" w:type="dxa"/>
          </w:tcPr>
          <w:p w:rsidR="0078214A" w:rsidRPr="00B6300E" w:rsidRDefault="00D258CA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42.15</w:t>
            </w:r>
          </w:p>
        </w:tc>
        <w:tc>
          <w:tcPr>
            <w:tcW w:w="1415" w:type="dxa"/>
          </w:tcPr>
          <w:p w:rsidR="0078214A" w:rsidRPr="00B6300E" w:rsidRDefault="00D258CA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78214A" w:rsidRPr="00B6300E" w:rsidRDefault="00D258CA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dykes</w:t>
            </w:r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Cu – Au </w:t>
            </w:r>
          </w:p>
        </w:tc>
        <w:tc>
          <w:tcPr>
            <w:tcW w:w="3796" w:type="dxa"/>
          </w:tcPr>
          <w:p w:rsidR="0078214A" w:rsidRPr="00B6300E" w:rsidRDefault="0078214A" w:rsidP="00AC5142">
            <w:pPr>
              <w:jc w:val="both"/>
              <w:rPr>
                <w:rFonts w:asciiTheme="majorBidi" w:hAnsiTheme="majorBidi" w:cstheme="majorBidi"/>
              </w:rPr>
            </w:pPr>
            <w:r w:rsidRPr="00CB23E7">
              <w:rPr>
                <w:rFonts w:asciiTheme="majorBidi" w:hAnsiTheme="majorBidi" w:cstheme="majorBidi"/>
              </w:rPr>
              <w:t>Skarn-type alteration (</w:t>
            </w:r>
            <w:proofErr w:type="spellStart"/>
            <w:r w:rsidRPr="00CB23E7">
              <w:rPr>
                <w:rFonts w:asciiTheme="majorBidi" w:hAnsiTheme="majorBidi" w:cstheme="majorBidi"/>
              </w:rPr>
              <w:t>epidote</w:t>
            </w:r>
            <w:proofErr w:type="spellEnd"/>
            <w:r w:rsidRPr="00CB23E7">
              <w:rPr>
                <w:rFonts w:asciiTheme="majorBidi" w:hAnsiTheme="majorBidi" w:cstheme="majorBidi"/>
              </w:rPr>
              <w:t>, garnet) affects the rocks and could indicate thermal metamorphism related to the late dike injection.</w:t>
            </w:r>
            <w:r>
              <w:t xml:space="preserve">  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  <w:shd w:val="clear" w:color="auto" w:fill="FFFFFF"/>
              </w:rPr>
              <w:t>Nehlig</w:t>
            </w:r>
            <w:proofErr w:type="spellEnd"/>
            <w:r w:rsidRPr="00B6300E">
              <w:rPr>
                <w:rFonts w:asciiTheme="majorBidi" w:hAnsiTheme="majorBidi" w:cstheme="majorBidi"/>
                <w:shd w:val="clear" w:color="auto" w:fill="FFFFFF"/>
              </w:rPr>
              <w:t xml:space="preserve"> et al. (1999)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r w:rsidRPr="000575FA">
              <w:rPr>
                <w:rFonts w:asciiTheme="majorHAnsi" w:hAnsiTheme="majorHAnsi"/>
                <w:b/>
                <w:bCs/>
              </w:rPr>
              <w:t>Al Amar</w:t>
            </w:r>
          </w:p>
        </w:tc>
        <w:tc>
          <w:tcPr>
            <w:tcW w:w="75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B6300E">
              <w:rPr>
                <w:rFonts w:asciiTheme="majorBidi" w:hAnsiTheme="majorBidi" w:cstheme="majorBidi"/>
                <w:lang w:bidi="ar-EG"/>
              </w:rPr>
              <w:t>23.78</w:t>
            </w:r>
          </w:p>
        </w:tc>
        <w:tc>
          <w:tcPr>
            <w:tcW w:w="761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45.05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Syn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- to post- Al Amar </w:t>
            </w:r>
            <w:proofErr w:type="spellStart"/>
            <w:r w:rsidRPr="00B6300E">
              <w:rPr>
                <w:rFonts w:asciiTheme="majorBidi" w:hAnsiTheme="majorBidi" w:cstheme="majorBidi"/>
              </w:rPr>
              <w:t>intrusives</w:t>
            </w:r>
            <w:proofErr w:type="spellEnd"/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Pb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– Zn – Cu – Au </w:t>
            </w:r>
          </w:p>
        </w:tc>
        <w:tc>
          <w:tcPr>
            <w:tcW w:w="3796" w:type="dxa"/>
          </w:tcPr>
          <w:p w:rsidR="0078214A" w:rsidRPr="00B6300E" w:rsidRDefault="0078214A" w:rsidP="00AC5142">
            <w:pPr>
              <w:jc w:val="both"/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About ten gold showings are related to shears associated with the major Al Amar Fault Zone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86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  <w:shd w:val="clear" w:color="auto" w:fill="FFFFFF"/>
              </w:rPr>
              <w:t>Nehlig</w:t>
            </w:r>
            <w:proofErr w:type="spellEnd"/>
            <w:r w:rsidRPr="00B6300E">
              <w:rPr>
                <w:rFonts w:asciiTheme="majorBidi" w:hAnsiTheme="majorBidi" w:cstheme="majorBidi"/>
                <w:shd w:val="clear" w:color="auto" w:fill="FFFFFF"/>
              </w:rPr>
              <w:t xml:space="preserve"> et al. (1999)</w:t>
            </w:r>
          </w:p>
        </w:tc>
      </w:tr>
      <w:tr w:rsidR="0078214A" w:rsidRPr="000575FA" w:rsidTr="00592CDC">
        <w:tc>
          <w:tcPr>
            <w:tcW w:w="1226" w:type="dxa"/>
          </w:tcPr>
          <w:p w:rsidR="0078214A" w:rsidRPr="000575FA" w:rsidRDefault="0078214A" w:rsidP="00AC5142">
            <w:pPr>
              <w:rPr>
                <w:rFonts w:asciiTheme="majorHAnsi" w:hAnsiTheme="majorHAnsi"/>
                <w:b/>
                <w:bCs/>
              </w:rPr>
            </w:pP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Qitan</w:t>
            </w:r>
            <w:proofErr w:type="spellEnd"/>
          </w:p>
        </w:tc>
        <w:tc>
          <w:tcPr>
            <w:tcW w:w="75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25.95</w:t>
            </w:r>
          </w:p>
        </w:tc>
        <w:tc>
          <w:tcPr>
            <w:tcW w:w="761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42.37</w:t>
            </w:r>
          </w:p>
        </w:tc>
        <w:tc>
          <w:tcPr>
            <w:tcW w:w="1415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Reduced</w:t>
            </w:r>
          </w:p>
        </w:tc>
        <w:tc>
          <w:tcPr>
            <w:tcW w:w="1800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Idah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suite</w:t>
            </w:r>
          </w:p>
        </w:tc>
        <w:tc>
          <w:tcPr>
            <w:tcW w:w="1708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Sn</w:t>
            </w:r>
            <w:proofErr w:type="spellEnd"/>
            <w:r w:rsidRPr="00B6300E">
              <w:rPr>
                <w:rFonts w:asciiTheme="majorBidi" w:hAnsiTheme="majorBidi" w:cstheme="majorBidi"/>
              </w:rPr>
              <w:t>-W</w:t>
            </w:r>
          </w:p>
        </w:tc>
        <w:tc>
          <w:tcPr>
            <w:tcW w:w="3796" w:type="dxa"/>
          </w:tcPr>
          <w:p w:rsidR="0078214A" w:rsidRPr="00B6300E" w:rsidRDefault="0078214A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In </w:t>
            </w:r>
            <w:proofErr w:type="spellStart"/>
            <w:r w:rsidRPr="00B6300E">
              <w:rPr>
                <w:rFonts w:asciiTheme="majorBidi" w:hAnsiTheme="majorBidi" w:cstheme="majorBidi"/>
              </w:rPr>
              <w:t>Murdama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basin</w:t>
            </w:r>
          </w:p>
        </w:tc>
        <w:tc>
          <w:tcPr>
            <w:tcW w:w="2868" w:type="dxa"/>
          </w:tcPr>
          <w:p w:rsidR="0078214A" w:rsidRPr="00B6300E" w:rsidRDefault="00425737" w:rsidP="00AC5142">
            <w:pPr>
              <w:rPr>
                <w:rFonts w:asciiTheme="majorBidi" w:hAnsiTheme="majorBidi" w:cstheme="majorBidi"/>
              </w:rPr>
            </w:pPr>
            <w:hyperlink w:anchor="_ENREF_24" w:tooltip="Miller, 1988 #5" w:history="1">
              <w:r w:rsidR="0078214A" w:rsidRPr="00B6300E">
                <w:rPr>
                  <w:rFonts w:asciiTheme="majorBidi" w:hAnsiTheme="majorBidi" w:cstheme="majorBidi"/>
                  <w:noProof/>
                </w:rPr>
                <w:t xml:space="preserve">Miller and Arnold, </w:t>
              </w:r>
              <w:r w:rsidR="0078214A">
                <w:rPr>
                  <w:rFonts w:asciiTheme="majorBidi" w:hAnsiTheme="majorBidi" w:cstheme="majorBidi"/>
                  <w:noProof/>
                </w:rPr>
                <w:t>(</w:t>
              </w:r>
              <w:r w:rsidR="0078214A" w:rsidRPr="00B6300E">
                <w:rPr>
                  <w:rFonts w:asciiTheme="majorBidi" w:hAnsiTheme="majorBidi" w:cstheme="majorBidi"/>
                  <w:noProof/>
                </w:rPr>
                <w:t>1988</w:t>
              </w:r>
            </w:hyperlink>
            <w:r w:rsidR="0078214A">
              <w:rPr>
                <w:rFonts w:asciiTheme="majorBidi" w:hAnsiTheme="majorBidi" w:cstheme="majorBidi"/>
                <w:noProof/>
              </w:rPr>
              <w:t>)</w:t>
            </w:r>
          </w:p>
        </w:tc>
      </w:tr>
      <w:tr w:rsidR="00BE7BEF" w:rsidRPr="000575FA" w:rsidTr="00592CDC">
        <w:tc>
          <w:tcPr>
            <w:tcW w:w="1226" w:type="dxa"/>
          </w:tcPr>
          <w:p w:rsidR="00BE7BEF" w:rsidRPr="000575FA" w:rsidRDefault="00BE7BEF" w:rsidP="00AC5142">
            <w:pPr>
              <w:rPr>
                <w:rFonts w:asciiTheme="majorHAnsi" w:hAnsiTheme="majorHAnsi"/>
                <w:b/>
                <w:bCs/>
              </w:rPr>
            </w:pPr>
            <w:r w:rsidRPr="00B0240A">
              <w:rPr>
                <w:rFonts w:asciiTheme="majorHAnsi" w:hAnsiTheme="majorHAnsi"/>
                <w:b/>
                <w:bCs/>
              </w:rPr>
              <w:t xml:space="preserve">An </w:t>
            </w:r>
            <w:proofErr w:type="spellStart"/>
            <w:r w:rsidRPr="00B0240A">
              <w:rPr>
                <w:rFonts w:asciiTheme="majorHAnsi" w:hAnsiTheme="majorHAnsi"/>
                <w:b/>
                <w:bCs/>
              </w:rPr>
              <w:t>Nimriyah</w:t>
            </w:r>
            <w:proofErr w:type="spellEnd"/>
            <w:r w:rsidRPr="00B0240A">
              <w:rPr>
                <w:rFonts w:asciiTheme="majorHAnsi" w:hAnsiTheme="majorHAnsi"/>
                <w:b/>
                <w:bCs/>
              </w:rPr>
              <w:t xml:space="preserve"> South</w:t>
            </w:r>
          </w:p>
        </w:tc>
        <w:tc>
          <w:tcPr>
            <w:tcW w:w="756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26.39</w:t>
            </w:r>
          </w:p>
        </w:tc>
        <w:tc>
          <w:tcPr>
            <w:tcW w:w="761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42.34</w:t>
            </w:r>
          </w:p>
        </w:tc>
        <w:tc>
          <w:tcPr>
            <w:tcW w:w="1415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</w:t>
            </w:r>
          </w:p>
        </w:tc>
        <w:tc>
          <w:tcPr>
            <w:tcW w:w="1170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Reduced</w:t>
            </w:r>
          </w:p>
        </w:tc>
        <w:tc>
          <w:tcPr>
            <w:tcW w:w="1800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Idah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su</w:t>
            </w:r>
            <w:bookmarkStart w:id="0" w:name="_GoBack"/>
            <w:bookmarkEnd w:id="0"/>
            <w:r w:rsidRPr="00B6300E">
              <w:rPr>
                <w:rFonts w:asciiTheme="majorBidi" w:hAnsiTheme="majorBidi" w:cstheme="majorBidi"/>
              </w:rPr>
              <w:t>ite</w:t>
            </w:r>
          </w:p>
        </w:tc>
        <w:tc>
          <w:tcPr>
            <w:tcW w:w="1708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96" w:type="dxa"/>
          </w:tcPr>
          <w:p w:rsidR="00BE7BEF" w:rsidRPr="00B6300E" w:rsidRDefault="00BE7BEF" w:rsidP="006A7DAB">
            <w:pPr>
              <w:jc w:val="both"/>
              <w:rPr>
                <w:rFonts w:asciiTheme="majorBidi" w:hAnsiTheme="majorBidi" w:cstheme="majorBidi"/>
              </w:rPr>
            </w:pPr>
            <w:r w:rsidRPr="00B0240A">
              <w:rPr>
                <w:rFonts w:asciiTheme="majorBidi" w:hAnsiTheme="majorBidi" w:cstheme="majorBidi"/>
              </w:rPr>
              <w:t xml:space="preserve">Small outcrops of </w:t>
            </w:r>
            <w:proofErr w:type="spellStart"/>
            <w:r w:rsidRPr="00B0240A">
              <w:rPr>
                <w:rFonts w:asciiTheme="majorBidi" w:hAnsiTheme="majorBidi" w:cstheme="majorBidi"/>
              </w:rPr>
              <w:t>calc</w:t>
            </w:r>
            <w:proofErr w:type="spellEnd"/>
            <w:r w:rsidRPr="00B0240A">
              <w:rPr>
                <w:rFonts w:asciiTheme="majorBidi" w:hAnsiTheme="majorBidi" w:cstheme="majorBidi"/>
              </w:rPr>
              <w:t xml:space="preserve">-silicate skarn occur in a large quartz </w:t>
            </w:r>
            <w:proofErr w:type="spellStart"/>
            <w:r w:rsidRPr="00B0240A">
              <w:rPr>
                <w:rFonts w:asciiTheme="majorBidi" w:hAnsiTheme="majorBidi" w:cstheme="majorBidi"/>
              </w:rPr>
              <w:t>monzodiorite</w:t>
            </w:r>
            <w:proofErr w:type="spellEnd"/>
            <w:r w:rsidRPr="00B0240A">
              <w:rPr>
                <w:rFonts w:asciiTheme="majorBidi" w:hAnsiTheme="majorBidi" w:cstheme="majorBidi"/>
              </w:rPr>
              <w:t xml:space="preserve"> pluton; possibly the skarn is from a </w:t>
            </w:r>
            <w:proofErr w:type="spellStart"/>
            <w:r w:rsidRPr="00B0240A">
              <w:rPr>
                <w:rFonts w:asciiTheme="majorBidi" w:hAnsiTheme="majorBidi" w:cstheme="majorBidi"/>
              </w:rPr>
              <w:t>stoped</w:t>
            </w:r>
            <w:proofErr w:type="spellEnd"/>
            <w:r w:rsidRPr="00B0240A">
              <w:rPr>
                <w:rFonts w:asciiTheme="majorBidi" w:hAnsiTheme="majorBidi" w:cstheme="majorBidi"/>
              </w:rPr>
              <w:t xml:space="preserve"> block of </w:t>
            </w:r>
            <w:proofErr w:type="spellStart"/>
            <w:r w:rsidRPr="00B0240A">
              <w:rPr>
                <w:rFonts w:asciiTheme="majorBidi" w:hAnsiTheme="majorBidi" w:cstheme="majorBidi"/>
              </w:rPr>
              <w:t>Murdama</w:t>
            </w:r>
            <w:proofErr w:type="spellEnd"/>
            <w:r w:rsidRPr="00B0240A">
              <w:rPr>
                <w:rFonts w:asciiTheme="majorBidi" w:hAnsiTheme="majorBidi" w:cstheme="majorBidi"/>
              </w:rPr>
              <w:t xml:space="preserve"> group rocks. </w:t>
            </w:r>
          </w:p>
        </w:tc>
        <w:tc>
          <w:tcPr>
            <w:tcW w:w="2868" w:type="dxa"/>
          </w:tcPr>
          <w:p w:rsidR="00BE7BEF" w:rsidRPr="00B6300E" w:rsidRDefault="00BE7BEF" w:rsidP="00AC5142">
            <w:r w:rsidRPr="00BE7BEF">
              <w:rPr>
                <w:rFonts w:asciiTheme="majorBidi" w:hAnsiTheme="majorBidi" w:cstheme="majorBidi"/>
                <w:color w:val="222222"/>
                <w:shd w:val="clear" w:color="auto" w:fill="FFFFFF"/>
              </w:rPr>
              <w:t>Williams (1984)</w:t>
            </w:r>
          </w:p>
        </w:tc>
      </w:tr>
      <w:tr w:rsidR="00BE7BEF" w:rsidRPr="000575FA" w:rsidTr="00592CDC">
        <w:tc>
          <w:tcPr>
            <w:tcW w:w="1226" w:type="dxa"/>
          </w:tcPr>
          <w:p w:rsidR="00BE7BEF" w:rsidRPr="000575FA" w:rsidRDefault="00BE7BEF" w:rsidP="00AC5142">
            <w:pPr>
              <w:rPr>
                <w:rFonts w:asciiTheme="majorHAnsi" w:hAnsiTheme="majorHAnsi"/>
                <w:b/>
                <w:bCs/>
              </w:rPr>
            </w:pP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Bi’r</w:t>
            </w:r>
            <w:proofErr w:type="spellEnd"/>
            <w:r w:rsidRPr="000575FA">
              <w:rPr>
                <w:rFonts w:asciiTheme="majorHAnsi" w:hAnsiTheme="majorHAnsi"/>
                <w:b/>
                <w:bCs/>
              </w:rPr>
              <w:t xml:space="preserve"> Ash </w:t>
            </w:r>
            <w:proofErr w:type="spellStart"/>
            <w:r w:rsidRPr="000575FA">
              <w:rPr>
                <w:rFonts w:asciiTheme="majorHAnsi" w:hAnsiTheme="majorHAnsi"/>
                <w:b/>
                <w:bCs/>
              </w:rPr>
              <w:t>Shumt</w:t>
            </w:r>
            <w:proofErr w:type="spellEnd"/>
          </w:p>
        </w:tc>
        <w:tc>
          <w:tcPr>
            <w:tcW w:w="756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25.47</w:t>
            </w:r>
          </w:p>
        </w:tc>
        <w:tc>
          <w:tcPr>
            <w:tcW w:w="761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41.56</w:t>
            </w:r>
          </w:p>
        </w:tc>
        <w:tc>
          <w:tcPr>
            <w:tcW w:w="1415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Garnet-</w:t>
            </w:r>
            <w:proofErr w:type="spellStart"/>
            <w:r w:rsidRPr="00B6300E">
              <w:rPr>
                <w:rFonts w:asciiTheme="majorBidi" w:hAnsiTheme="majorBidi" w:cstheme="majorBidi"/>
              </w:rPr>
              <w:t>Wollastonite</w:t>
            </w:r>
            <w:proofErr w:type="spellEnd"/>
          </w:p>
        </w:tc>
        <w:tc>
          <w:tcPr>
            <w:tcW w:w="1170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Oxidized</w:t>
            </w:r>
          </w:p>
        </w:tc>
        <w:tc>
          <w:tcPr>
            <w:tcW w:w="1800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proofErr w:type="spellStart"/>
            <w:r w:rsidRPr="00B6300E">
              <w:rPr>
                <w:rFonts w:asciiTheme="majorBidi" w:hAnsiTheme="majorBidi" w:cstheme="majorBidi"/>
              </w:rPr>
              <w:t>Syn</w:t>
            </w:r>
            <w:proofErr w:type="spellEnd"/>
            <w:r w:rsidRPr="00B6300E">
              <w:rPr>
                <w:rFonts w:asciiTheme="majorBidi" w:hAnsiTheme="majorBidi" w:cstheme="majorBidi"/>
              </w:rPr>
              <w:t>- to post-</w:t>
            </w:r>
            <w:proofErr w:type="spellStart"/>
            <w:r w:rsidRPr="00B6300E">
              <w:rPr>
                <w:rFonts w:asciiTheme="majorBidi" w:hAnsiTheme="majorBidi" w:cstheme="majorBidi"/>
              </w:rPr>
              <w:t>Isamah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B6300E">
              <w:rPr>
                <w:rFonts w:asciiTheme="majorBidi" w:hAnsiTheme="majorBidi" w:cstheme="majorBidi"/>
              </w:rPr>
              <w:t>intrusives</w:t>
            </w:r>
            <w:proofErr w:type="spellEnd"/>
          </w:p>
        </w:tc>
        <w:tc>
          <w:tcPr>
            <w:tcW w:w="1708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Cu –Au</w:t>
            </w:r>
          </w:p>
        </w:tc>
        <w:tc>
          <w:tcPr>
            <w:tcW w:w="3796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 xml:space="preserve">Tungsten-bearing quartz veins exist in El </w:t>
            </w:r>
            <w:proofErr w:type="spellStart"/>
            <w:r w:rsidRPr="00B6300E">
              <w:rPr>
                <w:rFonts w:asciiTheme="majorBidi" w:hAnsiTheme="majorBidi" w:cstheme="majorBidi"/>
              </w:rPr>
              <w:t>Khom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area.</w:t>
            </w:r>
          </w:p>
        </w:tc>
        <w:tc>
          <w:tcPr>
            <w:tcW w:w="2868" w:type="dxa"/>
          </w:tcPr>
          <w:p w:rsidR="00BE7BEF" w:rsidRPr="00B6300E" w:rsidRDefault="00BE7BEF" w:rsidP="00AC5142">
            <w:pPr>
              <w:rPr>
                <w:rFonts w:asciiTheme="majorBidi" w:hAnsiTheme="majorBidi" w:cstheme="majorBidi"/>
              </w:rPr>
            </w:pPr>
            <w:r w:rsidRPr="00B6300E">
              <w:rPr>
                <w:rFonts w:asciiTheme="majorBidi" w:hAnsiTheme="majorBidi" w:cstheme="majorBidi"/>
              </w:rPr>
              <w:t>Hummel  &amp; </w:t>
            </w:r>
            <w:proofErr w:type="spellStart"/>
            <w:r w:rsidRPr="00B6300E">
              <w:rPr>
                <w:rFonts w:asciiTheme="majorBidi" w:hAnsiTheme="majorBidi" w:cstheme="majorBidi"/>
              </w:rPr>
              <w:t>Ankary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(1972);  </w:t>
            </w:r>
            <w:proofErr w:type="spellStart"/>
            <w:r w:rsidRPr="00B6300E">
              <w:rPr>
                <w:rFonts w:asciiTheme="majorBidi" w:hAnsiTheme="majorBidi" w:cstheme="majorBidi"/>
              </w:rPr>
              <w:t>Lemiere</w:t>
            </w:r>
            <w:proofErr w:type="spellEnd"/>
            <w:r w:rsidRPr="00B6300E">
              <w:rPr>
                <w:rFonts w:asciiTheme="majorBidi" w:hAnsiTheme="majorBidi" w:cstheme="majorBidi"/>
              </w:rPr>
              <w:t xml:space="preserve"> et al. (1990)</w:t>
            </w:r>
          </w:p>
        </w:tc>
      </w:tr>
    </w:tbl>
    <w:p w:rsidR="00CB23E7" w:rsidRPr="00D258CA" w:rsidRDefault="0078214A" w:rsidP="00D258CA">
      <w:pPr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0575FA">
        <w:rPr>
          <w:rFonts w:asciiTheme="majorBidi" w:hAnsiTheme="majorBidi" w:cstheme="majorBidi"/>
          <w:sz w:val="28"/>
          <w:szCs w:val="28"/>
        </w:rPr>
        <w:t xml:space="preserve"> </w:t>
      </w:r>
      <w:r w:rsidR="001764F7" w:rsidRPr="000575FA">
        <w:rPr>
          <w:rFonts w:asciiTheme="majorBidi" w:hAnsiTheme="majorBidi" w:cstheme="majorBidi"/>
          <w:sz w:val="28"/>
          <w:szCs w:val="28"/>
        </w:rPr>
        <w:t>Table</w:t>
      </w:r>
      <w:r w:rsidR="0003700C" w:rsidRPr="000575FA">
        <w:rPr>
          <w:rFonts w:asciiTheme="majorBidi" w:hAnsiTheme="majorBidi" w:cstheme="majorBidi"/>
          <w:sz w:val="28"/>
          <w:szCs w:val="28"/>
        </w:rPr>
        <w:t xml:space="preserve"> S1</w:t>
      </w:r>
      <w:r w:rsidR="001764F7" w:rsidRPr="000575FA">
        <w:rPr>
          <w:rFonts w:asciiTheme="majorBidi" w:hAnsiTheme="majorBidi" w:cstheme="majorBidi"/>
          <w:sz w:val="28"/>
          <w:szCs w:val="28"/>
        </w:rPr>
        <w:t xml:space="preserve">: Skarn deposits in the Arabian shield </w:t>
      </w:r>
    </w:p>
    <w:p w:rsidR="00360B8C" w:rsidRPr="000575FA" w:rsidRDefault="00360B8C" w:rsidP="00CF7246">
      <w:pPr>
        <w:spacing w:line="360" w:lineRule="auto"/>
        <w:ind w:left="720" w:hanging="72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</w:pPr>
      <w:r w:rsidRPr="000575FA">
        <w:rPr>
          <w:rFonts w:asciiTheme="majorBidi" w:hAnsiTheme="majorBidi" w:cstheme="majorBidi"/>
          <w:b/>
          <w:bCs/>
          <w:sz w:val="24"/>
          <w:szCs w:val="24"/>
          <w:u w:val="single"/>
          <w:shd w:val="clear" w:color="auto" w:fill="FFFFFF"/>
        </w:rPr>
        <w:lastRenderedPageBreak/>
        <w:t>References:</w:t>
      </w:r>
    </w:p>
    <w:p w:rsidR="00A45B44" w:rsidRPr="000575FA" w:rsidRDefault="00A45B44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0575FA">
        <w:rPr>
          <w:rFonts w:asciiTheme="majorBidi" w:hAnsiTheme="majorBidi" w:cstheme="majorBidi"/>
        </w:rPr>
        <w:t>Ahmed</w:t>
      </w:r>
      <w:r w:rsidRPr="000575FA">
        <w:rPr>
          <w:rFonts w:asciiTheme="majorBidi" w:hAnsiTheme="majorBidi" w:cstheme="majorBidi"/>
          <w:shd w:val="clear" w:color="auto" w:fill="FFFFFF"/>
        </w:rPr>
        <w:t>, Z. (2002). Composition of skarn grossular from Al-Madhiq area, SW Saudi Arabia.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Arabian Journal for Science and Engineering. Section B: Engineering</w:t>
      </w:r>
      <w:r w:rsidRPr="000575FA">
        <w:rPr>
          <w:rFonts w:asciiTheme="majorBidi" w:hAnsiTheme="majorBidi" w:cstheme="majorBidi"/>
          <w:shd w:val="clear" w:color="auto" w:fill="FFFFFF"/>
        </w:rPr>
        <w:t>,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27</w:t>
      </w:r>
      <w:r w:rsidRPr="000575FA">
        <w:rPr>
          <w:rFonts w:asciiTheme="majorBidi" w:hAnsiTheme="majorBidi" w:cstheme="majorBidi"/>
          <w:shd w:val="clear" w:color="auto" w:fill="FFFFFF"/>
        </w:rPr>
        <w:t>(1A), 3-16.</w:t>
      </w:r>
    </w:p>
    <w:p w:rsidR="00CF7246" w:rsidRDefault="00CF7246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  <w:shd w:val="clear" w:color="auto" w:fill="FFFFFF"/>
        </w:rPr>
      </w:pPr>
      <w:r w:rsidRPr="000575FA">
        <w:rPr>
          <w:rFonts w:asciiTheme="majorBidi" w:hAnsiTheme="majorBidi" w:cstheme="majorBidi"/>
          <w:shd w:val="clear" w:color="auto" w:fill="FFFFFF"/>
        </w:rPr>
        <w:t xml:space="preserve">Ahmed, Z., &amp; </w:t>
      </w:r>
      <w:r w:rsidRPr="000575FA">
        <w:rPr>
          <w:rFonts w:asciiTheme="majorBidi" w:hAnsiTheme="majorBidi" w:cstheme="majorBidi"/>
        </w:rPr>
        <w:t>Hariri</w:t>
      </w:r>
      <w:r w:rsidRPr="000575FA">
        <w:rPr>
          <w:rFonts w:asciiTheme="majorBidi" w:hAnsiTheme="majorBidi" w:cstheme="majorBidi"/>
          <w:shd w:val="clear" w:color="auto" w:fill="FFFFFF"/>
        </w:rPr>
        <w:t>, M. M. (2006). Formation and mineral chemistry of a calcic skarn from Al-Madhiq, SW Saudi Arabia.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Geochemistry</w:t>
      </w:r>
      <w:r w:rsidRPr="000575FA">
        <w:rPr>
          <w:rFonts w:asciiTheme="majorBidi" w:hAnsiTheme="majorBidi" w:cstheme="majorBidi"/>
          <w:shd w:val="clear" w:color="auto" w:fill="FFFFFF"/>
        </w:rPr>
        <w:t>,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66</w:t>
      </w:r>
      <w:r w:rsidRPr="000575FA">
        <w:rPr>
          <w:rFonts w:asciiTheme="majorBidi" w:hAnsiTheme="majorBidi" w:cstheme="majorBidi"/>
          <w:shd w:val="clear" w:color="auto" w:fill="FFFFFF"/>
        </w:rPr>
        <w:t>(3), 187-201.</w:t>
      </w:r>
    </w:p>
    <w:p w:rsidR="009706C8" w:rsidRDefault="009706C8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  <w:shd w:val="clear" w:color="auto" w:fill="FFFFFF"/>
        </w:rPr>
      </w:pPr>
      <w:r w:rsidRPr="000575FA">
        <w:rPr>
          <w:rFonts w:asciiTheme="majorBidi" w:hAnsiTheme="majorBidi" w:cstheme="majorBidi"/>
          <w:shd w:val="clear" w:color="auto" w:fill="FFFFFF"/>
        </w:rPr>
        <w:t> Hummel C. L., &amp; </w:t>
      </w:r>
      <w:r w:rsidRPr="000575FA">
        <w:rPr>
          <w:rFonts w:asciiTheme="majorBidi" w:hAnsiTheme="majorBidi" w:cstheme="majorBidi"/>
        </w:rPr>
        <w:t>Ankary</w:t>
      </w:r>
      <w:r w:rsidRPr="000575FA">
        <w:rPr>
          <w:rFonts w:asciiTheme="majorBidi" w:hAnsiTheme="majorBidi" w:cstheme="majorBidi"/>
          <w:shd w:val="clear" w:color="auto" w:fill="FFFFFF"/>
        </w:rPr>
        <w:t>, A. O. (1972).Geology and mineral deposits of the Jabal ash Shumta quadrangle, Kingdom of Saudi Arabia. USGS, Open-File Report 72-177</w:t>
      </w:r>
      <w:r w:rsidR="00F015A3" w:rsidRPr="000575FA">
        <w:rPr>
          <w:rFonts w:asciiTheme="majorBidi" w:hAnsiTheme="majorBidi" w:cstheme="majorBidi"/>
          <w:shd w:val="clear" w:color="auto" w:fill="FFFFFF"/>
        </w:rPr>
        <w:t>.</w:t>
      </w:r>
    </w:p>
    <w:p w:rsidR="0067611E" w:rsidRPr="0067611E" w:rsidRDefault="0067611E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7611E">
        <w:rPr>
          <w:rFonts w:asciiTheme="majorBidi" w:hAnsiTheme="majorBidi" w:cstheme="majorBidi"/>
          <w:color w:val="222222"/>
          <w:shd w:val="clear" w:color="auto" w:fill="FFFFFF"/>
        </w:rPr>
        <w:t>Kahr, V. P., Overstreet, W. C., Whitlow, J. W., &amp; Ankary, A. O. (1972). </w:t>
      </w:r>
      <w:r w:rsidRPr="0067611E">
        <w:rPr>
          <w:rFonts w:asciiTheme="majorBidi" w:hAnsiTheme="majorBidi" w:cstheme="majorBidi"/>
          <w:i/>
          <w:iCs/>
          <w:color w:val="222222"/>
          <w:shd w:val="clear" w:color="auto" w:fill="FFFFFF"/>
        </w:rPr>
        <w:t>Reconnaissance geology of the Jabal Bitran quadrangle, Kingdom of Saudi Arabia</w:t>
      </w:r>
      <w:r w:rsidRPr="0067611E">
        <w:rPr>
          <w:rFonts w:asciiTheme="majorBidi" w:hAnsiTheme="majorBidi" w:cstheme="majorBidi"/>
          <w:color w:val="222222"/>
          <w:shd w:val="clear" w:color="auto" w:fill="FFFFFF"/>
        </w:rPr>
        <w:t> (No. 72-204). US Geological Survey],.</w:t>
      </w:r>
      <w:r w:rsidRPr="0067611E">
        <w:rPr>
          <w:rFonts w:asciiTheme="majorBidi" w:hAnsiTheme="majorBidi" w:cstheme="majorBidi"/>
          <w:color w:val="222222"/>
          <w:shd w:val="clear" w:color="auto" w:fill="FFFFFF"/>
          <w:rtl/>
        </w:rPr>
        <w:t>‏</w:t>
      </w:r>
    </w:p>
    <w:p w:rsidR="00F015A3" w:rsidRPr="000575FA" w:rsidRDefault="00F015A3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  <w:shd w:val="clear" w:color="auto" w:fill="FFFFFF"/>
        </w:rPr>
      </w:pPr>
      <w:r w:rsidRPr="000575FA">
        <w:rPr>
          <w:rFonts w:asciiTheme="majorBidi" w:hAnsiTheme="majorBidi" w:cstheme="majorBidi"/>
          <w:shd w:val="clear" w:color="auto" w:fill="FFFFFF"/>
        </w:rPr>
        <w:t xml:space="preserve">Lemiere, B., </w:t>
      </w:r>
      <w:r w:rsidRPr="000575FA">
        <w:rPr>
          <w:rFonts w:asciiTheme="majorBidi" w:hAnsiTheme="majorBidi" w:cstheme="majorBidi"/>
        </w:rPr>
        <w:t>Damanhori</w:t>
      </w:r>
      <w:r w:rsidRPr="000575FA">
        <w:rPr>
          <w:rFonts w:asciiTheme="majorBidi" w:hAnsiTheme="majorBidi" w:cstheme="majorBidi"/>
          <w:shd w:val="clear" w:color="auto" w:fill="FFFFFF"/>
        </w:rPr>
        <w:t>, N., &amp; Baudet, G. (1990). A Marble-Hosted Wollastonite Deposit at Bi’r Ash Shumt, Kingdom of Saudi Arabia.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Earth Sciences Journal</w:t>
      </w:r>
      <w:r w:rsidRPr="000575FA">
        <w:rPr>
          <w:rFonts w:asciiTheme="majorBidi" w:hAnsiTheme="majorBidi" w:cstheme="majorBidi"/>
          <w:shd w:val="clear" w:color="auto" w:fill="FFFFFF"/>
        </w:rPr>
        <w:t>,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3</w:t>
      </w:r>
      <w:r w:rsidRPr="000575FA">
        <w:rPr>
          <w:rFonts w:asciiTheme="majorBidi" w:hAnsiTheme="majorBidi" w:cstheme="majorBidi"/>
          <w:shd w:val="clear" w:color="auto" w:fill="FFFFFF"/>
        </w:rPr>
        <w:t>(1), 129-144.</w:t>
      </w:r>
    </w:p>
    <w:p w:rsidR="009960B5" w:rsidRPr="000575FA" w:rsidRDefault="009960B5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</w:rPr>
      </w:pPr>
      <w:bookmarkStart w:id="1" w:name="_ENREF_24"/>
      <w:r w:rsidRPr="000575FA">
        <w:rPr>
          <w:rFonts w:asciiTheme="majorBidi" w:hAnsiTheme="majorBidi" w:cstheme="majorBidi"/>
        </w:rPr>
        <w:t xml:space="preserve">Miller, W.R., Arnold, M.A., </w:t>
      </w:r>
      <w:r w:rsidR="006A058F">
        <w:rPr>
          <w:rFonts w:asciiTheme="majorBidi" w:hAnsiTheme="majorBidi" w:cstheme="majorBidi"/>
        </w:rPr>
        <w:t>(</w:t>
      </w:r>
      <w:r w:rsidRPr="000575FA">
        <w:rPr>
          <w:rFonts w:asciiTheme="majorBidi" w:hAnsiTheme="majorBidi" w:cstheme="majorBidi"/>
        </w:rPr>
        <w:t>1988</w:t>
      </w:r>
      <w:r w:rsidR="006A058F">
        <w:rPr>
          <w:rFonts w:asciiTheme="majorBidi" w:hAnsiTheme="majorBidi" w:cstheme="majorBidi"/>
        </w:rPr>
        <w:t>)</w:t>
      </w:r>
      <w:r w:rsidRPr="000575FA">
        <w:rPr>
          <w:rFonts w:asciiTheme="majorBidi" w:hAnsiTheme="majorBidi" w:cstheme="majorBidi"/>
        </w:rPr>
        <w:t>. Results of a Geochemical Survey, Aban Al Ahmar Quadrangle, Sheet 25F, Kingdom of Saudi Arabia. US Geological Survey.</w:t>
      </w:r>
      <w:bookmarkEnd w:id="1"/>
    </w:p>
    <w:p w:rsidR="006F1DE2" w:rsidRPr="000575FA" w:rsidRDefault="00CF7246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  <w:shd w:val="clear" w:color="auto" w:fill="FFFFFF"/>
        </w:rPr>
      </w:pPr>
      <w:r w:rsidRPr="000575FA">
        <w:rPr>
          <w:rFonts w:asciiTheme="majorBidi" w:hAnsiTheme="majorBidi" w:cstheme="majorBidi"/>
        </w:rPr>
        <w:t>Moufti</w:t>
      </w:r>
      <w:r w:rsidRPr="000575FA">
        <w:rPr>
          <w:rFonts w:asciiTheme="majorBidi" w:hAnsiTheme="majorBidi" w:cstheme="majorBidi"/>
          <w:shd w:val="clear" w:color="auto" w:fill="FFFFFF"/>
        </w:rPr>
        <w:t>, A. M. B. (2011). Mineralogy of Metacarbonate Rocks and Garnet Depositsat two Selected Areas at Asir Region, Southwestern KSA.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International Journal of Geosciences</w:t>
      </w:r>
      <w:r w:rsidRPr="000575FA">
        <w:rPr>
          <w:rFonts w:asciiTheme="majorBidi" w:hAnsiTheme="majorBidi" w:cstheme="majorBidi"/>
          <w:shd w:val="clear" w:color="auto" w:fill="FFFFFF"/>
        </w:rPr>
        <w:t>,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2</w:t>
      </w:r>
      <w:r w:rsidRPr="000575FA">
        <w:rPr>
          <w:rFonts w:asciiTheme="majorBidi" w:hAnsiTheme="majorBidi" w:cstheme="majorBidi"/>
          <w:shd w:val="clear" w:color="auto" w:fill="FFFFFF"/>
        </w:rPr>
        <w:t>(04), 657.</w:t>
      </w:r>
    </w:p>
    <w:p w:rsidR="000575FA" w:rsidRPr="000575FA" w:rsidRDefault="000575FA" w:rsidP="0067611E">
      <w:pPr>
        <w:pStyle w:val="EndNoteBibliography"/>
        <w:spacing w:after="0" w:line="360" w:lineRule="auto"/>
        <w:ind w:left="719" w:hangingChars="327" w:hanging="719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0575FA">
        <w:rPr>
          <w:rFonts w:asciiTheme="majorBidi" w:hAnsiTheme="majorBidi" w:cstheme="majorBidi"/>
          <w:shd w:val="clear" w:color="auto" w:fill="FFFFFF"/>
        </w:rPr>
        <w:t>Nehlig, P., Salpeteur, I., Asfirane, F., Bouchot, V., Eberlé, J. M., &amp; Genna, A. (1999). The mineral potential of the Arabian shield: a reassessment. In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Proceedings of the IUGS/UNESCO Meeting on the “Base and Precious Metal Deposits in the Arabian Shield”, Jeddah, November</w:t>
      </w:r>
      <w:r w:rsidRPr="000575FA">
        <w:rPr>
          <w:rFonts w:asciiTheme="majorBidi" w:hAnsiTheme="majorBidi" w:cstheme="majorBidi"/>
          <w:shd w:val="clear" w:color="auto" w:fill="FFFFFF"/>
        </w:rPr>
        <w:t> (pp. 12-19).</w:t>
      </w:r>
      <w:r w:rsidRPr="000575FA">
        <w:rPr>
          <w:rFonts w:asciiTheme="majorBidi" w:hAnsiTheme="majorBidi" w:cstheme="majorBidi"/>
          <w:shd w:val="clear" w:color="auto" w:fill="FFFFFF"/>
          <w:rtl/>
        </w:rPr>
        <w:t>‏</w:t>
      </w:r>
    </w:p>
    <w:p w:rsidR="0008470E" w:rsidRDefault="0008470E" w:rsidP="0067611E">
      <w:pPr>
        <w:spacing w:line="360" w:lineRule="auto"/>
        <w:ind w:left="720" w:hanging="720"/>
        <w:jc w:val="both"/>
        <w:rPr>
          <w:rFonts w:asciiTheme="majorBidi" w:hAnsiTheme="majorBidi" w:cstheme="majorBidi"/>
          <w:shd w:val="clear" w:color="auto" w:fill="FFFFFF"/>
        </w:rPr>
      </w:pPr>
      <w:proofErr w:type="spellStart"/>
      <w:proofErr w:type="gramStart"/>
      <w:r w:rsidRPr="000575FA">
        <w:rPr>
          <w:rFonts w:asciiTheme="majorBidi" w:hAnsiTheme="majorBidi" w:cstheme="majorBidi"/>
          <w:shd w:val="clear" w:color="auto" w:fill="FFFFFF"/>
        </w:rPr>
        <w:t>Surour</w:t>
      </w:r>
      <w:proofErr w:type="spellEnd"/>
      <w:r w:rsidRPr="000575FA">
        <w:rPr>
          <w:rFonts w:asciiTheme="majorBidi" w:hAnsiTheme="majorBidi" w:cstheme="majorBidi"/>
          <w:shd w:val="clear" w:color="auto" w:fill="FFFFFF"/>
        </w:rPr>
        <w:t xml:space="preserve">, A. A., &amp; </w:t>
      </w:r>
      <w:proofErr w:type="spellStart"/>
      <w:r w:rsidRPr="000575FA">
        <w:rPr>
          <w:rFonts w:asciiTheme="majorBidi" w:hAnsiTheme="majorBidi" w:cstheme="majorBidi"/>
          <w:shd w:val="clear" w:color="auto" w:fill="FFFFFF"/>
        </w:rPr>
        <w:t>Moufti</w:t>
      </w:r>
      <w:proofErr w:type="spellEnd"/>
      <w:r w:rsidRPr="000575FA">
        <w:rPr>
          <w:rFonts w:asciiTheme="majorBidi" w:hAnsiTheme="majorBidi" w:cstheme="majorBidi"/>
          <w:shd w:val="clear" w:color="auto" w:fill="FFFFFF"/>
        </w:rPr>
        <w:t>, A. M. (2011).</w:t>
      </w:r>
      <w:proofErr w:type="gramEnd"/>
      <w:r w:rsidRPr="000575FA">
        <w:rPr>
          <w:rFonts w:asciiTheme="majorBidi" w:hAnsiTheme="majorBidi" w:cstheme="majorBidi"/>
          <w:shd w:val="clear" w:color="auto" w:fill="FFFFFF"/>
        </w:rPr>
        <w:t xml:space="preserve"> A new occurrence of </w:t>
      </w:r>
      <w:proofErr w:type="spellStart"/>
      <w:r w:rsidRPr="000575FA">
        <w:rPr>
          <w:rFonts w:asciiTheme="majorBidi" w:hAnsiTheme="majorBidi" w:cstheme="majorBidi"/>
          <w:shd w:val="clear" w:color="auto" w:fill="FFFFFF"/>
        </w:rPr>
        <w:t>garnetiferous</w:t>
      </w:r>
      <w:proofErr w:type="spellEnd"/>
      <w:r w:rsidRPr="000575FA">
        <w:rPr>
          <w:rFonts w:asciiTheme="majorBidi" w:hAnsiTheme="majorBidi" w:cstheme="majorBidi"/>
          <w:shd w:val="clear" w:color="auto" w:fill="FFFFFF"/>
        </w:rPr>
        <w:t xml:space="preserve"> skarn rocks in Saudi Arabia: a case study from </w:t>
      </w:r>
      <w:proofErr w:type="spellStart"/>
      <w:r w:rsidRPr="000575FA">
        <w:rPr>
          <w:rFonts w:asciiTheme="majorBidi" w:hAnsiTheme="majorBidi" w:cstheme="majorBidi"/>
          <w:shd w:val="clear" w:color="auto" w:fill="FFFFFF"/>
        </w:rPr>
        <w:t>Bahrah</w:t>
      </w:r>
      <w:proofErr w:type="spellEnd"/>
      <w:r w:rsidRPr="000575FA">
        <w:rPr>
          <w:rFonts w:asciiTheme="majorBidi" w:hAnsiTheme="majorBidi" w:cstheme="majorBidi"/>
          <w:shd w:val="clear" w:color="auto" w:fill="FFFFFF"/>
        </w:rPr>
        <w:t xml:space="preserve"> area, Jeddah–</w:t>
      </w:r>
      <w:proofErr w:type="spellStart"/>
      <w:r w:rsidRPr="000575FA">
        <w:rPr>
          <w:rFonts w:asciiTheme="majorBidi" w:hAnsiTheme="majorBidi" w:cstheme="majorBidi"/>
          <w:shd w:val="clear" w:color="auto" w:fill="FFFFFF"/>
        </w:rPr>
        <w:t>Makkah</w:t>
      </w:r>
      <w:proofErr w:type="spellEnd"/>
      <w:r w:rsidRPr="000575FA">
        <w:rPr>
          <w:rFonts w:asciiTheme="majorBidi" w:hAnsiTheme="majorBidi" w:cstheme="majorBidi"/>
          <w:shd w:val="clear" w:color="auto" w:fill="FFFFFF"/>
        </w:rPr>
        <w:t xml:space="preserve"> Al </w:t>
      </w:r>
      <w:proofErr w:type="spellStart"/>
      <w:r w:rsidRPr="000575FA">
        <w:rPr>
          <w:rFonts w:asciiTheme="majorBidi" w:hAnsiTheme="majorBidi" w:cstheme="majorBidi"/>
          <w:shd w:val="clear" w:color="auto" w:fill="FFFFFF"/>
        </w:rPr>
        <w:t>Mukaramah</w:t>
      </w:r>
      <w:proofErr w:type="spellEnd"/>
      <w:r w:rsidRPr="000575FA">
        <w:rPr>
          <w:rFonts w:asciiTheme="majorBidi" w:hAnsiTheme="majorBidi" w:cstheme="majorBidi"/>
          <w:shd w:val="clear" w:color="auto" w:fill="FFFFFF"/>
        </w:rPr>
        <w:t xml:space="preserve"> highway.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Arabian Journal of Geosciences</w:t>
      </w:r>
      <w:r w:rsidRPr="000575FA">
        <w:rPr>
          <w:rFonts w:asciiTheme="majorBidi" w:hAnsiTheme="majorBidi" w:cstheme="majorBidi"/>
          <w:shd w:val="clear" w:color="auto" w:fill="FFFFFF"/>
        </w:rPr>
        <w:t>, </w:t>
      </w:r>
      <w:r w:rsidRPr="000575FA">
        <w:rPr>
          <w:rFonts w:asciiTheme="majorBidi" w:hAnsiTheme="majorBidi" w:cstheme="majorBidi"/>
          <w:i/>
          <w:iCs/>
          <w:shd w:val="clear" w:color="auto" w:fill="FFFFFF"/>
        </w:rPr>
        <w:t>4</w:t>
      </w:r>
      <w:r w:rsidRPr="000575FA">
        <w:rPr>
          <w:rFonts w:asciiTheme="majorBidi" w:hAnsiTheme="majorBidi" w:cstheme="majorBidi"/>
          <w:shd w:val="clear" w:color="auto" w:fill="FFFFFF"/>
        </w:rPr>
        <w:t>(5), 879-897.</w:t>
      </w:r>
    </w:p>
    <w:p w:rsidR="00BE7BEF" w:rsidRPr="00BE7BEF" w:rsidRDefault="00BE7BEF" w:rsidP="0067611E">
      <w:pPr>
        <w:spacing w:line="360" w:lineRule="auto"/>
        <w:ind w:left="720" w:hanging="720"/>
        <w:jc w:val="both"/>
        <w:rPr>
          <w:rFonts w:asciiTheme="majorBidi" w:hAnsiTheme="majorBidi" w:cstheme="majorBidi"/>
          <w:sz w:val="32"/>
          <w:szCs w:val="32"/>
        </w:rPr>
      </w:pPr>
      <w:r w:rsidRPr="00BE7BEF">
        <w:rPr>
          <w:rFonts w:asciiTheme="majorBidi" w:hAnsiTheme="majorBidi" w:cstheme="majorBidi"/>
          <w:color w:val="222222"/>
          <w:shd w:val="clear" w:color="auto" w:fill="FFFFFF"/>
        </w:rPr>
        <w:t>Williams, P. L. (1984). </w:t>
      </w:r>
      <w:r w:rsidRPr="00BE7BEF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Reconnaissance Geology of the </w:t>
      </w:r>
      <w:proofErr w:type="spellStart"/>
      <w:r w:rsidRPr="00BE7BEF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Samirah</w:t>
      </w:r>
      <w:proofErr w:type="spellEnd"/>
      <w:r w:rsidRPr="00BE7BEF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 Quadrangle, Sheet 26/42 C, Kingdom of Saudi Arabia</w:t>
      </w:r>
      <w:r w:rsidRPr="00BE7BEF">
        <w:rPr>
          <w:rFonts w:asciiTheme="majorBidi" w:hAnsiTheme="majorBidi" w:cstheme="majorBidi"/>
          <w:color w:val="222222"/>
          <w:shd w:val="clear" w:color="auto" w:fill="FFFFFF"/>
        </w:rPr>
        <w:t> (No. 84-383). US Geological Survey</w:t>
      </w:r>
      <w:proofErr w:type="gramStart"/>
      <w:r w:rsidRPr="00BE7BEF">
        <w:rPr>
          <w:rFonts w:asciiTheme="majorBidi" w:hAnsiTheme="majorBidi" w:cstheme="majorBidi"/>
          <w:color w:val="222222"/>
          <w:shd w:val="clear" w:color="auto" w:fill="FFFFFF"/>
        </w:rPr>
        <w:t>,.</w:t>
      </w:r>
      <w:proofErr w:type="gramEnd"/>
    </w:p>
    <w:sectPr w:rsidR="00BE7BEF" w:rsidRPr="00BE7BEF" w:rsidSect="004E486C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737" w:rsidRDefault="00425737" w:rsidP="00AC5142">
      <w:pPr>
        <w:spacing w:after="0" w:line="240" w:lineRule="auto"/>
      </w:pPr>
      <w:r>
        <w:separator/>
      </w:r>
    </w:p>
  </w:endnote>
  <w:endnote w:type="continuationSeparator" w:id="0">
    <w:p w:rsidR="00425737" w:rsidRDefault="00425737" w:rsidP="00AC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f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45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7817" w:rsidRDefault="00A17817">
        <w:pPr>
          <w:pStyle w:val="Footer"/>
          <w:jc w:val="center"/>
        </w:pPr>
        <w:r w:rsidRPr="00A17817">
          <w:rPr>
            <w:sz w:val="24"/>
            <w:szCs w:val="24"/>
          </w:rPr>
          <w:fldChar w:fldCharType="begin"/>
        </w:r>
        <w:r w:rsidRPr="00A17817">
          <w:rPr>
            <w:sz w:val="24"/>
            <w:szCs w:val="24"/>
          </w:rPr>
          <w:instrText xml:space="preserve"> PAGE   \* MERGEFORMAT </w:instrText>
        </w:r>
        <w:r w:rsidRPr="00A17817">
          <w:rPr>
            <w:sz w:val="24"/>
            <w:szCs w:val="24"/>
          </w:rPr>
          <w:fldChar w:fldCharType="separate"/>
        </w:r>
        <w:r w:rsidR="006A058F">
          <w:rPr>
            <w:noProof/>
            <w:sz w:val="24"/>
            <w:szCs w:val="24"/>
          </w:rPr>
          <w:t>1</w:t>
        </w:r>
        <w:r w:rsidRPr="00A17817">
          <w:rPr>
            <w:noProof/>
            <w:sz w:val="24"/>
            <w:szCs w:val="24"/>
          </w:rPr>
          <w:fldChar w:fldCharType="end"/>
        </w:r>
      </w:p>
    </w:sdtContent>
  </w:sdt>
  <w:p w:rsidR="00A17817" w:rsidRDefault="00A178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737" w:rsidRDefault="00425737" w:rsidP="00AC5142">
      <w:pPr>
        <w:spacing w:after="0" w:line="240" w:lineRule="auto"/>
      </w:pPr>
      <w:r>
        <w:separator/>
      </w:r>
    </w:p>
  </w:footnote>
  <w:footnote w:type="continuationSeparator" w:id="0">
    <w:p w:rsidR="00425737" w:rsidRDefault="00425737" w:rsidP="00AC5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27706"/>
    <w:multiLevelType w:val="hybridMultilevel"/>
    <w:tmpl w:val="D51AF12C"/>
    <w:lvl w:ilvl="0" w:tplc="492EF51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6C"/>
    <w:rsid w:val="00000E4B"/>
    <w:rsid w:val="0003700C"/>
    <w:rsid w:val="000575FA"/>
    <w:rsid w:val="00082C9D"/>
    <w:rsid w:val="0008470E"/>
    <w:rsid w:val="000B3BB7"/>
    <w:rsid w:val="0012409E"/>
    <w:rsid w:val="001333C3"/>
    <w:rsid w:val="00146511"/>
    <w:rsid w:val="001764F7"/>
    <w:rsid w:val="00187F2A"/>
    <w:rsid w:val="002946A3"/>
    <w:rsid w:val="00295BBB"/>
    <w:rsid w:val="002A0C0C"/>
    <w:rsid w:val="00355CBF"/>
    <w:rsid w:val="00360B8C"/>
    <w:rsid w:val="00361666"/>
    <w:rsid w:val="003F064A"/>
    <w:rsid w:val="00413B24"/>
    <w:rsid w:val="0042498F"/>
    <w:rsid w:val="00425737"/>
    <w:rsid w:val="00494898"/>
    <w:rsid w:val="004D2DF4"/>
    <w:rsid w:val="004E486C"/>
    <w:rsid w:val="00505F74"/>
    <w:rsid w:val="005064B5"/>
    <w:rsid w:val="00545E03"/>
    <w:rsid w:val="00592CDC"/>
    <w:rsid w:val="00630269"/>
    <w:rsid w:val="0067611E"/>
    <w:rsid w:val="006A058F"/>
    <w:rsid w:val="006A7DAB"/>
    <w:rsid w:val="006B58BE"/>
    <w:rsid w:val="006E1DC4"/>
    <w:rsid w:val="006F1DE2"/>
    <w:rsid w:val="006F4548"/>
    <w:rsid w:val="006F7DB0"/>
    <w:rsid w:val="00776801"/>
    <w:rsid w:val="0078214A"/>
    <w:rsid w:val="008347D3"/>
    <w:rsid w:val="008B314C"/>
    <w:rsid w:val="008B5C1E"/>
    <w:rsid w:val="008B65BD"/>
    <w:rsid w:val="009240AD"/>
    <w:rsid w:val="00960B08"/>
    <w:rsid w:val="009706C8"/>
    <w:rsid w:val="009960B5"/>
    <w:rsid w:val="00A141A3"/>
    <w:rsid w:val="00A16862"/>
    <w:rsid w:val="00A17817"/>
    <w:rsid w:val="00A45B44"/>
    <w:rsid w:val="00A61986"/>
    <w:rsid w:val="00A6775F"/>
    <w:rsid w:val="00AA18B3"/>
    <w:rsid w:val="00AC5142"/>
    <w:rsid w:val="00B0240A"/>
    <w:rsid w:val="00B22556"/>
    <w:rsid w:val="00B6300E"/>
    <w:rsid w:val="00B87A8B"/>
    <w:rsid w:val="00BE7BEF"/>
    <w:rsid w:val="00C139B7"/>
    <w:rsid w:val="00C23045"/>
    <w:rsid w:val="00C40E59"/>
    <w:rsid w:val="00CB23E7"/>
    <w:rsid w:val="00CF7246"/>
    <w:rsid w:val="00D10CCE"/>
    <w:rsid w:val="00D258CA"/>
    <w:rsid w:val="00E41DE3"/>
    <w:rsid w:val="00EE1BB1"/>
    <w:rsid w:val="00EE79CA"/>
    <w:rsid w:val="00F015A3"/>
    <w:rsid w:val="00F21DFF"/>
    <w:rsid w:val="00F514F1"/>
    <w:rsid w:val="00F94E08"/>
    <w:rsid w:val="00FC0A47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70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s4">
    <w:name w:val="ls4"/>
    <w:basedOn w:val="DefaultParagraphFont"/>
    <w:rsid w:val="00187F2A"/>
  </w:style>
  <w:style w:type="character" w:customStyle="1" w:styleId="ls3">
    <w:name w:val="ls3"/>
    <w:basedOn w:val="DefaultParagraphFont"/>
    <w:rsid w:val="00187F2A"/>
  </w:style>
  <w:style w:type="character" w:customStyle="1" w:styleId="list-title">
    <w:name w:val="list-title"/>
    <w:basedOn w:val="DefaultParagraphFont"/>
    <w:rsid w:val="009706C8"/>
  </w:style>
  <w:style w:type="character" w:customStyle="1" w:styleId="contributor">
    <w:name w:val="contributor"/>
    <w:basedOn w:val="DefaultParagraphFont"/>
    <w:rsid w:val="009706C8"/>
  </w:style>
  <w:style w:type="character" w:customStyle="1" w:styleId="Heading3Char">
    <w:name w:val="Heading 3 Char"/>
    <w:basedOn w:val="DefaultParagraphFont"/>
    <w:link w:val="Heading3"/>
    <w:uiPriority w:val="9"/>
    <w:rsid w:val="009706C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EndNoteBibliography">
    <w:name w:val="EndNote Bibliography"/>
    <w:basedOn w:val="Normal"/>
    <w:link w:val="EndNoteBibliographyChar"/>
    <w:rsid w:val="009960B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960B5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C23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5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142"/>
  </w:style>
  <w:style w:type="paragraph" w:styleId="Footer">
    <w:name w:val="footer"/>
    <w:basedOn w:val="Normal"/>
    <w:link w:val="FooterChar"/>
    <w:uiPriority w:val="99"/>
    <w:unhideWhenUsed/>
    <w:rsid w:val="00AC5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70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s4">
    <w:name w:val="ls4"/>
    <w:basedOn w:val="DefaultParagraphFont"/>
    <w:rsid w:val="00187F2A"/>
  </w:style>
  <w:style w:type="character" w:customStyle="1" w:styleId="ls3">
    <w:name w:val="ls3"/>
    <w:basedOn w:val="DefaultParagraphFont"/>
    <w:rsid w:val="00187F2A"/>
  </w:style>
  <w:style w:type="character" w:customStyle="1" w:styleId="list-title">
    <w:name w:val="list-title"/>
    <w:basedOn w:val="DefaultParagraphFont"/>
    <w:rsid w:val="009706C8"/>
  </w:style>
  <w:style w:type="character" w:customStyle="1" w:styleId="contributor">
    <w:name w:val="contributor"/>
    <w:basedOn w:val="DefaultParagraphFont"/>
    <w:rsid w:val="009706C8"/>
  </w:style>
  <w:style w:type="character" w:customStyle="1" w:styleId="Heading3Char">
    <w:name w:val="Heading 3 Char"/>
    <w:basedOn w:val="DefaultParagraphFont"/>
    <w:link w:val="Heading3"/>
    <w:uiPriority w:val="9"/>
    <w:rsid w:val="009706C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EndNoteBibliography">
    <w:name w:val="EndNote Bibliography"/>
    <w:basedOn w:val="Normal"/>
    <w:link w:val="EndNoteBibliographyChar"/>
    <w:rsid w:val="009960B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960B5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C23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5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142"/>
  </w:style>
  <w:style w:type="paragraph" w:styleId="Footer">
    <w:name w:val="footer"/>
    <w:basedOn w:val="Normal"/>
    <w:link w:val="FooterChar"/>
    <w:uiPriority w:val="99"/>
    <w:unhideWhenUsed/>
    <w:rsid w:val="00AC5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 Gomaa</dc:creator>
  <cp:lastModifiedBy>Haytham Gomaa</cp:lastModifiedBy>
  <cp:revision>7</cp:revision>
  <dcterms:created xsi:type="dcterms:W3CDTF">2023-02-11T03:00:00Z</dcterms:created>
  <dcterms:modified xsi:type="dcterms:W3CDTF">2023-02-11T10:14:00Z</dcterms:modified>
</cp:coreProperties>
</file>