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3A379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b/>
          <w:bCs/>
          <w:szCs w:val="24"/>
        </w:rPr>
      </w:pPr>
      <w:r w:rsidRPr="008F6930">
        <w:rPr>
          <w:rFonts w:cs="Times New Roman"/>
          <w:b/>
          <w:bCs/>
          <w:szCs w:val="24"/>
        </w:rPr>
        <w:t>Supplementary figure legends</w:t>
      </w:r>
    </w:p>
    <w:p w14:paraId="1C93199F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1 Subgroup analysis of clinical remission of delivery route.</w:t>
      </w:r>
    </w:p>
    <w:p w14:paraId="524AB93C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2 Subgroup analysis of clinical remission of donor type.</w:t>
      </w:r>
    </w:p>
    <w:p w14:paraId="17B10FC9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3 Subgroup analysis of clinical remission of evaluation time.</w:t>
      </w:r>
    </w:p>
    <w:p w14:paraId="7EB75574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4 Subgroup analysis of clinical remission of total dose of FMT.</w:t>
      </w:r>
    </w:p>
    <w:p w14:paraId="5A562F43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5 Subgroup analysis of clinical remission of control mode.</w:t>
      </w:r>
    </w:p>
    <w:p w14:paraId="375FFB60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6 Subgroup analysis of clinical remission of literature publication time.</w:t>
      </w:r>
    </w:p>
    <w:p w14:paraId="783B6A23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7 Subgroup analysis of endoscopic remission of delivery route.</w:t>
      </w:r>
    </w:p>
    <w:p w14:paraId="1A63BFDF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8 Subgroup analysis of endoscopic remission of donor type.</w:t>
      </w:r>
    </w:p>
    <w:p w14:paraId="7FC48AED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9 Subgroup analysis of endoscopic remission of evaluation time.</w:t>
      </w:r>
    </w:p>
    <w:p w14:paraId="321299CA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10 Subgroup analysis of endoscopic remission of total dose of FMT.</w:t>
      </w:r>
    </w:p>
    <w:p w14:paraId="0EA29F3F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11 Subgroup analysis of endoscopic remission of control mode.</w:t>
      </w:r>
    </w:p>
    <w:p w14:paraId="0FC3E498" w14:textId="77777777" w:rsidR="00BC2C9C" w:rsidRPr="008F6930" w:rsidRDefault="00BC2C9C" w:rsidP="00BC2C9C">
      <w:pPr>
        <w:adjustRightInd w:val="0"/>
        <w:snapToGrid w:val="0"/>
        <w:ind w:firstLineChars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Supplementary</w:t>
      </w:r>
      <w:r w:rsidRPr="008F6930">
        <w:rPr>
          <w:rFonts w:cs="Times New Roman"/>
          <w:szCs w:val="24"/>
        </w:rPr>
        <w:t xml:space="preserve"> Figure 12 Subgroup analysis of endoscopic remission of literature publication time.</w:t>
      </w:r>
    </w:p>
    <w:p w14:paraId="72DFCBB9" w14:textId="77777777" w:rsidR="00E1715D" w:rsidRDefault="00BC2C9C">
      <w:pPr>
        <w:ind w:firstLine="480"/>
      </w:pPr>
    </w:p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9C"/>
    <w:rsid w:val="001942F0"/>
    <w:rsid w:val="002C0857"/>
    <w:rsid w:val="003F01F8"/>
    <w:rsid w:val="00884728"/>
    <w:rsid w:val="008E2845"/>
    <w:rsid w:val="00BC2C9C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BE6AF"/>
  <w15:chartTrackingRefBased/>
  <w15:docId w15:val="{AD80A97F-6A2E-4C9E-B111-F6943FFD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C9C"/>
    <w:pPr>
      <w:widowControl w:val="0"/>
      <w:spacing w:after="0" w:line="360" w:lineRule="auto"/>
      <w:ind w:firstLineChars="200" w:firstLine="200"/>
      <w:jc w:val="both"/>
    </w:pPr>
    <w:rPr>
      <w:rFonts w:ascii="Times New Roman" w:eastAsia="SimSun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>Springer Nature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2023-06-09T17:20:00Z</dcterms:created>
  <dcterms:modified xsi:type="dcterms:W3CDTF">2023-06-09T17:21:00Z</dcterms:modified>
</cp:coreProperties>
</file>