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670E7" w14:textId="77777777" w:rsidR="0096784E" w:rsidRDefault="0096784E" w:rsidP="0096784E">
      <w:pPr>
        <w:spacing w:line="276" w:lineRule="auto"/>
        <w:rPr>
          <w:rFonts w:asciiTheme="minorBidi" w:eastAsia="Arial" w:hAnsiTheme="minorBidi"/>
        </w:rPr>
      </w:pPr>
      <w:r>
        <w:rPr>
          <w:rFonts w:asciiTheme="minorBidi" w:eastAsia="Arial" w:hAnsiTheme="minorBidi"/>
        </w:rPr>
        <w:t>Supplementary Table 1: Supplementary Table 1: Comparison of demographic and clinical characteristics between AMI patients with versus those without clinical complications.</w:t>
      </w:r>
    </w:p>
    <w:tbl>
      <w:tblPr>
        <w:tblStyle w:val="TableGrid"/>
        <w:tblW w:w="0" w:type="auto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2065"/>
        <w:gridCol w:w="2066"/>
        <w:gridCol w:w="1350"/>
      </w:tblGrid>
      <w:tr w:rsidR="0096784E" w14:paraId="12FF40C6" w14:textId="77777777" w:rsidTr="0096784E">
        <w:trPr>
          <w:trHeight w:val="85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A60822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  <w:b/>
                <w:bCs/>
              </w:rPr>
            </w:pPr>
          </w:p>
          <w:p w14:paraId="5A9305B9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F7055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AMI with complications </w:t>
            </w:r>
          </w:p>
          <w:p w14:paraId="63955CD2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(n=36)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6CC5D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AMI without complications </w:t>
            </w:r>
          </w:p>
          <w:p w14:paraId="29AAF117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(n=178)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C903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i/>
                <w:iCs/>
              </w:rPr>
              <w:t>p</w:t>
            </w:r>
            <w:r>
              <w:rPr>
                <w:rFonts w:asciiTheme="minorBidi" w:hAnsiTheme="minorBidi"/>
                <w:b/>
                <w:bCs/>
              </w:rPr>
              <w:t>-value</w:t>
            </w:r>
          </w:p>
        </w:tc>
      </w:tr>
      <w:tr w:rsidR="0096784E" w14:paraId="4E2FBCC4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64A6BF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Mean age ± SD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5DDDC7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64.6 ± 10.7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206D0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59.6 ± 11.0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4C80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0.012</w:t>
            </w:r>
          </w:p>
        </w:tc>
      </w:tr>
      <w:tr w:rsidR="0096784E" w14:paraId="23278869" w14:textId="77777777" w:rsidTr="0096784E">
        <w:trPr>
          <w:trHeight w:val="363"/>
        </w:trPr>
        <w:tc>
          <w:tcPr>
            <w:tcW w:w="8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8532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>Gender</w:t>
            </w:r>
            <w:r>
              <w:rPr>
                <w:rFonts w:asciiTheme="minorBidi" w:hAnsiTheme="minorBidi"/>
                <w:b/>
              </w:rPr>
              <w:t>, n (proportion)</w:t>
            </w:r>
          </w:p>
        </w:tc>
      </w:tr>
      <w:tr w:rsidR="0096784E" w14:paraId="231D5680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A8F54B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Male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70D38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31 (0.86)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23086B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155 (0.87)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BA14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0.792</w:t>
            </w:r>
          </w:p>
        </w:tc>
      </w:tr>
      <w:tr w:rsidR="0096784E" w14:paraId="1A81D425" w14:textId="77777777" w:rsidTr="0096784E">
        <w:trPr>
          <w:trHeight w:val="363"/>
        </w:trPr>
        <w:tc>
          <w:tcPr>
            <w:tcW w:w="8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400C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Comorbidities and Cardiovascular Risk Factors, n (proportion)</w:t>
            </w:r>
          </w:p>
        </w:tc>
      </w:tr>
      <w:tr w:rsidR="0096784E" w14:paraId="11830211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B4435F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Diabetes Mellitus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94243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18 (0.50)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011BB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63 (0.35)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1A68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0.131</w:t>
            </w:r>
          </w:p>
        </w:tc>
      </w:tr>
      <w:tr w:rsidR="0096784E" w14:paraId="5F40C3B1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F30A6F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Hypertension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E4305F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23 (0.64)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08380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97 (0.54)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C148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0.359</w:t>
            </w:r>
          </w:p>
        </w:tc>
      </w:tr>
      <w:tr w:rsidR="0096784E" w14:paraId="34BD4DB6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A043A7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Dyslipidaemia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503C26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18 (0.50)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207FE1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99 (0.56)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C12A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0.584</w:t>
            </w:r>
          </w:p>
        </w:tc>
      </w:tr>
      <w:tr w:rsidR="0096784E" w14:paraId="490504A6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5B16B5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Ex or current smoker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83048F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10 (0.28)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29D84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75 (0.42)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BA4C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0.136</w:t>
            </w:r>
          </w:p>
        </w:tc>
      </w:tr>
      <w:tr w:rsidR="0096784E" w14:paraId="0490DD91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9024B3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Mean BMI (kg/m</w:t>
            </w:r>
            <w:r>
              <w:rPr>
                <w:rFonts w:asciiTheme="minorBidi" w:hAnsiTheme="minorBidi"/>
                <w:vertAlign w:val="superscript"/>
              </w:rPr>
              <w:t>2</w:t>
            </w:r>
            <w:r>
              <w:rPr>
                <w:rFonts w:asciiTheme="minorBidi" w:hAnsiTheme="minorBidi"/>
              </w:rPr>
              <w:t xml:space="preserve">) </w:t>
            </w:r>
            <w:r>
              <w:rPr>
                <w:rFonts w:asciiTheme="minorBidi" w:hAnsiTheme="minorBidi"/>
                <w:bCs/>
              </w:rPr>
              <w:t>± SD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CE369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 xml:space="preserve">26.9 </w:t>
            </w:r>
            <w:r>
              <w:rPr>
                <w:rFonts w:asciiTheme="minorBidi" w:hAnsiTheme="minorBidi"/>
              </w:rPr>
              <w:t>± 4.8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CFAB3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25.0 ± 7.1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90C7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0.173</w:t>
            </w:r>
          </w:p>
        </w:tc>
      </w:tr>
      <w:tr w:rsidR="0096784E" w14:paraId="29A2D30A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90AACA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Prior ischemic heart disease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F4F12B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4 (0.11)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D501D2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29 (0.16)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B13B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0.613</w:t>
            </w:r>
          </w:p>
        </w:tc>
      </w:tr>
      <w:tr w:rsidR="0096784E" w14:paraId="0713F6CC" w14:textId="77777777" w:rsidTr="0096784E">
        <w:trPr>
          <w:trHeight w:val="363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86FFB8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Prior cerebrovascular disease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D34EC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2 (0.06)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B41DF8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10 (0.06)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A3F0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1.000</w:t>
            </w:r>
          </w:p>
        </w:tc>
      </w:tr>
      <w:tr w:rsidR="0096784E" w14:paraId="50AE6B01" w14:textId="77777777" w:rsidTr="0096784E">
        <w:trPr>
          <w:trHeight w:val="629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EFA3F6" w14:textId="77777777" w:rsidR="0096784E" w:rsidRDefault="0096784E">
            <w:pPr>
              <w:spacing w:before="40" w:after="40"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Prior peripheral artery disease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1E285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Cs/>
              </w:rPr>
              <w:t>2 (0.06)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BCD1A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</w:rPr>
              <w:t>5 (0.03)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2E8C" w14:textId="77777777" w:rsidR="0096784E" w:rsidRDefault="0096784E">
            <w:pPr>
              <w:spacing w:before="40" w:after="40" w:line="240" w:lineRule="auto"/>
              <w:jc w:val="center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Cs/>
              </w:rPr>
              <w:t>0.335</w:t>
            </w:r>
          </w:p>
        </w:tc>
      </w:tr>
    </w:tbl>
    <w:p w14:paraId="4E4BDD67" w14:textId="77777777" w:rsidR="0096784E" w:rsidRDefault="0096784E" w:rsidP="0096784E">
      <w:pPr>
        <w:rPr>
          <w:rFonts w:asciiTheme="minorBidi" w:eastAsia="Arial" w:hAnsiTheme="minorBidi"/>
          <w:u w:val="single"/>
        </w:rPr>
      </w:pPr>
      <w:r>
        <w:rPr>
          <w:rFonts w:asciiTheme="minorBidi" w:hAnsiTheme="minorBidi"/>
        </w:rPr>
        <w:t xml:space="preserve">AMI: acute myocardial infarction; BMI: body mass index; SD: standard deviation. </w:t>
      </w:r>
    </w:p>
    <w:p w14:paraId="4F79A2AA" w14:textId="77777777" w:rsidR="0096784E" w:rsidRDefault="0096784E" w:rsidP="0096784E">
      <w:pPr>
        <w:rPr>
          <w:rFonts w:asciiTheme="minorBidi" w:eastAsia="Arial" w:hAnsiTheme="minorBidi"/>
        </w:rPr>
      </w:pPr>
    </w:p>
    <w:p w14:paraId="08624354" w14:textId="77777777" w:rsidR="0096784E" w:rsidRDefault="0096784E" w:rsidP="0096784E">
      <w:pPr>
        <w:rPr>
          <w:rFonts w:asciiTheme="minorBidi" w:eastAsia="Arial" w:hAnsiTheme="minorBidi"/>
        </w:rPr>
      </w:pPr>
      <w:r>
        <w:rPr>
          <w:rFonts w:asciiTheme="minorBidi" w:eastAsia="Arial" w:hAnsiTheme="minorBidi"/>
        </w:rPr>
        <w:t>Supplementary Table 2: Comparison of CWA parameters between STEMI and non-STEMI patients.</w:t>
      </w:r>
    </w:p>
    <w:tbl>
      <w:tblPr>
        <w:tblStyle w:val="TableGrid"/>
        <w:tblW w:w="0" w:type="auto"/>
        <w:tblInd w:w="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2391"/>
        <w:gridCol w:w="2392"/>
        <w:gridCol w:w="1533"/>
        <w:gridCol w:w="1534"/>
      </w:tblGrid>
      <w:tr w:rsidR="0096784E" w14:paraId="4C7478FB" w14:textId="77777777" w:rsidTr="0096784E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BDB2C0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F434B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STEMI (n=183)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458264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Non-STEMI (n=31)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8109E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i/>
                <w:iCs/>
              </w:rPr>
              <w:t>p</w:t>
            </w:r>
            <w:r>
              <w:rPr>
                <w:rFonts w:asciiTheme="minorBidi" w:hAnsiTheme="minorBidi"/>
                <w:b/>
                <w:bCs/>
              </w:rPr>
              <w:t>-value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285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i/>
                <w:iCs/>
              </w:rPr>
              <w:t>p</w:t>
            </w:r>
            <w:r>
              <w:rPr>
                <w:rFonts w:asciiTheme="minorBidi" w:hAnsiTheme="minorBidi"/>
                <w:b/>
                <w:bCs/>
              </w:rPr>
              <w:t>-value</w:t>
            </w:r>
            <w:r>
              <w:rPr>
                <w:rFonts w:asciiTheme="minorBidi" w:hAnsiTheme="minorBidi"/>
                <w:b/>
                <w:bCs/>
                <w:vertAlign w:val="superscript"/>
              </w:rPr>
              <w:t>#</w:t>
            </w:r>
          </w:p>
        </w:tc>
      </w:tr>
      <w:tr w:rsidR="0096784E" w14:paraId="1D819A42" w14:textId="77777777" w:rsidTr="0096784E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5205A8" w14:textId="77777777" w:rsidR="0096784E" w:rsidRDefault="0096784E">
            <w:pPr>
              <w:spacing w:line="240" w:lineRule="auto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aPTT</w:t>
            </w:r>
            <w:proofErr w:type="spellEnd"/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AFDB05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26.5 ± 3.3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21240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28.0 ± 2.8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330D5F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0.013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D379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0.014</w:t>
            </w:r>
          </w:p>
        </w:tc>
      </w:tr>
      <w:tr w:rsidR="0096784E" w14:paraId="3682FC6E" w14:textId="77777777" w:rsidTr="0096784E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078C87" w14:textId="77777777" w:rsidR="0096784E" w:rsidRDefault="0096784E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Min1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6D383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6.06 ± 1.36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0D1277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6.40 ± 1.63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8A632E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0.218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B09C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0.095</w:t>
            </w:r>
          </w:p>
        </w:tc>
      </w:tr>
      <w:tr w:rsidR="0096784E" w14:paraId="5C62000C" w14:textId="77777777" w:rsidTr="0096784E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1AE4CC" w14:textId="77777777" w:rsidR="0096784E" w:rsidRDefault="0096784E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Min2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C841F8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0.98 ± 0.23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7BB76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1.01 ± 0.28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F54B7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0.459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C8D2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0.258</w:t>
            </w:r>
          </w:p>
        </w:tc>
      </w:tr>
      <w:tr w:rsidR="0096784E" w14:paraId="7571FBB5" w14:textId="77777777" w:rsidTr="0096784E">
        <w:trPr>
          <w:trHeight w:val="36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A8AB72" w14:textId="77777777" w:rsidR="0096784E" w:rsidRDefault="0096784E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Max2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5FB25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0.81 ± 0.19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0A643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0.82 ± 0.26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740DD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0.635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470A" w14:textId="77777777" w:rsidR="0096784E" w:rsidRDefault="0096784E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0.422</w:t>
            </w:r>
          </w:p>
        </w:tc>
      </w:tr>
    </w:tbl>
    <w:p w14:paraId="30D24DFC" w14:textId="77777777" w:rsidR="0096784E" w:rsidRDefault="0096784E" w:rsidP="0096784E">
      <w:pPr>
        <w:spacing w:after="0"/>
        <w:rPr>
          <w:rFonts w:asciiTheme="minorBidi" w:eastAsia="Arial" w:hAnsiTheme="minorBidi"/>
        </w:rPr>
      </w:pPr>
      <w:r>
        <w:rPr>
          <w:rFonts w:asciiTheme="minorBidi" w:hAnsiTheme="minorBidi"/>
        </w:rPr>
        <w:t>CWA: Clot waveform analysis</w:t>
      </w:r>
      <w:r>
        <w:rPr>
          <w:rFonts w:asciiTheme="minorBidi" w:eastAsia="Arial" w:hAnsiTheme="minorBidi"/>
        </w:rPr>
        <w:t xml:space="preserve">. STEMI: ST-elevation myocardial infarction. </w:t>
      </w:r>
      <w:r>
        <w:rPr>
          <w:rFonts w:asciiTheme="minorBidi" w:eastAsia="Arial" w:hAnsiTheme="minorBidi"/>
          <w:vertAlign w:val="superscript"/>
        </w:rPr>
        <w:t>#</w:t>
      </w:r>
      <w:r>
        <w:rPr>
          <w:rFonts w:asciiTheme="minorBidi" w:eastAsia="Arial" w:hAnsiTheme="minorBidi"/>
        </w:rPr>
        <w:t>adjusted for age and gender</w:t>
      </w:r>
    </w:p>
    <w:p w14:paraId="10EDF18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4E"/>
    <w:rsid w:val="0096784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02722"/>
  <w15:chartTrackingRefBased/>
  <w15:docId w15:val="{0AF58B8B-3D23-4C69-9AB4-FE9BC950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84E"/>
    <w:pPr>
      <w:spacing w:line="256" w:lineRule="auto"/>
    </w:pPr>
    <w:rPr>
      <w:rFonts w:eastAsia="Batang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84E"/>
    <w:pPr>
      <w:spacing w:after="0" w:line="240" w:lineRule="auto"/>
    </w:pPr>
    <w:rPr>
      <w:rFonts w:eastAsiaTheme="minorEastAsia"/>
      <w:lang w:val="en-SG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2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>Springer Nature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2023-04-20T09:30:00Z</dcterms:created>
  <dcterms:modified xsi:type="dcterms:W3CDTF">2023-04-20T09:30:00Z</dcterms:modified>
</cp:coreProperties>
</file>