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13368" w14:textId="77777777" w:rsidR="0079517B" w:rsidRDefault="0079517B" w:rsidP="0079517B">
      <w:pPr>
        <w:spacing w:line="480" w:lineRule="auto"/>
        <w:jc w:val="both"/>
        <w:rPr>
          <w:rFonts w:ascii="Arial" w:hAnsi="Arial" w:cs="Arial"/>
          <w:b/>
          <w:bCs/>
          <w:lang w:eastAsia="zh-CN"/>
        </w:rPr>
      </w:pPr>
      <w:r w:rsidRPr="004C4B1A">
        <w:rPr>
          <w:rFonts w:ascii="Arial" w:hAnsi="Arial" w:cs="Arial"/>
          <w:b/>
          <w:bCs/>
        </w:rPr>
        <w:t>Supplemental Fig</w:t>
      </w:r>
      <w:r>
        <w:rPr>
          <w:rFonts w:ascii="Arial" w:hAnsi="Arial" w:cs="Arial"/>
          <w:b/>
          <w:bCs/>
        </w:rPr>
        <w:t>ure</w:t>
      </w:r>
      <w:r w:rsidRPr="004C4B1A">
        <w:rPr>
          <w:rFonts w:ascii="Arial" w:hAnsi="Arial" w:cs="Arial"/>
          <w:b/>
          <w:bCs/>
        </w:rPr>
        <w:t xml:space="preserve"> </w:t>
      </w:r>
      <w:r w:rsidRPr="004C4B1A">
        <w:rPr>
          <w:rFonts w:ascii="Arial" w:hAnsi="Arial" w:cs="Arial"/>
          <w:b/>
          <w:bCs/>
          <w:lang w:eastAsia="zh-CN"/>
        </w:rPr>
        <w:t>1</w:t>
      </w:r>
    </w:p>
    <w:p w14:paraId="147DD0C9" w14:textId="77777777" w:rsidR="0079517B" w:rsidRDefault="0079517B" w:rsidP="0079517B">
      <w:pPr>
        <w:spacing w:line="480" w:lineRule="auto"/>
        <w:jc w:val="both"/>
        <w:rPr>
          <w:noProof/>
        </w:rPr>
      </w:pPr>
      <w:r w:rsidRPr="00FF2262">
        <w:rPr>
          <w:noProof/>
        </w:rPr>
        <w:t xml:space="preserve"> </w:t>
      </w:r>
    </w:p>
    <w:p w14:paraId="39BF64BF" w14:textId="77777777" w:rsidR="0079517B" w:rsidRDefault="0079517B" w:rsidP="0079517B">
      <w:pPr>
        <w:spacing w:line="480" w:lineRule="auto"/>
        <w:jc w:val="both"/>
        <w:rPr>
          <w:noProof/>
        </w:rPr>
      </w:pPr>
      <w:r>
        <w:rPr>
          <w:noProof/>
        </w:rPr>
        <w:drawing>
          <wp:inline distT="0" distB="0" distL="0" distR="0" wp14:anchorId="76FB349A" wp14:editId="1E1DE44B">
            <wp:extent cx="5943600" cy="120523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1205230"/>
                    </a:xfrm>
                    <a:prstGeom prst="rect">
                      <a:avLst/>
                    </a:prstGeom>
                    <a:noFill/>
                    <a:ln>
                      <a:noFill/>
                    </a:ln>
                  </pic:spPr>
                </pic:pic>
              </a:graphicData>
            </a:graphic>
          </wp:inline>
        </w:drawing>
      </w:r>
    </w:p>
    <w:p w14:paraId="7E88C6EE" w14:textId="77777777" w:rsidR="0079517B" w:rsidRDefault="0079517B" w:rsidP="0079517B">
      <w:pPr>
        <w:spacing w:line="480" w:lineRule="auto"/>
        <w:jc w:val="both"/>
        <w:rPr>
          <w:rFonts w:ascii="Arial" w:hAnsi="Arial" w:cs="Arial"/>
          <w:b/>
          <w:bCs/>
          <w:lang w:eastAsia="zh-CN"/>
        </w:rPr>
      </w:pPr>
      <w:r w:rsidRPr="00FE7E18">
        <w:rPr>
          <w:noProof/>
        </w:rPr>
        <w:drawing>
          <wp:inline distT="0" distB="0" distL="0" distR="0" wp14:anchorId="7BCBDDE5" wp14:editId="570C936D">
            <wp:extent cx="5943600" cy="302895"/>
            <wp:effectExtent l="0" t="0" r="0" b="1905"/>
            <wp:docPr id="20" name="Picture 8">
              <a:extLst xmlns:a="http://schemas.openxmlformats.org/drawingml/2006/main">
                <a:ext uri="{FF2B5EF4-FFF2-40B4-BE49-F238E27FC236}">
                  <a16:creationId xmlns:a16="http://schemas.microsoft.com/office/drawing/2014/main" id="{4086F567-AC3B-DC49-11FB-1BC8A4666DE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4086F567-AC3B-DC49-11FB-1BC8A4666DEA}"/>
                        </a:ext>
                      </a:extLst>
                    </pic:cNvPr>
                    <pic:cNvPicPr>
                      <a:picLocks noChangeAspect="1"/>
                    </pic:cNvPicPr>
                  </pic:nvPicPr>
                  <pic:blipFill rotWithShape="1">
                    <a:blip r:embed="rId5"/>
                    <a:srcRect l="9016" t="19815" r="10674" b="72910"/>
                    <a:stretch/>
                  </pic:blipFill>
                  <pic:spPr>
                    <a:xfrm>
                      <a:off x="0" y="0"/>
                      <a:ext cx="5943600" cy="302895"/>
                    </a:xfrm>
                    <a:prstGeom prst="rect">
                      <a:avLst/>
                    </a:prstGeom>
                  </pic:spPr>
                </pic:pic>
              </a:graphicData>
            </a:graphic>
          </wp:inline>
        </w:drawing>
      </w:r>
    </w:p>
    <w:p w14:paraId="6044869B" w14:textId="22101467" w:rsidR="0079517B" w:rsidRDefault="0079517B" w:rsidP="0079517B">
      <w:pPr>
        <w:spacing w:line="480" w:lineRule="auto"/>
        <w:jc w:val="both"/>
        <w:rPr>
          <w:rFonts w:ascii="Arial" w:hAnsi="Arial" w:cs="Arial"/>
        </w:rPr>
      </w:pPr>
      <w:r>
        <w:rPr>
          <w:rFonts w:ascii="Arial" w:hAnsi="Arial" w:cs="Arial"/>
          <w:b/>
          <w:bCs/>
        </w:rPr>
        <w:t xml:space="preserve">Supplemental </w:t>
      </w:r>
      <w:r w:rsidRPr="00ED5F71">
        <w:rPr>
          <w:rFonts w:ascii="Arial" w:hAnsi="Arial" w:cs="Arial"/>
          <w:b/>
          <w:bCs/>
        </w:rPr>
        <w:t xml:space="preserve">Figure 1: </w:t>
      </w:r>
      <w:r w:rsidRPr="00ED5F71">
        <w:rPr>
          <w:rFonts w:ascii="Arial" w:hAnsi="Arial" w:cs="Arial"/>
          <w:b/>
          <w:bCs/>
          <w:i/>
          <w:iCs/>
        </w:rPr>
        <w:t>In Silico</w:t>
      </w:r>
      <w:r w:rsidRPr="00ED5F71">
        <w:rPr>
          <w:rFonts w:ascii="Arial" w:hAnsi="Arial" w:cs="Arial"/>
          <w:b/>
          <w:bCs/>
        </w:rPr>
        <w:t xml:space="preserve"> analysis of newt A1EV cargo identifies genes involved in neural growth and development. </w:t>
      </w:r>
      <w:r w:rsidRPr="00ED5F71">
        <w:rPr>
          <w:rFonts w:ascii="Arial" w:hAnsi="Arial" w:cs="Arial"/>
        </w:rPr>
        <w:t>The biological processes of Gene ontology analysis of all abundance-ranked mRNAs identified within A1-EVs are shown.</w:t>
      </w:r>
      <w:r>
        <w:rPr>
          <w:rFonts w:ascii="Arial" w:hAnsi="Arial" w:cs="Arial"/>
        </w:rPr>
        <w:t xml:space="preserve">  The red box indicates the subsection of the GOA map shown in Figure 1c.</w:t>
      </w:r>
    </w:p>
    <w:p w14:paraId="5DEB8251" w14:textId="2EF34188" w:rsidR="0079517B" w:rsidRDefault="0079517B" w:rsidP="0079517B">
      <w:pPr>
        <w:spacing w:line="480" w:lineRule="auto"/>
        <w:jc w:val="both"/>
        <w:rPr>
          <w:rFonts w:ascii="Arial" w:hAnsi="Arial" w:cs="Arial"/>
        </w:rPr>
      </w:pPr>
    </w:p>
    <w:p w14:paraId="4525CBA8" w14:textId="77777777" w:rsidR="0079517B" w:rsidRPr="00C46F8B" w:rsidRDefault="0079517B" w:rsidP="0079517B">
      <w:pPr>
        <w:spacing w:line="480" w:lineRule="auto"/>
        <w:jc w:val="both"/>
        <w:rPr>
          <w:rFonts w:ascii="Arial" w:hAnsi="Arial" w:cs="Arial"/>
          <w:lang w:eastAsia="zh-CN"/>
        </w:rPr>
      </w:pPr>
    </w:p>
    <w:p w14:paraId="3FECC2BF" w14:textId="77777777" w:rsidR="0079517B" w:rsidRDefault="0079517B" w:rsidP="0079517B">
      <w:pPr>
        <w:spacing w:line="480" w:lineRule="auto"/>
        <w:jc w:val="both"/>
        <w:rPr>
          <w:rFonts w:ascii="Arial" w:hAnsi="Arial" w:cs="Arial"/>
          <w:b/>
          <w:bCs/>
          <w:lang w:eastAsia="zh-CN"/>
        </w:rPr>
      </w:pPr>
      <w:r>
        <w:rPr>
          <w:rFonts w:ascii="Arial" w:hAnsi="Arial" w:cs="Arial"/>
          <w:b/>
          <w:bCs/>
          <w:lang w:eastAsia="zh-CN"/>
        </w:rPr>
        <w:t>Supplemental Table 1</w:t>
      </w:r>
    </w:p>
    <w:p w14:paraId="78F7FC70" w14:textId="77777777" w:rsidR="0079517B" w:rsidRPr="00DB5A22" w:rsidRDefault="0079517B" w:rsidP="0079517B">
      <w:pPr>
        <w:spacing w:line="480" w:lineRule="auto"/>
        <w:jc w:val="both"/>
        <w:rPr>
          <w:rFonts w:ascii="Arial" w:hAnsi="Arial" w:cs="Arial"/>
          <w:lang w:eastAsia="zh-CN"/>
        </w:rPr>
      </w:pPr>
      <w:r>
        <w:rPr>
          <w:rFonts w:ascii="Arial" w:hAnsi="Arial" w:cs="Arial"/>
          <w:lang w:eastAsia="zh-CN"/>
        </w:rPr>
        <w:t xml:space="preserve">Gene Ontology Analysis Table containing the enrichment p-values, total number of genes in the analysis, and the number of genes associated with each specific GO term as grouped by </w:t>
      </w:r>
      <w:r w:rsidRPr="00AD2E65">
        <w:rPr>
          <w:rFonts w:ascii="Arial" w:hAnsi="Arial" w:cs="Arial"/>
          <w:lang w:eastAsia="zh-CN"/>
        </w:rPr>
        <w:t>Biological Processes</w:t>
      </w:r>
      <w:r w:rsidRPr="00FD093F">
        <w:rPr>
          <w:rFonts w:ascii="Arial" w:hAnsi="Arial" w:cs="Arial"/>
          <w:lang w:eastAsia="zh-CN"/>
        </w:rPr>
        <w:t>.</w:t>
      </w:r>
    </w:p>
    <w:p w14:paraId="5C9C59D5" w14:textId="77777777" w:rsidR="0079517B" w:rsidRDefault="0079517B" w:rsidP="0079517B">
      <w:pPr>
        <w:spacing w:line="480" w:lineRule="auto"/>
        <w:jc w:val="both"/>
        <w:rPr>
          <w:rFonts w:ascii="Arial" w:hAnsi="Arial" w:cs="Arial"/>
          <w:b/>
          <w:bCs/>
          <w:lang w:eastAsia="zh-CN"/>
        </w:rPr>
      </w:pPr>
    </w:p>
    <w:p w14:paraId="752F3809" w14:textId="77777777" w:rsidR="0079517B" w:rsidRDefault="0079517B" w:rsidP="0079517B">
      <w:pPr>
        <w:spacing w:line="480" w:lineRule="auto"/>
        <w:jc w:val="both"/>
        <w:rPr>
          <w:rFonts w:ascii="Arial" w:hAnsi="Arial" w:cs="Arial"/>
          <w:b/>
          <w:bCs/>
          <w:lang w:eastAsia="zh-CN"/>
        </w:rPr>
      </w:pPr>
    </w:p>
    <w:p w14:paraId="2F85B48C" w14:textId="77777777" w:rsidR="0079517B" w:rsidRDefault="0079517B" w:rsidP="0079517B">
      <w:pPr>
        <w:spacing w:line="480" w:lineRule="auto"/>
        <w:jc w:val="both"/>
        <w:rPr>
          <w:rFonts w:ascii="Arial" w:hAnsi="Arial" w:cs="Arial"/>
          <w:b/>
          <w:bCs/>
          <w:lang w:eastAsia="zh-CN"/>
        </w:rPr>
      </w:pPr>
    </w:p>
    <w:p w14:paraId="7C14D52F" w14:textId="77777777" w:rsidR="0079517B" w:rsidRDefault="0079517B" w:rsidP="0079517B">
      <w:pPr>
        <w:spacing w:line="480" w:lineRule="auto"/>
        <w:jc w:val="both"/>
        <w:rPr>
          <w:rFonts w:ascii="Arial" w:hAnsi="Arial" w:cs="Arial"/>
          <w:b/>
          <w:bCs/>
          <w:lang w:eastAsia="zh-CN"/>
        </w:rPr>
      </w:pPr>
    </w:p>
    <w:p w14:paraId="46437365" w14:textId="77777777" w:rsidR="0079517B" w:rsidRDefault="0079517B" w:rsidP="0079517B">
      <w:pPr>
        <w:spacing w:line="480" w:lineRule="auto"/>
        <w:jc w:val="both"/>
        <w:rPr>
          <w:rFonts w:ascii="Arial" w:hAnsi="Arial" w:cs="Arial"/>
          <w:b/>
          <w:bCs/>
          <w:lang w:eastAsia="zh-CN"/>
        </w:rPr>
      </w:pPr>
      <w:r>
        <w:rPr>
          <w:rFonts w:ascii="Arial" w:hAnsi="Arial" w:cs="Arial"/>
          <w:b/>
          <w:bCs/>
          <w:lang w:eastAsia="zh-CN"/>
        </w:rPr>
        <w:lastRenderedPageBreak/>
        <w:t>Supplemental Figure 2</w:t>
      </w:r>
    </w:p>
    <w:p w14:paraId="24AEC555" w14:textId="77777777" w:rsidR="0079517B" w:rsidRDefault="0079517B" w:rsidP="0079517B">
      <w:pPr>
        <w:spacing w:line="480" w:lineRule="auto"/>
        <w:jc w:val="both"/>
        <w:rPr>
          <w:rFonts w:ascii="Arial" w:hAnsi="Arial" w:cs="Arial"/>
          <w:b/>
          <w:bCs/>
          <w:lang w:eastAsia="zh-CN"/>
        </w:rPr>
      </w:pPr>
      <w:r>
        <w:rPr>
          <w:noProof/>
        </w:rPr>
        <w:drawing>
          <wp:inline distT="0" distB="0" distL="0" distR="0" wp14:anchorId="1880928B" wp14:editId="17829F16">
            <wp:extent cx="5943600" cy="2528570"/>
            <wp:effectExtent l="0" t="0" r="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528570"/>
                    </a:xfrm>
                    <a:prstGeom prst="rect">
                      <a:avLst/>
                    </a:prstGeom>
                    <a:noFill/>
                    <a:ln>
                      <a:noFill/>
                    </a:ln>
                  </pic:spPr>
                </pic:pic>
              </a:graphicData>
            </a:graphic>
          </wp:inline>
        </w:drawing>
      </w:r>
    </w:p>
    <w:p w14:paraId="5FD506F9" w14:textId="77777777" w:rsidR="0079517B" w:rsidRDefault="0079517B" w:rsidP="0079517B">
      <w:pPr>
        <w:spacing w:line="480" w:lineRule="auto"/>
        <w:jc w:val="both"/>
        <w:rPr>
          <w:rFonts w:ascii="Arial" w:hAnsi="Arial" w:cs="Arial"/>
          <w:b/>
          <w:bCs/>
          <w:lang w:eastAsia="zh-CN"/>
        </w:rPr>
      </w:pPr>
      <w:r w:rsidRPr="00FE7E18">
        <w:rPr>
          <w:noProof/>
        </w:rPr>
        <w:drawing>
          <wp:inline distT="0" distB="0" distL="0" distR="0" wp14:anchorId="091DD880" wp14:editId="5907613E">
            <wp:extent cx="5943600" cy="302895"/>
            <wp:effectExtent l="0" t="0" r="0" b="1905"/>
            <wp:docPr id="22" name="Picture 8">
              <a:extLst xmlns:a="http://schemas.openxmlformats.org/drawingml/2006/main">
                <a:ext uri="{FF2B5EF4-FFF2-40B4-BE49-F238E27FC236}">
                  <a16:creationId xmlns:a16="http://schemas.microsoft.com/office/drawing/2014/main" id="{4086F567-AC3B-DC49-11FB-1BC8A4666DE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4086F567-AC3B-DC49-11FB-1BC8A4666DEA}"/>
                        </a:ext>
                      </a:extLst>
                    </pic:cNvPr>
                    <pic:cNvPicPr>
                      <a:picLocks noChangeAspect="1"/>
                    </pic:cNvPicPr>
                  </pic:nvPicPr>
                  <pic:blipFill rotWithShape="1">
                    <a:blip r:embed="rId5"/>
                    <a:srcRect l="9016" t="19815" r="10674" b="72910"/>
                    <a:stretch/>
                  </pic:blipFill>
                  <pic:spPr>
                    <a:xfrm>
                      <a:off x="0" y="0"/>
                      <a:ext cx="5943600" cy="302895"/>
                    </a:xfrm>
                    <a:prstGeom prst="rect">
                      <a:avLst/>
                    </a:prstGeom>
                  </pic:spPr>
                </pic:pic>
              </a:graphicData>
            </a:graphic>
          </wp:inline>
        </w:drawing>
      </w:r>
    </w:p>
    <w:p w14:paraId="0A796809" w14:textId="77777777" w:rsidR="0079517B" w:rsidRPr="00C46F8B" w:rsidRDefault="0079517B" w:rsidP="0079517B">
      <w:pPr>
        <w:spacing w:line="480" w:lineRule="auto"/>
        <w:jc w:val="both"/>
        <w:rPr>
          <w:rFonts w:ascii="Arial" w:hAnsi="Arial" w:cs="Arial"/>
          <w:lang w:eastAsia="zh-CN"/>
        </w:rPr>
      </w:pPr>
      <w:r>
        <w:rPr>
          <w:rFonts w:ascii="Arial" w:hAnsi="Arial" w:cs="Arial"/>
          <w:b/>
          <w:bCs/>
        </w:rPr>
        <w:t xml:space="preserve">Supplemental Figure 2: </w:t>
      </w:r>
      <w:r w:rsidRPr="004C4B1A">
        <w:rPr>
          <w:rFonts w:ascii="Arial" w:hAnsi="Arial" w:cs="Arial"/>
          <w:b/>
          <w:bCs/>
          <w:i/>
          <w:iCs/>
        </w:rPr>
        <w:t>In Silico</w:t>
      </w:r>
      <w:r w:rsidRPr="004C4B1A">
        <w:rPr>
          <w:rFonts w:ascii="Arial" w:hAnsi="Arial" w:cs="Arial"/>
          <w:b/>
          <w:bCs/>
        </w:rPr>
        <w:t xml:space="preserve"> analysis of newt A1EV cargo identifies genes involved in neural growth and development.</w:t>
      </w:r>
      <w:r>
        <w:rPr>
          <w:rFonts w:ascii="Arial" w:hAnsi="Arial" w:cs="Arial"/>
          <w:b/>
          <w:bCs/>
        </w:rPr>
        <w:t xml:space="preserve"> </w:t>
      </w:r>
      <w:r>
        <w:rPr>
          <w:rFonts w:ascii="Arial" w:hAnsi="Arial" w:cs="Arial"/>
        </w:rPr>
        <w:t>Cellular components identified</w:t>
      </w:r>
      <w:r w:rsidRPr="00ED5F71">
        <w:rPr>
          <w:rFonts w:ascii="Arial" w:hAnsi="Arial" w:cs="Arial"/>
        </w:rPr>
        <w:t xml:space="preserve"> </w:t>
      </w:r>
      <w:r>
        <w:rPr>
          <w:rFonts w:ascii="Arial" w:hAnsi="Arial" w:cs="Arial"/>
        </w:rPr>
        <w:t>by</w:t>
      </w:r>
      <w:r w:rsidRPr="00ED5F71">
        <w:rPr>
          <w:rFonts w:ascii="Arial" w:hAnsi="Arial" w:cs="Arial"/>
        </w:rPr>
        <w:t xml:space="preserve"> Gene ontology analysis of all abundance-ranked mRNAs identified within A1-EVs are shown.</w:t>
      </w:r>
      <w:r>
        <w:rPr>
          <w:rFonts w:ascii="Arial" w:hAnsi="Arial" w:cs="Arial"/>
        </w:rPr>
        <w:t xml:space="preserve"> </w:t>
      </w:r>
    </w:p>
    <w:p w14:paraId="6E98D21F" w14:textId="5602D049" w:rsidR="0079517B" w:rsidRDefault="0079517B" w:rsidP="0079517B">
      <w:pPr>
        <w:spacing w:line="480" w:lineRule="auto"/>
        <w:jc w:val="both"/>
        <w:rPr>
          <w:rFonts w:ascii="Arial" w:hAnsi="Arial" w:cs="Arial"/>
          <w:b/>
          <w:bCs/>
          <w:lang w:eastAsia="zh-CN"/>
        </w:rPr>
      </w:pPr>
    </w:p>
    <w:p w14:paraId="44FD5BB5" w14:textId="77777777" w:rsidR="0079517B" w:rsidRDefault="0079517B" w:rsidP="0079517B">
      <w:pPr>
        <w:spacing w:line="480" w:lineRule="auto"/>
        <w:jc w:val="both"/>
        <w:rPr>
          <w:rFonts w:ascii="Arial" w:hAnsi="Arial" w:cs="Arial"/>
          <w:b/>
          <w:bCs/>
          <w:lang w:eastAsia="zh-CN"/>
        </w:rPr>
      </w:pPr>
    </w:p>
    <w:p w14:paraId="77C1D995" w14:textId="77777777" w:rsidR="0079517B" w:rsidRDefault="0079517B" w:rsidP="0079517B">
      <w:pPr>
        <w:spacing w:line="480" w:lineRule="auto"/>
        <w:jc w:val="both"/>
        <w:rPr>
          <w:rFonts w:ascii="Arial" w:hAnsi="Arial" w:cs="Arial"/>
          <w:b/>
          <w:bCs/>
          <w:lang w:eastAsia="zh-CN"/>
        </w:rPr>
      </w:pPr>
      <w:r>
        <w:rPr>
          <w:rFonts w:ascii="Arial" w:hAnsi="Arial" w:cs="Arial"/>
          <w:b/>
          <w:bCs/>
          <w:lang w:eastAsia="zh-CN"/>
        </w:rPr>
        <w:t>Supplemental Table 2</w:t>
      </w:r>
    </w:p>
    <w:p w14:paraId="62C51FBD" w14:textId="77777777" w:rsidR="0079517B" w:rsidRPr="00DB5A22" w:rsidRDefault="0079517B" w:rsidP="0079517B">
      <w:pPr>
        <w:spacing w:line="480" w:lineRule="auto"/>
        <w:jc w:val="both"/>
        <w:rPr>
          <w:rFonts w:ascii="Arial" w:hAnsi="Arial" w:cs="Arial"/>
          <w:lang w:eastAsia="zh-CN"/>
        </w:rPr>
      </w:pPr>
      <w:r>
        <w:rPr>
          <w:rFonts w:ascii="Arial" w:hAnsi="Arial" w:cs="Arial"/>
          <w:lang w:eastAsia="zh-CN"/>
        </w:rPr>
        <w:t xml:space="preserve">Gene Ontology Analysis Table containing the enrichment p-values, total number of genes in the analysis, and the number of genes associated with each specific GO term as grouped by </w:t>
      </w:r>
      <w:r w:rsidRPr="00AD2E65">
        <w:rPr>
          <w:rFonts w:ascii="Arial" w:hAnsi="Arial" w:cs="Arial"/>
          <w:lang w:eastAsia="zh-CN"/>
        </w:rPr>
        <w:t>Cellular Components</w:t>
      </w:r>
      <w:r>
        <w:rPr>
          <w:rFonts w:ascii="Arial" w:hAnsi="Arial" w:cs="Arial"/>
          <w:lang w:eastAsia="zh-CN"/>
        </w:rPr>
        <w:t>.</w:t>
      </w:r>
    </w:p>
    <w:p w14:paraId="3F5F842E" w14:textId="77777777" w:rsidR="0079517B" w:rsidRDefault="0079517B" w:rsidP="0079517B">
      <w:pPr>
        <w:spacing w:line="480" w:lineRule="auto"/>
        <w:jc w:val="both"/>
        <w:rPr>
          <w:rFonts w:ascii="Arial" w:hAnsi="Arial" w:cs="Arial"/>
          <w:b/>
          <w:bCs/>
          <w:lang w:eastAsia="zh-CN"/>
        </w:rPr>
      </w:pPr>
    </w:p>
    <w:p w14:paraId="4E5EAF7A" w14:textId="77777777" w:rsidR="0079517B" w:rsidRDefault="0079517B" w:rsidP="0079517B">
      <w:pPr>
        <w:spacing w:line="480" w:lineRule="auto"/>
        <w:jc w:val="both"/>
        <w:rPr>
          <w:rFonts w:ascii="Arial" w:hAnsi="Arial" w:cs="Arial"/>
          <w:b/>
          <w:bCs/>
          <w:lang w:eastAsia="zh-CN"/>
        </w:rPr>
      </w:pPr>
    </w:p>
    <w:p w14:paraId="040DDD25" w14:textId="77777777" w:rsidR="0079517B" w:rsidRDefault="0079517B" w:rsidP="0079517B">
      <w:pPr>
        <w:spacing w:line="480" w:lineRule="auto"/>
        <w:jc w:val="both"/>
        <w:rPr>
          <w:rFonts w:ascii="Arial" w:hAnsi="Arial" w:cs="Arial"/>
          <w:b/>
          <w:bCs/>
          <w:lang w:eastAsia="zh-CN"/>
        </w:rPr>
      </w:pPr>
    </w:p>
    <w:p w14:paraId="1883080B" w14:textId="46B40AC4" w:rsidR="0079517B" w:rsidRPr="004C4B1A" w:rsidRDefault="0079517B" w:rsidP="0079517B">
      <w:pPr>
        <w:spacing w:line="480" w:lineRule="auto"/>
        <w:jc w:val="both"/>
        <w:rPr>
          <w:rFonts w:ascii="Arial" w:hAnsi="Arial" w:cs="Arial"/>
          <w:b/>
          <w:bCs/>
        </w:rPr>
      </w:pPr>
      <w:r>
        <w:rPr>
          <w:rFonts w:ascii="Arial" w:hAnsi="Arial" w:cs="Arial"/>
          <w:b/>
          <w:bCs/>
          <w:lang w:eastAsia="zh-CN"/>
        </w:rPr>
        <w:lastRenderedPageBreak/>
        <w:t>Supplemental Figure 3</w:t>
      </w:r>
    </w:p>
    <w:p w14:paraId="75D850AE" w14:textId="77777777" w:rsidR="0079517B" w:rsidRDefault="0079517B" w:rsidP="0079517B">
      <w:pPr>
        <w:spacing w:line="240" w:lineRule="auto"/>
        <w:jc w:val="both"/>
        <w:rPr>
          <w:rFonts w:ascii="Arial" w:hAnsi="Arial" w:cs="Arial"/>
          <w:b/>
          <w:bCs/>
        </w:rPr>
      </w:pPr>
      <w:r>
        <w:rPr>
          <w:noProof/>
        </w:rPr>
        <w:drawing>
          <wp:inline distT="0" distB="0" distL="0" distR="0" wp14:anchorId="0B2A70F3" wp14:editId="763BE38E">
            <wp:extent cx="5931179" cy="3302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8765" cy="3306223"/>
                    </a:xfrm>
                    <a:prstGeom prst="rect">
                      <a:avLst/>
                    </a:prstGeom>
                    <a:noFill/>
                    <a:ln>
                      <a:noFill/>
                    </a:ln>
                  </pic:spPr>
                </pic:pic>
              </a:graphicData>
            </a:graphic>
          </wp:inline>
        </w:drawing>
      </w:r>
    </w:p>
    <w:p w14:paraId="069C1661" w14:textId="77777777" w:rsidR="0079517B" w:rsidRPr="00074146" w:rsidRDefault="0079517B" w:rsidP="0079517B">
      <w:pPr>
        <w:spacing w:line="480" w:lineRule="auto"/>
        <w:jc w:val="both"/>
        <w:rPr>
          <w:rFonts w:ascii="Arial" w:hAnsi="Arial" w:cs="Arial"/>
          <w:b/>
          <w:bCs/>
        </w:rPr>
      </w:pPr>
      <w:r w:rsidRPr="004C4B1A">
        <w:rPr>
          <w:rFonts w:ascii="Arial" w:hAnsi="Arial" w:cs="Arial"/>
          <w:b/>
          <w:bCs/>
        </w:rPr>
        <w:t>Supplemental Fig</w:t>
      </w:r>
      <w:r>
        <w:rPr>
          <w:rFonts w:ascii="Arial" w:hAnsi="Arial" w:cs="Arial"/>
          <w:b/>
          <w:bCs/>
        </w:rPr>
        <w:t>ure</w:t>
      </w:r>
      <w:r w:rsidRPr="004C4B1A">
        <w:rPr>
          <w:rFonts w:ascii="Arial" w:hAnsi="Arial" w:cs="Arial"/>
          <w:b/>
          <w:bCs/>
        </w:rPr>
        <w:t xml:space="preserve"> </w:t>
      </w:r>
      <w:r>
        <w:rPr>
          <w:rFonts w:ascii="Arial" w:hAnsi="Arial" w:cs="Arial"/>
          <w:b/>
          <w:bCs/>
          <w:lang w:eastAsia="zh-CN"/>
        </w:rPr>
        <w:t>3</w:t>
      </w:r>
      <w:r w:rsidRPr="004C4B1A">
        <w:rPr>
          <w:rFonts w:ascii="Arial" w:hAnsi="Arial" w:cs="Arial"/>
          <w:b/>
          <w:bCs/>
        </w:rPr>
        <w:t>: A1EVs drive neurite-like extensions in cell lines that model nerve growth</w:t>
      </w:r>
      <w:r>
        <w:rPr>
          <w:rFonts w:ascii="Arial" w:hAnsi="Arial" w:cs="Arial"/>
          <w:b/>
          <w:bCs/>
        </w:rPr>
        <w:t xml:space="preserve">.  </w:t>
      </w:r>
      <w:r w:rsidRPr="004C4B1A">
        <w:rPr>
          <w:rFonts w:ascii="Arial" w:hAnsi="Arial" w:cs="Arial"/>
        </w:rPr>
        <w:t>A) Phase-contrast microscopy images of PC-12 cells shown immediately prior to treatment and 48 hours post-treatment, with cell culture media only, 1x10</w:t>
      </w:r>
      <w:r w:rsidRPr="004C4B1A">
        <w:rPr>
          <w:rFonts w:ascii="Arial" w:hAnsi="Arial" w:cs="Arial"/>
          <w:vertAlign w:val="superscript"/>
        </w:rPr>
        <w:t>8</w:t>
      </w:r>
      <w:r w:rsidRPr="004C4B1A">
        <w:rPr>
          <w:rFonts w:ascii="Arial" w:hAnsi="Arial" w:cs="Arial"/>
        </w:rPr>
        <w:t xml:space="preserve"> A1/EVs, or an equivalent volume of A1 culture media where EV generation has been suppressed (A1-GW4869).  Scale bar = 25µm. 10x magnification of the areas within the red squares are shown in the third column.  B) Graphical representation of neurite-positive cells in culture at 48 hours post treatment. * </w:t>
      </w:r>
      <w:proofErr w:type="gramStart"/>
      <w:r w:rsidRPr="004C4B1A">
        <w:rPr>
          <w:rFonts w:ascii="Arial" w:hAnsi="Arial" w:cs="Arial"/>
        </w:rPr>
        <w:t>indicates</w:t>
      </w:r>
      <w:proofErr w:type="gramEnd"/>
      <w:r w:rsidRPr="004C4B1A">
        <w:rPr>
          <w:rFonts w:ascii="Arial" w:hAnsi="Arial" w:cs="Arial"/>
        </w:rPr>
        <w:t xml:space="preserve"> statistical significance, p &lt; 0.05. </w:t>
      </w:r>
    </w:p>
    <w:p w14:paraId="2D1341C2" w14:textId="77777777" w:rsidR="0079517B" w:rsidRDefault="0079517B" w:rsidP="0079517B">
      <w:pPr>
        <w:spacing w:line="480" w:lineRule="auto"/>
        <w:jc w:val="both"/>
        <w:rPr>
          <w:rFonts w:ascii="Arial" w:hAnsi="Arial" w:cs="Arial"/>
          <w:b/>
          <w:bCs/>
        </w:rPr>
      </w:pPr>
    </w:p>
    <w:p w14:paraId="56CE83FF" w14:textId="77777777" w:rsidR="0079517B" w:rsidRDefault="0079517B" w:rsidP="0079517B">
      <w:pPr>
        <w:spacing w:line="480" w:lineRule="auto"/>
        <w:jc w:val="both"/>
        <w:rPr>
          <w:rFonts w:ascii="Arial" w:hAnsi="Arial" w:cs="Arial"/>
          <w:b/>
          <w:bCs/>
        </w:rPr>
      </w:pPr>
    </w:p>
    <w:p w14:paraId="4BAAA348" w14:textId="77777777" w:rsidR="0079517B" w:rsidRDefault="0079517B" w:rsidP="0079517B">
      <w:pPr>
        <w:spacing w:line="480" w:lineRule="auto"/>
        <w:jc w:val="both"/>
        <w:rPr>
          <w:rFonts w:ascii="Arial" w:hAnsi="Arial" w:cs="Arial"/>
          <w:b/>
          <w:bCs/>
        </w:rPr>
      </w:pPr>
    </w:p>
    <w:p w14:paraId="6C46CC3B" w14:textId="77777777" w:rsidR="0079517B" w:rsidRDefault="0079517B" w:rsidP="0079517B">
      <w:pPr>
        <w:spacing w:line="480" w:lineRule="auto"/>
        <w:jc w:val="both"/>
        <w:rPr>
          <w:rFonts w:ascii="Arial" w:hAnsi="Arial" w:cs="Arial"/>
          <w:b/>
          <w:bCs/>
        </w:rPr>
      </w:pPr>
    </w:p>
    <w:p w14:paraId="7315F3C8" w14:textId="77777777" w:rsidR="0079517B" w:rsidRDefault="0079517B" w:rsidP="0079517B">
      <w:pPr>
        <w:spacing w:line="480" w:lineRule="auto"/>
        <w:jc w:val="both"/>
        <w:rPr>
          <w:rFonts w:ascii="Arial" w:hAnsi="Arial" w:cs="Arial"/>
          <w:b/>
          <w:bCs/>
        </w:rPr>
      </w:pPr>
    </w:p>
    <w:p w14:paraId="2C3645B4" w14:textId="77777777" w:rsidR="0079517B" w:rsidRPr="004C4B1A" w:rsidRDefault="0079517B" w:rsidP="0079517B">
      <w:pPr>
        <w:spacing w:line="480" w:lineRule="auto"/>
        <w:jc w:val="both"/>
        <w:rPr>
          <w:rFonts w:ascii="Arial" w:hAnsi="Arial" w:cs="Arial"/>
          <w:b/>
          <w:bCs/>
        </w:rPr>
      </w:pPr>
      <w:r w:rsidRPr="004C4B1A">
        <w:rPr>
          <w:rFonts w:ascii="Arial" w:hAnsi="Arial" w:cs="Arial"/>
          <w:b/>
          <w:bCs/>
        </w:rPr>
        <w:lastRenderedPageBreak/>
        <w:t xml:space="preserve">Supplemental Figure </w:t>
      </w:r>
      <w:r>
        <w:rPr>
          <w:rFonts w:ascii="Arial" w:hAnsi="Arial" w:cs="Arial"/>
          <w:b/>
          <w:bCs/>
        </w:rPr>
        <w:t>4</w:t>
      </w:r>
      <w:r w:rsidRPr="004C4B1A">
        <w:rPr>
          <w:rFonts w:ascii="Arial" w:hAnsi="Arial" w:cs="Arial"/>
          <w:b/>
          <w:bCs/>
        </w:rPr>
        <w:t xml:space="preserve">: </w:t>
      </w:r>
    </w:p>
    <w:p w14:paraId="391CE295" w14:textId="77777777" w:rsidR="0079517B" w:rsidRDefault="0079517B" w:rsidP="0079517B">
      <w:pPr>
        <w:spacing w:line="240" w:lineRule="auto"/>
        <w:jc w:val="both"/>
        <w:rPr>
          <w:rFonts w:ascii="Arial" w:hAnsi="Arial" w:cs="Arial"/>
          <w:b/>
          <w:bCs/>
        </w:rPr>
      </w:pPr>
      <w:r>
        <w:rPr>
          <w:noProof/>
        </w:rPr>
        <w:drawing>
          <wp:inline distT="0" distB="0" distL="0" distR="0" wp14:anchorId="7295B126" wp14:editId="73B9F4AA">
            <wp:extent cx="4342648" cy="5715000"/>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55559" cy="5731990"/>
                    </a:xfrm>
                    <a:prstGeom prst="rect">
                      <a:avLst/>
                    </a:prstGeom>
                    <a:noFill/>
                    <a:ln>
                      <a:noFill/>
                    </a:ln>
                  </pic:spPr>
                </pic:pic>
              </a:graphicData>
            </a:graphic>
          </wp:inline>
        </w:drawing>
      </w:r>
    </w:p>
    <w:p w14:paraId="6A11EAF0" w14:textId="22E9830D" w:rsidR="00544296" w:rsidRPr="0079517B" w:rsidRDefault="0079517B" w:rsidP="0079517B">
      <w:pPr>
        <w:spacing w:line="480" w:lineRule="auto"/>
        <w:jc w:val="both"/>
        <w:rPr>
          <w:rFonts w:ascii="Arial" w:hAnsi="Arial" w:cs="Arial"/>
        </w:rPr>
      </w:pPr>
      <w:r w:rsidRPr="004C4B1A">
        <w:rPr>
          <w:rFonts w:ascii="Arial" w:hAnsi="Arial" w:cs="Arial"/>
          <w:b/>
          <w:bCs/>
        </w:rPr>
        <w:t xml:space="preserve">Supplemental Figure </w:t>
      </w:r>
      <w:r>
        <w:rPr>
          <w:rFonts w:ascii="Arial" w:hAnsi="Arial" w:cs="Arial"/>
          <w:b/>
          <w:bCs/>
        </w:rPr>
        <w:t>4</w:t>
      </w:r>
      <w:r w:rsidRPr="004C4B1A">
        <w:rPr>
          <w:rFonts w:ascii="Arial" w:hAnsi="Arial" w:cs="Arial"/>
          <w:b/>
          <w:bCs/>
        </w:rPr>
        <w:t xml:space="preserve">: A1EV exposure drives neurite growth in Dorsal Root Ganglion-derived sensory neurons in culture. </w:t>
      </w:r>
      <w:r w:rsidRPr="004C4B1A">
        <w:rPr>
          <w:rFonts w:ascii="Arial" w:hAnsi="Arial" w:cs="Arial"/>
        </w:rPr>
        <w:t xml:space="preserve">A) Spinal location of the source of DRGs isolated from </w:t>
      </w:r>
      <w:proofErr w:type="gramStart"/>
      <w:r w:rsidRPr="004C4B1A">
        <w:rPr>
          <w:rFonts w:ascii="Arial" w:hAnsi="Arial" w:cs="Arial"/>
        </w:rPr>
        <w:t>3 day</w:t>
      </w:r>
      <w:proofErr w:type="gramEnd"/>
      <w:r w:rsidRPr="004C4B1A">
        <w:rPr>
          <w:rFonts w:ascii="Arial" w:hAnsi="Arial" w:cs="Arial"/>
        </w:rPr>
        <w:t xml:space="preserve"> old rat pups. B) Isolated DRG with nerve root and meniscus still attached. C) Graphical representation of DRG neuron length following 96-hour culture in increasing concentrations of A1EVs.   D) Example images of DRG neuron silhouettes show neurite length treated with different A1EV concentrations.   Graphs and images indicate concentrations as EV number per milliliter.</w:t>
      </w:r>
    </w:p>
    <w:sectPr w:rsidR="00544296" w:rsidRPr="0079517B">
      <w:footerReference w:type="default" r:id="rI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9341960"/>
      <w:docPartObj>
        <w:docPartGallery w:val="Page Numbers (Bottom of Page)"/>
        <w:docPartUnique/>
      </w:docPartObj>
    </w:sdtPr>
    <w:sdtEndPr>
      <w:rPr>
        <w:noProof/>
      </w:rPr>
    </w:sdtEndPr>
    <w:sdtContent>
      <w:p w14:paraId="3FEC1352" w14:textId="77777777" w:rsidR="00627938" w:rsidRDefault="0079517B">
        <w:pPr>
          <w:pStyle w:val="Footer"/>
        </w:pPr>
        <w:r>
          <w:fldChar w:fldCharType="begin"/>
        </w:r>
        <w:r>
          <w:instrText xml:space="preserve"> PAGE   \* MERGEFORMAT </w:instrText>
        </w:r>
        <w:r>
          <w:fldChar w:fldCharType="separate"/>
        </w:r>
        <w:r>
          <w:rPr>
            <w:noProof/>
          </w:rPr>
          <w:t>2</w:t>
        </w:r>
        <w:r>
          <w:rPr>
            <w:noProof/>
          </w:rPr>
          <w:fldChar w:fldCharType="end"/>
        </w:r>
      </w:p>
    </w:sdtContent>
  </w:sdt>
  <w:p w14:paraId="5EAE0A7A" w14:textId="77777777" w:rsidR="00627938" w:rsidRDefault="0079517B">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17B"/>
    <w:rsid w:val="00544296"/>
    <w:rsid w:val="007951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0C8969"/>
  <w14:defaultImageDpi w14:val="32767"/>
  <w15:chartTrackingRefBased/>
  <w15:docId w15:val="{5A2E5778-1E67-4DB3-87EE-ED51385D3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17B"/>
    <w:pPr>
      <w:spacing w:line="256" w:lineRule="auto"/>
    </w:pPr>
    <w:rPr>
      <w:rFonts w:eastAsia="SimSu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951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517B"/>
    <w:rPr>
      <w:rFonts w:eastAsia="SimSu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tiff"/><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339</Words>
  <Characters>1938</Characters>
  <Application>Microsoft Office Word</Application>
  <DocSecurity>0</DocSecurity>
  <Lines>16</Lines>
  <Paragraphs>4</Paragraphs>
  <ScaleCrop>false</ScaleCrop>
  <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Middleton</dc:creator>
  <cp:keywords/>
  <dc:description/>
  <cp:lastModifiedBy>Ryan Middleton</cp:lastModifiedBy>
  <cp:revision>1</cp:revision>
  <dcterms:created xsi:type="dcterms:W3CDTF">2023-04-11T00:32:00Z</dcterms:created>
  <dcterms:modified xsi:type="dcterms:W3CDTF">2023-04-11T00:38:00Z</dcterms:modified>
</cp:coreProperties>
</file>