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rFonts w:hint="eastAsia"/>
        </w:rPr>
        <w:t>A</w:t>
      </w:r>
      <w:r>
        <w:t>ppendix</w:t>
      </w:r>
    </w:p>
    <w:p>
      <w:pPr>
        <w:spacing w:line="360" w:lineRule="auto"/>
        <w:jc w:val="center"/>
        <w:rPr>
          <w:szCs w:val="21"/>
        </w:rPr>
      </w:pPr>
      <w:r>
        <w:rPr>
          <w:rFonts w:hint="eastAsia"/>
          <w:szCs w:val="21"/>
          <w:lang w:val="en-US" w:eastAsia="zh-CN"/>
        </w:rPr>
        <w:drawing>
          <wp:inline distT="0" distB="0" distL="114300" distR="114300">
            <wp:extent cx="4069080" cy="2211705"/>
            <wp:effectExtent l="0" t="0" r="7620" b="10795"/>
            <wp:docPr id="7" name="图片 7" descr="图片3 对比"/>
            <wp:cNvGraphicFramePr/>
            <a:graphic xmlns:a="http://schemas.openxmlformats.org/drawingml/2006/main">
              <a:graphicData uri="http://schemas.openxmlformats.org/drawingml/2006/picture">
                <pic:pic xmlns:pic="http://schemas.openxmlformats.org/drawingml/2006/picture">
                  <pic:nvPicPr>
                    <pic:cNvPr id="7" name="图片 7" descr="图片3 对比"/>
                    <pic:cNvPicPr/>
                  </pic:nvPicPr>
                  <pic:blipFill>
                    <a:blip r:embed="rId8"/>
                    <a:stretch>
                      <a:fillRect/>
                    </a:stretch>
                  </pic:blipFill>
                  <pic:spPr>
                    <a:xfrm>
                      <a:off x="0" y="0"/>
                      <a:ext cx="4069080" cy="2211705"/>
                    </a:xfrm>
                    <a:prstGeom prst="rect">
                      <a:avLst/>
                    </a:prstGeom>
                  </pic:spPr>
                </pic:pic>
              </a:graphicData>
            </a:graphic>
          </wp:inline>
        </w:drawing>
      </w:r>
    </w:p>
    <w:p>
      <w:pPr>
        <w:pStyle w:val="8"/>
        <w:jc w:val="center"/>
      </w:pPr>
      <w:r>
        <w:t>Figure A1 Export stability (for alternative cutoffs)</w:t>
      </w:r>
    </w:p>
    <w:p>
      <w:pPr>
        <w:pStyle w:val="9"/>
        <w:jc w:val="both"/>
      </w:pPr>
      <w:r>
        <w:t>Note: the difference between the values of the export stability index calculated under different cut-off criteria is less than 0.1 and is consistent in terms of time trends. These results suggest that the choice of export destination ranking class may cause some differences in the values of the export stability index, but the relevant differences should not be sufficient to influence the results of subsequent empirical studies.</w:t>
      </w:r>
    </w:p>
    <w:p/>
    <w:p>
      <w:pPr>
        <w:jc w:val="center"/>
        <w:rPr>
          <w:szCs w:val="21"/>
        </w:rPr>
      </w:pPr>
      <w:r>
        <w:rPr>
          <w:rFonts w:hint="eastAsia"/>
          <w:szCs w:val="21"/>
        </w:rPr>
        <w:drawing>
          <wp:inline distT="0" distB="0" distL="114300" distR="114300">
            <wp:extent cx="4872990" cy="5026025"/>
            <wp:effectExtent l="0" t="0" r="3810" b="3175"/>
            <wp:docPr id="17" name="图片 17" descr="图片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A2"/>
                    <pic:cNvPicPr>
                      <a:picLocks noChangeAspect="1"/>
                    </pic:cNvPicPr>
                  </pic:nvPicPr>
                  <pic:blipFill>
                    <a:blip r:embed="rId9"/>
                    <a:stretch>
                      <a:fillRect/>
                    </a:stretch>
                  </pic:blipFill>
                  <pic:spPr>
                    <a:xfrm>
                      <a:off x="0" y="0"/>
                      <a:ext cx="5016407" cy="5174039"/>
                    </a:xfrm>
                    <a:prstGeom prst="rect">
                      <a:avLst/>
                    </a:prstGeom>
                  </pic:spPr>
                </pic:pic>
              </a:graphicData>
            </a:graphic>
          </wp:inline>
        </w:drawing>
      </w:r>
    </w:p>
    <w:p>
      <w:pPr>
        <w:pStyle w:val="8"/>
        <w:jc w:val="center"/>
      </w:pPr>
      <w:r>
        <w:t>Figure A2 Cross-country heterogeneity in export stability</w:t>
      </w:r>
    </w:p>
    <w:p>
      <w:pPr>
        <w:jc w:val="center"/>
        <w:rPr>
          <w:szCs w:val="21"/>
        </w:rPr>
      </w:pPr>
      <w:r>
        <w:rPr>
          <w:rFonts w:hint="eastAsia"/>
          <w:szCs w:val="21"/>
        </w:rPr>
        <w:drawing>
          <wp:inline distT="0" distB="0" distL="114300" distR="114300">
            <wp:extent cx="4204970" cy="2520315"/>
            <wp:effectExtent l="0" t="0" r="11430" b="6985"/>
            <wp:docPr id="16" name="图片 16" descr="图片A1"/>
            <wp:cNvGraphicFramePr/>
            <a:graphic xmlns:a="http://schemas.openxmlformats.org/drawingml/2006/main">
              <a:graphicData uri="http://schemas.openxmlformats.org/drawingml/2006/picture">
                <pic:pic xmlns:pic="http://schemas.openxmlformats.org/drawingml/2006/picture">
                  <pic:nvPicPr>
                    <pic:cNvPr id="16" name="图片 16" descr="图片A1"/>
                    <pic:cNvPicPr/>
                  </pic:nvPicPr>
                  <pic:blipFill>
                    <a:blip r:embed="rId10"/>
                    <a:stretch>
                      <a:fillRect/>
                    </a:stretch>
                  </pic:blipFill>
                  <pic:spPr>
                    <a:xfrm>
                      <a:off x="0" y="0"/>
                      <a:ext cx="4204970" cy="2520315"/>
                    </a:xfrm>
                    <a:prstGeom prst="rect">
                      <a:avLst/>
                    </a:prstGeom>
                  </pic:spPr>
                </pic:pic>
              </a:graphicData>
            </a:graphic>
          </wp:inline>
        </w:drawing>
      </w:r>
    </w:p>
    <w:p>
      <w:pPr>
        <w:pStyle w:val="8"/>
        <w:jc w:val="center"/>
      </w:pPr>
      <w:r>
        <w:t>Figure A3 Cross-country heterogeneity in export stability (alternative cutoffs)</w:t>
      </w:r>
    </w:p>
    <w:p>
      <w:pPr>
        <w:jc w:val="center"/>
        <w:rPr>
          <w:szCs w:val="21"/>
        </w:rPr>
      </w:pPr>
    </w:p>
    <w:p>
      <w:r>
        <w:drawing>
          <wp:inline distT="0" distB="0" distL="0" distR="0">
            <wp:extent cx="5274310" cy="2541905"/>
            <wp:effectExtent l="0" t="0" r="8890"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541905"/>
                    </a:xfrm>
                    <a:prstGeom prst="rect">
                      <a:avLst/>
                    </a:prstGeom>
                  </pic:spPr>
                </pic:pic>
              </a:graphicData>
            </a:graphic>
          </wp:inline>
        </w:drawing>
      </w:r>
    </w:p>
    <w:p>
      <w:pPr>
        <w:pStyle w:val="8"/>
        <w:jc w:val="center"/>
      </w:pPr>
      <w:r>
        <w:t>Figure A4 Global GNI growth rate,</w:t>
      </w:r>
      <w:r>
        <w:rPr>
          <w:rFonts w:hint="eastAsia"/>
        </w:rPr>
        <w:t xml:space="preserve"> </w:t>
      </w:r>
      <w:r>
        <w:t>2018</w:t>
      </w:r>
    </w:p>
    <w:p>
      <w:r>
        <w:drawing>
          <wp:inline distT="0" distB="0" distL="0" distR="0">
            <wp:extent cx="5274310" cy="2541905"/>
            <wp:effectExtent l="0" t="0" r="8890" b="107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541905"/>
                    </a:xfrm>
                    <a:prstGeom prst="rect">
                      <a:avLst/>
                    </a:prstGeom>
                  </pic:spPr>
                </pic:pic>
              </a:graphicData>
            </a:graphic>
          </wp:inline>
        </w:drawing>
      </w:r>
    </w:p>
    <w:p>
      <w:pPr>
        <w:pStyle w:val="8"/>
        <w:jc w:val="center"/>
      </w:pPr>
      <w:r>
        <w:t>Figure A5 Global growth rate of GDP per capita,</w:t>
      </w:r>
      <w:r>
        <w:rPr>
          <w:rFonts w:hint="eastAsia"/>
        </w:rPr>
        <w:t xml:space="preserve"> </w:t>
      </w:r>
      <w:r>
        <w:t>2018</w:t>
      </w:r>
    </w:p>
    <w:p>
      <w:pPr>
        <w:jc w:val="center"/>
      </w:pPr>
    </w:p>
    <w:p>
      <w:pPr>
        <w:pStyle w:val="10"/>
      </w:pPr>
      <w:r>
        <w:drawing>
          <wp:inline distT="0" distB="0" distL="0" distR="0">
            <wp:extent cx="5156835" cy="2485390"/>
            <wp:effectExtent l="0" t="0" r="12065"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6835" cy="2485390"/>
                    </a:xfrm>
                    <a:prstGeom prst="rect">
                      <a:avLst/>
                    </a:prstGeom>
                  </pic:spPr>
                </pic:pic>
              </a:graphicData>
            </a:graphic>
          </wp:inline>
        </w:drawing>
      </w:r>
    </w:p>
    <w:p>
      <w:pPr>
        <w:pStyle w:val="8"/>
        <w:jc w:val="center"/>
      </w:pPr>
      <w:r>
        <w:t>Figure A6 Global GDP growth rate,</w:t>
      </w:r>
      <w:r>
        <w:rPr>
          <w:rFonts w:hint="eastAsia"/>
        </w:rPr>
        <w:t xml:space="preserve"> </w:t>
      </w:r>
      <w:r>
        <w:t>2018</w:t>
      </w:r>
    </w:p>
    <w:p>
      <w:pPr>
        <w:jc w:val="center"/>
        <w:rPr>
          <w:rFonts w:eastAsia="Times New Roman"/>
          <w:sz w:val="21"/>
        </w:rPr>
      </w:pPr>
      <w:r>
        <w:br w:type="page"/>
      </w:r>
    </w:p>
    <w:p>
      <w:pPr>
        <w:pStyle w:val="10"/>
      </w:pPr>
      <w:r>
        <w:t>Table A1 Variable description and statistic</w:t>
      </w:r>
    </w:p>
    <w:tbl>
      <w:tblPr>
        <w:tblStyle w:val="12"/>
        <w:tblW w:w="8364"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701"/>
        <w:gridCol w:w="1412"/>
        <w:gridCol w:w="800"/>
        <w:gridCol w:w="953"/>
        <w:gridCol w:w="208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single" w:color="auto" w:sz="4" w:space="0"/>
              <w:left w:val="nil"/>
              <w:bottom w:val="single" w:color="auto" w:sz="4" w:space="0"/>
              <w:right w:val="nil"/>
            </w:tcBorders>
            <w:vAlign w:val="center"/>
          </w:tcPr>
          <w:p>
            <w:pPr>
              <w:pStyle w:val="11"/>
            </w:pPr>
            <w:r>
              <w:t>Variable</w:t>
            </w:r>
          </w:p>
        </w:tc>
        <w:tc>
          <w:tcPr>
            <w:tcW w:w="1701" w:type="dxa"/>
            <w:tcBorders>
              <w:top w:val="single" w:color="auto" w:sz="4" w:space="0"/>
              <w:left w:val="nil"/>
              <w:bottom w:val="single" w:color="auto" w:sz="4" w:space="0"/>
              <w:right w:val="nil"/>
            </w:tcBorders>
            <w:vAlign w:val="center"/>
          </w:tcPr>
          <w:p>
            <w:pPr>
              <w:pStyle w:val="11"/>
            </w:pPr>
            <w:r>
              <w:t>Description</w:t>
            </w:r>
          </w:p>
        </w:tc>
        <w:tc>
          <w:tcPr>
            <w:tcW w:w="1412" w:type="dxa"/>
            <w:tcBorders>
              <w:top w:val="single" w:color="auto" w:sz="4" w:space="0"/>
              <w:left w:val="nil"/>
              <w:bottom w:val="single" w:color="auto" w:sz="4" w:space="0"/>
              <w:right w:val="nil"/>
            </w:tcBorders>
            <w:vAlign w:val="center"/>
          </w:tcPr>
          <w:p>
            <w:pPr>
              <w:pStyle w:val="11"/>
            </w:pPr>
            <w:r>
              <w:t>Mean</w:t>
            </w:r>
          </w:p>
        </w:tc>
        <w:tc>
          <w:tcPr>
            <w:tcW w:w="800" w:type="dxa"/>
            <w:tcBorders>
              <w:top w:val="single" w:color="auto" w:sz="4" w:space="0"/>
              <w:left w:val="nil"/>
              <w:bottom w:val="single" w:color="auto" w:sz="4" w:space="0"/>
              <w:right w:val="nil"/>
            </w:tcBorders>
            <w:vAlign w:val="center"/>
          </w:tcPr>
          <w:p>
            <w:pPr>
              <w:pStyle w:val="11"/>
            </w:pPr>
            <w:r>
              <w:t>min</w:t>
            </w:r>
          </w:p>
        </w:tc>
        <w:tc>
          <w:tcPr>
            <w:tcW w:w="953" w:type="dxa"/>
            <w:tcBorders>
              <w:top w:val="single" w:color="auto" w:sz="4" w:space="0"/>
              <w:left w:val="nil"/>
              <w:bottom w:val="single" w:color="auto" w:sz="4" w:space="0"/>
              <w:right w:val="nil"/>
            </w:tcBorders>
            <w:vAlign w:val="center"/>
          </w:tcPr>
          <w:p>
            <w:pPr>
              <w:pStyle w:val="11"/>
            </w:pPr>
            <w:r>
              <w:t>Max</w:t>
            </w:r>
          </w:p>
        </w:tc>
        <w:tc>
          <w:tcPr>
            <w:tcW w:w="2080" w:type="dxa"/>
            <w:tcBorders>
              <w:top w:val="single" w:color="auto" w:sz="4" w:space="0"/>
              <w:left w:val="nil"/>
              <w:bottom w:val="single" w:color="auto" w:sz="4" w:space="0"/>
              <w:right w:val="nil"/>
            </w:tcBorders>
            <w:vAlign w:val="center"/>
          </w:tcPr>
          <w:p>
            <w:pPr>
              <w:pStyle w:val="11"/>
            </w:pPr>
            <w:r>
              <w:t>Source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single" w:color="auto" w:sz="4" w:space="0"/>
              <w:left w:val="nil"/>
              <w:bottom w:val="nil"/>
              <w:right w:val="nil"/>
            </w:tcBorders>
            <w:vAlign w:val="center"/>
          </w:tcPr>
          <w:p>
            <w:pPr>
              <w:pStyle w:val="11"/>
            </w:pPr>
            <w:r>
              <w:rPr>
                <w:i/>
                <w:iCs/>
              </w:rPr>
              <w:t>Sta_Top10</w:t>
            </w:r>
          </w:p>
        </w:tc>
        <w:tc>
          <w:tcPr>
            <w:tcW w:w="1701" w:type="dxa"/>
            <w:tcBorders>
              <w:top w:val="single" w:color="auto" w:sz="4" w:space="0"/>
              <w:left w:val="nil"/>
              <w:bottom w:val="nil"/>
              <w:right w:val="nil"/>
            </w:tcBorders>
            <w:vAlign w:val="center"/>
          </w:tcPr>
          <w:p>
            <w:pPr>
              <w:pStyle w:val="11"/>
            </w:pPr>
            <w:r>
              <w:t>Export stability(TOP10)</w:t>
            </w:r>
          </w:p>
        </w:tc>
        <w:tc>
          <w:tcPr>
            <w:tcW w:w="1412" w:type="dxa"/>
            <w:tcBorders>
              <w:top w:val="single" w:color="auto" w:sz="4" w:space="0"/>
              <w:left w:val="nil"/>
              <w:bottom w:val="nil"/>
              <w:right w:val="nil"/>
            </w:tcBorders>
            <w:vAlign w:val="center"/>
          </w:tcPr>
          <w:p>
            <w:pPr>
              <w:pStyle w:val="11"/>
            </w:pPr>
            <w:r>
              <w:t>0.508</w:t>
            </w:r>
          </w:p>
        </w:tc>
        <w:tc>
          <w:tcPr>
            <w:tcW w:w="800" w:type="dxa"/>
            <w:tcBorders>
              <w:top w:val="single" w:color="auto" w:sz="4" w:space="0"/>
              <w:left w:val="nil"/>
              <w:bottom w:val="nil"/>
              <w:right w:val="nil"/>
            </w:tcBorders>
            <w:vAlign w:val="center"/>
          </w:tcPr>
          <w:p>
            <w:pPr>
              <w:pStyle w:val="11"/>
            </w:pPr>
            <w:r>
              <w:t>0.000</w:t>
            </w:r>
          </w:p>
        </w:tc>
        <w:tc>
          <w:tcPr>
            <w:tcW w:w="953" w:type="dxa"/>
            <w:tcBorders>
              <w:top w:val="single" w:color="auto" w:sz="4" w:space="0"/>
              <w:left w:val="nil"/>
              <w:bottom w:val="nil"/>
              <w:right w:val="nil"/>
            </w:tcBorders>
            <w:vAlign w:val="center"/>
          </w:tcPr>
          <w:p>
            <w:pPr>
              <w:pStyle w:val="11"/>
            </w:pPr>
            <w:r>
              <w:t>1.000</w:t>
            </w:r>
          </w:p>
        </w:tc>
        <w:tc>
          <w:tcPr>
            <w:tcW w:w="2080" w:type="dxa"/>
            <w:tcBorders>
              <w:top w:val="single" w:color="auto" w:sz="4" w:space="0"/>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Sta_Top5</w:t>
            </w:r>
          </w:p>
        </w:tc>
        <w:tc>
          <w:tcPr>
            <w:tcW w:w="1701" w:type="dxa"/>
            <w:tcBorders>
              <w:top w:val="nil"/>
              <w:left w:val="nil"/>
              <w:bottom w:val="nil"/>
              <w:right w:val="nil"/>
            </w:tcBorders>
            <w:vAlign w:val="center"/>
          </w:tcPr>
          <w:p>
            <w:pPr>
              <w:pStyle w:val="11"/>
            </w:pPr>
            <w:r>
              <w:t>Export stability(TOP5)</w:t>
            </w:r>
          </w:p>
        </w:tc>
        <w:tc>
          <w:tcPr>
            <w:tcW w:w="1412" w:type="dxa"/>
            <w:tcBorders>
              <w:top w:val="nil"/>
              <w:left w:val="nil"/>
              <w:bottom w:val="nil"/>
              <w:right w:val="nil"/>
            </w:tcBorders>
            <w:vAlign w:val="center"/>
          </w:tcPr>
          <w:p>
            <w:pPr>
              <w:pStyle w:val="11"/>
            </w:pPr>
            <w:r>
              <w:t>0.508</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Sta_Top15</w:t>
            </w:r>
          </w:p>
        </w:tc>
        <w:tc>
          <w:tcPr>
            <w:tcW w:w="1701" w:type="dxa"/>
            <w:tcBorders>
              <w:top w:val="nil"/>
              <w:left w:val="nil"/>
              <w:bottom w:val="nil"/>
              <w:right w:val="nil"/>
            </w:tcBorders>
            <w:vAlign w:val="center"/>
          </w:tcPr>
          <w:p>
            <w:pPr>
              <w:pStyle w:val="11"/>
            </w:pPr>
            <w:r>
              <w:t>Export stability(TOP15)</w:t>
            </w:r>
          </w:p>
        </w:tc>
        <w:tc>
          <w:tcPr>
            <w:tcW w:w="1412" w:type="dxa"/>
            <w:tcBorders>
              <w:top w:val="nil"/>
              <w:left w:val="nil"/>
              <w:bottom w:val="nil"/>
              <w:right w:val="nil"/>
            </w:tcBorders>
            <w:vAlign w:val="center"/>
          </w:tcPr>
          <w:p>
            <w:pPr>
              <w:pStyle w:val="11"/>
            </w:pPr>
            <w:r>
              <w:t>0.503</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Sta_Top10</w:t>
            </w:r>
            <w:r>
              <w:rPr>
                <w:i/>
                <w:iCs/>
                <w:vertAlign w:val="subscript"/>
              </w:rPr>
              <w:t>USA,</w:t>
            </w:r>
          </w:p>
        </w:tc>
        <w:tc>
          <w:tcPr>
            <w:tcW w:w="1701" w:type="dxa"/>
            <w:tcBorders>
              <w:top w:val="nil"/>
              <w:left w:val="nil"/>
              <w:bottom w:val="nil"/>
              <w:right w:val="nil"/>
            </w:tcBorders>
            <w:vAlign w:val="center"/>
          </w:tcPr>
          <w:p>
            <w:pPr>
              <w:pStyle w:val="11"/>
            </w:pPr>
            <w:r>
              <w:t>Export stability of the US</w:t>
            </w:r>
          </w:p>
        </w:tc>
        <w:tc>
          <w:tcPr>
            <w:tcW w:w="1412" w:type="dxa"/>
            <w:tcBorders>
              <w:top w:val="nil"/>
              <w:left w:val="nil"/>
              <w:bottom w:val="nil"/>
              <w:right w:val="nil"/>
            </w:tcBorders>
            <w:vAlign w:val="center"/>
          </w:tcPr>
          <w:p>
            <w:pPr>
              <w:pStyle w:val="11"/>
            </w:pPr>
            <w:r>
              <w:t>0.679</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Sta10_Top</w:t>
            </w:r>
            <w:r>
              <w:rPr>
                <w:i/>
                <w:iCs/>
                <w:vertAlign w:val="subscript"/>
              </w:rPr>
              <w:t>CHN</w:t>
            </w:r>
          </w:p>
        </w:tc>
        <w:tc>
          <w:tcPr>
            <w:tcW w:w="1701" w:type="dxa"/>
            <w:tcBorders>
              <w:top w:val="nil"/>
              <w:left w:val="nil"/>
              <w:bottom w:val="nil"/>
              <w:right w:val="nil"/>
            </w:tcBorders>
            <w:vAlign w:val="center"/>
          </w:tcPr>
          <w:p>
            <w:pPr>
              <w:pStyle w:val="11"/>
            </w:pPr>
            <w:r>
              <w:t>Export stability of China</w:t>
            </w:r>
          </w:p>
        </w:tc>
        <w:tc>
          <w:tcPr>
            <w:tcW w:w="1412" w:type="dxa"/>
            <w:tcBorders>
              <w:top w:val="nil"/>
              <w:left w:val="nil"/>
              <w:bottom w:val="nil"/>
              <w:right w:val="nil"/>
            </w:tcBorders>
            <w:vAlign w:val="center"/>
          </w:tcPr>
          <w:p>
            <w:pPr>
              <w:pStyle w:val="11"/>
            </w:pPr>
            <w:r>
              <w:t>0.615</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Sta10_Top</w:t>
            </w:r>
            <w:r>
              <w:rPr>
                <w:i/>
                <w:iCs/>
                <w:vertAlign w:val="subscript"/>
              </w:rPr>
              <w:t>JPN,</w:t>
            </w:r>
          </w:p>
        </w:tc>
        <w:tc>
          <w:tcPr>
            <w:tcW w:w="1701" w:type="dxa"/>
            <w:tcBorders>
              <w:top w:val="nil"/>
              <w:left w:val="nil"/>
              <w:bottom w:val="nil"/>
              <w:right w:val="nil"/>
            </w:tcBorders>
            <w:vAlign w:val="center"/>
          </w:tcPr>
          <w:p>
            <w:pPr>
              <w:pStyle w:val="11"/>
            </w:pPr>
            <w:r>
              <w:t>Export stability of Japan</w:t>
            </w:r>
          </w:p>
        </w:tc>
        <w:tc>
          <w:tcPr>
            <w:tcW w:w="1412" w:type="dxa"/>
            <w:tcBorders>
              <w:top w:val="nil"/>
              <w:left w:val="nil"/>
              <w:bottom w:val="nil"/>
              <w:right w:val="nil"/>
            </w:tcBorders>
            <w:vAlign w:val="center"/>
          </w:tcPr>
          <w:p>
            <w:pPr>
              <w:pStyle w:val="11"/>
            </w:pPr>
            <w:r>
              <w:t>0.684</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Sta10_Top</w:t>
            </w:r>
            <w:r>
              <w:rPr>
                <w:i/>
                <w:iCs/>
                <w:vertAlign w:val="subscript"/>
              </w:rPr>
              <w:t>DEU,</w:t>
            </w:r>
          </w:p>
        </w:tc>
        <w:tc>
          <w:tcPr>
            <w:tcW w:w="1701" w:type="dxa"/>
            <w:tcBorders>
              <w:top w:val="nil"/>
              <w:left w:val="nil"/>
              <w:bottom w:val="nil"/>
              <w:right w:val="nil"/>
            </w:tcBorders>
            <w:vAlign w:val="center"/>
          </w:tcPr>
          <w:p>
            <w:pPr>
              <w:pStyle w:val="11"/>
            </w:pPr>
            <w:r>
              <w:t>Export stability of Germany</w:t>
            </w:r>
          </w:p>
        </w:tc>
        <w:tc>
          <w:tcPr>
            <w:tcW w:w="1412" w:type="dxa"/>
            <w:tcBorders>
              <w:top w:val="nil"/>
              <w:left w:val="nil"/>
              <w:bottom w:val="nil"/>
              <w:right w:val="nil"/>
            </w:tcBorders>
            <w:vAlign w:val="center"/>
          </w:tcPr>
          <w:p>
            <w:pPr>
              <w:pStyle w:val="11"/>
            </w:pPr>
            <w:r>
              <w:t>0.745</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1.000</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G_PGNI</w:t>
            </w:r>
            <w:r>
              <w:rPr>
                <w:i/>
                <w:iCs/>
                <w:vertAlign w:val="subscript"/>
              </w:rPr>
              <w:t>it</w:t>
            </w:r>
          </w:p>
        </w:tc>
        <w:tc>
          <w:tcPr>
            <w:tcW w:w="1701" w:type="dxa"/>
            <w:tcBorders>
              <w:top w:val="nil"/>
              <w:left w:val="nil"/>
              <w:bottom w:val="nil"/>
              <w:right w:val="nil"/>
            </w:tcBorders>
            <w:vAlign w:val="center"/>
          </w:tcPr>
          <w:p>
            <w:pPr>
              <w:pStyle w:val="11"/>
            </w:pPr>
            <w:r>
              <w:t>GNI per capita growth rate</w:t>
            </w:r>
          </w:p>
        </w:tc>
        <w:tc>
          <w:tcPr>
            <w:tcW w:w="1412" w:type="dxa"/>
            <w:tcBorders>
              <w:top w:val="nil"/>
              <w:left w:val="nil"/>
              <w:bottom w:val="nil"/>
              <w:right w:val="nil"/>
            </w:tcBorders>
            <w:vAlign w:val="center"/>
          </w:tcPr>
          <w:p>
            <w:pPr>
              <w:pStyle w:val="11"/>
            </w:pPr>
            <w:r>
              <w:t>1.017</w:t>
            </w:r>
          </w:p>
        </w:tc>
        <w:tc>
          <w:tcPr>
            <w:tcW w:w="800" w:type="dxa"/>
            <w:tcBorders>
              <w:top w:val="nil"/>
              <w:left w:val="nil"/>
              <w:bottom w:val="nil"/>
              <w:right w:val="nil"/>
            </w:tcBorders>
            <w:vAlign w:val="center"/>
          </w:tcPr>
          <w:p>
            <w:pPr>
              <w:pStyle w:val="11"/>
            </w:pPr>
            <w:r>
              <w:t>-4.089</w:t>
            </w:r>
          </w:p>
        </w:tc>
        <w:tc>
          <w:tcPr>
            <w:tcW w:w="953" w:type="dxa"/>
            <w:tcBorders>
              <w:top w:val="nil"/>
              <w:left w:val="nil"/>
              <w:bottom w:val="nil"/>
              <w:right w:val="nil"/>
            </w:tcBorders>
            <w:vAlign w:val="center"/>
          </w:tcPr>
          <w:p>
            <w:pPr>
              <w:pStyle w:val="11"/>
            </w:pPr>
            <w:r>
              <w:t>2.780</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G_PGDP</w:t>
            </w:r>
          </w:p>
        </w:tc>
        <w:tc>
          <w:tcPr>
            <w:tcW w:w="1701" w:type="dxa"/>
            <w:tcBorders>
              <w:top w:val="nil"/>
              <w:left w:val="nil"/>
              <w:bottom w:val="nil"/>
              <w:right w:val="nil"/>
            </w:tcBorders>
            <w:vAlign w:val="center"/>
          </w:tcPr>
          <w:p>
            <w:pPr>
              <w:pStyle w:val="11"/>
            </w:pPr>
            <w:r>
              <w:t>GDP per capita growth rate</w:t>
            </w:r>
          </w:p>
        </w:tc>
        <w:tc>
          <w:tcPr>
            <w:tcW w:w="1412" w:type="dxa"/>
            <w:tcBorders>
              <w:top w:val="nil"/>
              <w:left w:val="nil"/>
              <w:bottom w:val="nil"/>
              <w:right w:val="nil"/>
            </w:tcBorders>
            <w:vAlign w:val="center"/>
          </w:tcPr>
          <w:p>
            <w:pPr>
              <w:pStyle w:val="11"/>
            </w:pPr>
            <w:r>
              <w:t>1.053</w:t>
            </w:r>
          </w:p>
        </w:tc>
        <w:tc>
          <w:tcPr>
            <w:tcW w:w="800" w:type="dxa"/>
            <w:tcBorders>
              <w:top w:val="nil"/>
              <w:left w:val="nil"/>
              <w:bottom w:val="nil"/>
              <w:right w:val="nil"/>
            </w:tcBorders>
            <w:vAlign w:val="center"/>
          </w:tcPr>
          <w:p>
            <w:pPr>
              <w:pStyle w:val="11"/>
            </w:pPr>
            <w:r>
              <w:t>-2.573</w:t>
            </w:r>
          </w:p>
        </w:tc>
        <w:tc>
          <w:tcPr>
            <w:tcW w:w="953" w:type="dxa"/>
            <w:tcBorders>
              <w:top w:val="nil"/>
              <w:left w:val="nil"/>
              <w:bottom w:val="nil"/>
              <w:right w:val="nil"/>
            </w:tcBorders>
            <w:vAlign w:val="center"/>
          </w:tcPr>
          <w:p>
            <w:pPr>
              <w:pStyle w:val="11"/>
            </w:pPr>
            <w:r>
              <w:t>3.218</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G_GNI</w:t>
            </w:r>
          </w:p>
        </w:tc>
        <w:tc>
          <w:tcPr>
            <w:tcW w:w="1701" w:type="dxa"/>
            <w:tcBorders>
              <w:top w:val="nil"/>
              <w:left w:val="nil"/>
              <w:bottom w:val="nil"/>
              <w:right w:val="nil"/>
            </w:tcBorders>
            <w:vAlign w:val="center"/>
          </w:tcPr>
          <w:p>
            <w:pPr>
              <w:pStyle w:val="11"/>
            </w:pPr>
            <w:r>
              <w:t>GNI growth rate</w:t>
            </w:r>
          </w:p>
        </w:tc>
        <w:tc>
          <w:tcPr>
            <w:tcW w:w="1412" w:type="dxa"/>
            <w:tcBorders>
              <w:top w:val="nil"/>
              <w:left w:val="nil"/>
              <w:bottom w:val="nil"/>
              <w:right w:val="nil"/>
            </w:tcBorders>
            <w:vAlign w:val="center"/>
          </w:tcPr>
          <w:p>
            <w:pPr>
              <w:pStyle w:val="11"/>
            </w:pPr>
            <w:r>
              <w:t>1.214</w:t>
            </w:r>
          </w:p>
        </w:tc>
        <w:tc>
          <w:tcPr>
            <w:tcW w:w="800" w:type="dxa"/>
            <w:tcBorders>
              <w:top w:val="nil"/>
              <w:left w:val="nil"/>
              <w:bottom w:val="nil"/>
              <w:right w:val="nil"/>
            </w:tcBorders>
            <w:vAlign w:val="center"/>
          </w:tcPr>
          <w:p>
            <w:pPr>
              <w:pStyle w:val="11"/>
            </w:pPr>
            <w:r>
              <w:t>-3.104</w:t>
            </w:r>
          </w:p>
        </w:tc>
        <w:tc>
          <w:tcPr>
            <w:tcW w:w="953" w:type="dxa"/>
            <w:tcBorders>
              <w:top w:val="nil"/>
              <w:left w:val="nil"/>
              <w:bottom w:val="nil"/>
              <w:right w:val="nil"/>
            </w:tcBorders>
            <w:vAlign w:val="center"/>
          </w:tcPr>
          <w:p>
            <w:pPr>
              <w:pStyle w:val="11"/>
            </w:pPr>
            <w:r>
              <w:t>2.850</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G_GDP</w:t>
            </w:r>
          </w:p>
        </w:tc>
        <w:tc>
          <w:tcPr>
            <w:tcW w:w="1701" w:type="dxa"/>
            <w:tcBorders>
              <w:top w:val="nil"/>
              <w:left w:val="nil"/>
              <w:bottom w:val="nil"/>
              <w:right w:val="nil"/>
            </w:tcBorders>
            <w:vAlign w:val="center"/>
          </w:tcPr>
          <w:p>
            <w:pPr>
              <w:pStyle w:val="11"/>
            </w:pPr>
            <w:r>
              <w:t>GDP growth rate</w:t>
            </w:r>
          </w:p>
        </w:tc>
        <w:tc>
          <w:tcPr>
            <w:tcW w:w="1412" w:type="dxa"/>
            <w:tcBorders>
              <w:top w:val="nil"/>
              <w:left w:val="nil"/>
              <w:bottom w:val="nil"/>
              <w:right w:val="nil"/>
            </w:tcBorders>
            <w:vAlign w:val="center"/>
          </w:tcPr>
          <w:p>
            <w:pPr>
              <w:pStyle w:val="11"/>
            </w:pPr>
            <w:r>
              <w:t>1.293</w:t>
            </w:r>
          </w:p>
        </w:tc>
        <w:tc>
          <w:tcPr>
            <w:tcW w:w="800" w:type="dxa"/>
            <w:tcBorders>
              <w:top w:val="nil"/>
              <w:left w:val="nil"/>
              <w:bottom w:val="nil"/>
              <w:right w:val="nil"/>
            </w:tcBorders>
            <w:vAlign w:val="center"/>
          </w:tcPr>
          <w:p>
            <w:pPr>
              <w:pStyle w:val="11"/>
            </w:pPr>
            <w:r>
              <w:t>-2.559</w:t>
            </w:r>
          </w:p>
        </w:tc>
        <w:tc>
          <w:tcPr>
            <w:tcW w:w="953" w:type="dxa"/>
            <w:tcBorders>
              <w:top w:val="nil"/>
              <w:left w:val="nil"/>
              <w:bottom w:val="nil"/>
              <w:right w:val="nil"/>
            </w:tcBorders>
            <w:vAlign w:val="center"/>
          </w:tcPr>
          <w:p>
            <w:pPr>
              <w:pStyle w:val="11"/>
            </w:pPr>
            <w:r>
              <w:t>3.264</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Trade_value</w:t>
            </w:r>
          </w:p>
        </w:tc>
        <w:tc>
          <w:tcPr>
            <w:tcW w:w="1701" w:type="dxa"/>
            <w:tcBorders>
              <w:top w:val="nil"/>
              <w:left w:val="nil"/>
              <w:bottom w:val="nil"/>
              <w:right w:val="nil"/>
            </w:tcBorders>
            <w:vAlign w:val="center"/>
          </w:tcPr>
          <w:p>
            <w:pPr>
              <w:pStyle w:val="11"/>
            </w:pPr>
            <w:r>
              <w:t>Export size</w:t>
            </w:r>
          </w:p>
        </w:tc>
        <w:tc>
          <w:tcPr>
            <w:tcW w:w="1412" w:type="dxa"/>
            <w:tcBorders>
              <w:top w:val="nil"/>
              <w:left w:val="nil"/>
              <w:bottom w:val="nil"/>
              <w:right w:val="nil"/>
            </w:tcBorders>
            <w:vAlign w:val="center"/>
          </w:tcPr>
          <w:p>
            <w:pPr>
              <w:pStyle w:val="11"/>
            </w:pPr>
            <w:r>
              <w:t>15.318</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26.444</w:t>
            </w:r>
          </w:p>
        </w:tc>
        <w:tc>
          <w:tcPr>
            <w:tcW w:w="2080" w:type="dxa"/>
            <w:tcBorders>
              <w:top w:val="nil"/>
              <w:left w:val="nil"/>
              <w:bottom w:val="nil"/>
              <w:right w:val="nil"/>
            </w:tcBorders>
            <w:vAlign w:val="center"/>
          </w:tcPr>
          <w:p>
            <w:pPr>
              <w:pStyle w:val="11"/>
            </w:pPr>
            <w:r>
              <w:t>UN-Comtrade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Life</w:t>
            </w:r>
          </w:p>
        </w:tc>
        <w:tc>
          <w:tcPr>
            <w:tcW w:w="1701" w:type="dxa"/>
            <w:tcBorders>
              <w:top w:val="nil"/>
              <w:left w:val="nil"/>
              <w:bottom w:val="nil"/>
              <w:right w:val="nil"/>
            </w:tcBorders>
            <w:vAlign w:val="center"/>
          </w:tcPr>
          <w:p>
            <w:pPr>
              <w:pStyle w:val="11"/>
            </w:pPr>
            <w:r>
              <w:t>Life expectancy per capita</w:t>
            </w:r>
          </w:p>
        </w:tc>
        <w:tc>
          <w:tcPr>
            <w:tcW w:w="1412" w:type="dxa"/>
            <w:tcBorders>
              <w:top w:val="nil"/>
              <w:left w:val="nil"/>
              <w:bottom w:val="nil"/>
              <w:right w:val="nil"/>
            </w:tcBorders>
            <w:vAlign w:val="center"/>
          </w:tcPr>
          <w:p>
            <w:pPr>
              <w:pStyle w:val="11"/>
            </w:pPr>
            <w:r>
              <w:t>4.394</w:t>
            </w:r>
          </w:p>
        </w:tc>
        <w:tc>
          <w:tcPr>
            <w:tcW w:w="800" w:type="dxa"/>
            <w:tcBorders>
              <w:top w:val="nil"/>
              <w:left w:val="nil"/>
              <w:bottom w:val="nil"/>
              <w:right w:val="nil"/>
            </w:tcBorders>
            <w:vAlign w:val="center"/>
          </w:tcPr>
          <w:p>
            <w:pPr>
              <w:pStyle w:val="11"/>
            </w:pPr>
            <w:r>
              <w:t>3.954</w:t>
            </w:r>
          </w:p>
        </w:tc>
        <w:tc>
          <w:tcPr>
            <w:tcW w:w="953" w:type="dxa"/>
            <w:tcBorders>
              <w:top w:val="nil"/>
              <w:left w:val="nil"/>
              <w:bottom w:val="nil"/>
              <w:right w:val="nil"/>
            </w:tcBorders>
            <w:vAlign w:val="center"/>
          </w:tcPr>
          <w:p>
            <w:pPr>
              <w:pStyle w:val="11"/>
            </w:pPr>
            <w:r>
              <w:t>4.484</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Farm</w:t>
            </w:r>
          </w:p>
        </w:tc>
        <w:tc>
          <w:tcPr>
            <w:tcW w:w="1701" w:type="dxa"/>
            <w:tcBorders>
              <w:top w:val="nil"/>
              <w:left w:val="nil"/>
              <w:bottom w:val="nil"/>
              <w:right w:val="nil"/>
            </w:tcBorders>
            <w:vAlign w:val="center"/>
          </w:tcPr>
          <w:p>
            <w:pPr>
              <w:pStyle w:val="11"/>
            </w:pPr>
            <w:r>
              <w:t>Agricultural land area</w:t>
            </w:r>
          </w:p>
        </w:tc>
        <w:tc>
          <w:tcPr>
            <w:tcW w:w="1412" w:type="dxa"/>
            <w:tcBorders>
              <w:top w:val="nil"/>
              <w:left w:val="nil"/>
              <w:bottom w:val="nil"/>
              <w:right w:val="nil"/>
            </w:tcBorders>
            <w:vAlign w:val="center"/>
          </w:tcPr>
          <w:p>
            <w:pPr>
              <w:pStyle w:val="11"/>
            </w:pPr>
            <w:r>
              <w:t>2.465</w:t>
            </w:r>
          </w:p>
        </w:tc>
        <w:tc>
          <w:tcPr>
            <w:tcW w:w="800" w:type="dxa"/>
            <w:tcBorders>
              <w:top w:val="nil"/>
              <w:left w:val="nil"/>
              <w:bottom w:val="nil"/>
              <w:right w:val="nil"/>
            </w:tcBorders>
            <w:vAlign w:val="center"/>
          </w:tcPr>
          <w:p>
            <w:pPr>
              <w:pStyle w:val="11"/>
            </w:pPr>
            <w:r>
              <w:t>0.001</w:t>
            </w:r>
          </w:p>
        </w:tc>
        <w:tc>
          <w:tcPr>
            <w:tcW w:w="953" w:type="dxa"/>
            <w:tcBorders>
              <w:top w:val="nil"/>
              <w:left w:val="nil"/>
              <w:bottom w:val="nil"/>
              <w:right w:val="nil"/>
            </w:tcBorders>
            <w:vAlign w:val="center"/>
          </w:tcPr>
          <w:p>
            <w:pPr>
              <w:pStyle w:val="11"/>
            </w:pPr>
            <w:r>
              <w:t>6.272</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Inter</w:t>
            </w:r>
          </w:p>
        </w:tc>
        <w:tc>
          <w:tcPr>
            <w:tcW w:w="1701" w:type="dxa"/>
            <w:tcBorders>
              <w:top w:val="nil"/>
              <w:left w:val="nil"/>
              <w:bottom w:val="nil"/>
              <w:right w:val="nil"/>
            </w:tcBorders>
            <w:vAlign w:val="center"/>
          </w:tcPr>
          <w:p>
            <w:pPr>
              <w:pStyle w:val="11"/>
            </w:pPr>
            <w:r>
              <w:t>Level of internal conflict</w:t>
            </w:r>
          </w:p>
        </w:tc>
        <w:tc>
          <w:tcPr>
            <w:tcW w:w="1412" w:type="dxa"/>
            <w:tcBorders>
              <w:top w:val="nil"/>
              <w:left w:val="nil"/>
              <w:bottom w:val="nil"/>
              <w:right w:val="nil"/>
            </w:tcBorders>
            <w:vAlign w:val="center"/>
          </w:tcPr>
          <w:p>
            <w:pPr>
              <w:pStyle w:val="11"/>
            </w:pPr>
            <w:r>
              <w:t>2.341</w:t>
            </w:r>
          </w:p>
        </w:tc>
        <w:tc>
          <w:tcPr>
            <w:tcW w:w="800" w:type="dxa"/>
            <w:tcBorders>
              <w:top w:val="nil"/>
              <w:left w:val="nil"/>
              <w:bottom w:val="nil"/>
              <w:right w:val="nil"/>
            </w:tcBorders>
            <w:vAlign w:val="center"/>
          </w:tcPr>
          <w:p>
            <w:pPr>
              <w:pStyle w:val="11"/>
            </w:pPr>
            <w:r>
              <w:t>1.945</w:t>
            </w:r>
          </w:p>
        </w:tc>
        <w:tc>
          <w:tcPr>
            <w:tcW w:w="953" w:type="dxa"/>
            <w:tcBorders>
              <w:top w:val="nil"/>
              <w:left w:val="nil"/>
              <w:bottom w:val="nil"/>
              <w:right w:val="nil"/>
            </w:tcBorders>
            <w:vAlign w:val="center"/>
          </w:tcPr>
          <w:p>
            <w:pPr>
              <w:pStyle w:val="11"/>
            </w:pPr>
            <w:r>
              <w:t>2.564</w:t>
            </w:r>
          </w:p>
        </w:tc>
        <w:tc>
          <w:tcPr>
            <w:tcW w:w="2080" w:type="dxa"/>
            <w:tcBorders>
              <w:top w:val="nil"/>
              <w:left w:val="nil"/>
              <w:bottom w:val="nil"/>
              <w:right w:val="nil"/>
            </w:tcBorders>
            <w:vAlign w:val="center"/>
          </w:tcPr>
          <w:p>
            <w:pPr>
              <w:pStyle w:val="11"/>
            </w:pPr>
            <w:r>
              <w:t>ICRG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Exter</w:t>
            </w:r>
          </w:p>
        </w:tc>
        <w:tc>
          <w:tcPr>
            <w:tcW w:w="1701" w:type="dxa"/>
            <w:tcBorders>
              <w:top w:val="nil"/>
              <w:left w:val="nil"/>
              <w:bottom w:val="nil"/>
              <w:right w:val="nil"/>
            </w:tcBorders>
            <w:vAlign w:val="center"/>
          </w:tcPr>
          <w:p>
            <w:pPr>
              <w:pStyle w:val="11"/>
            </w:pPr>
            <w:r>
              <w:t>Level of external conflict</w:t>
            </w:r>
          </w:p>
        </w:tc>
        <w:tc>
          <w:tcPr>
            <w:tcW w:w="1412" w:type="dxa"/>
            <w:tcBorders>
              <w:top w:val="nil"/>
              <w:left w:val="nil"/>
              <w:bottom w:val="nil"/>
              <w:right w:val="nil"/>
            </w:tcBorders>
            <w:vAlign w:val="center"/>
          </w:tcPr>
          <w:p>
            <w:pPr>
              <w:pStyle w:val="11"/>
            </w:pPr>
            <w:r>
              <w:t>2.390</w:t>
            </w:r>
          </w:p>
        </w:tc>
        <w:tc>
          <w:tcPr>
            <w:tcW w:w="800" w:type="dxa"/>
            <w:tcBorders>
              <w:top w:val="nil"/>
              <w:left w:val="nil"/>
              <w:bottom w:val="nil"/>
              <w:right w:val="nil"/>
            </w:tcBorders>
            <w:vAlign w:val="center"/>
          </w:tcPr>
          <w:p>
            <w:pPr>
              <w:pStyle w:val="11"/>
            </w:pPr>
            <w:r>
              <w:t>1.871</w:t>
            </w:r>
          </w:p>
        </w:tc>
        <w:tc>
          <w:tcPr>
            <w:tcW w:w="953" w:type="dxa"/>
            <w:tcBorders>
              <w:top w:val="nil"/>
              <w:left w:val="nil"/>
              <w:bottom w:val="nil"/>
              <w:right w:val="nil"/>
            </w:tcBorders>
            <w:vAlign w:val="center"/>
          </w:tcPr>
          <w:p>
            <w:pPr>
              <w:pStyle w:val="11"/>
            </w:pPr>
            <w:r>
              <w:t>2.564</w:t>
            </w:r>
          </w:p>
        </w:tc>
        <w:tc>
          <w:tcPr>
            <w:tcW w:w="2080" w:type="dxa"/>
            <w:tcBorders>
              <w:top w:val="nil"/>
              <w:left w:val="nil"/>
              <w:bottom w:val="nil"/>
              <w:right w:val="nil"/>
            </w:tcBorders>
            <w:vAlign w:val="center"/>
          </w:tcPr>
          <w:p>
            <w:pPr>
              <w:pStyle w:val="11"/>
            </w:pPr>
            <w:r>
              <w:t>ICRG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Mili</w:t>
            </w:r>
          </w:p>
        </w:tc>
        <w:tc>
          <w:tcPr>
            <w:tcW w:w="1701" w:type="dxa"/>
            <w:tcBorders>
              <w:top w:val="nil"/>
              <w:left w:val="nil"/>
              <w:bottom w:val="nil"/>
              <w:right w:val="nil"/>
            </w:tcBorders>
            <w:vAlign w:val="center"/>
          </w:tcPr>
          <w:p>
            <w:pPr>
              <w:pStyle w:val="11"/>
            </w:pPr>
            <w:r>
              <w:t>Level of government militarization</w:t>
            </w:r>
          </w:p>
        </w:tc>
        <w:tc>
          <w:tcPr>
            <w:tcW w:w="1412" w:type="dxa"/>
            <w:tcBorders>
              <w:top w:val="nil"/>
              <w:left w:val="nil"/>
              <w:bottom w:val="nil"/>
              <w:right w:val="nil"/>
            </w:tcBorders>
            <w:vAlign w:val="center"/>
          </w:tcPr>
          <w:p>
            <w:pPr>
              <w:pStyle w:val="11"/>
            </w:pPr>
            <w:r>
              <w:t>1.749</w:t>
            </w:r>
          </w:p>
        </w:tc>
        <w:tc>
          <w:tcPr>
            <w:tcW w:w="800" w:type="dxa"/>
            <w:tcBorders>
              <w:top w:val="nil"/>
              <w:left w:val="nil"/>
              <w:bottom w:val="nil"/>
              <w:right w:val="nil"/>
            </w:tcBorders>
            <w:vAlign w:val="center"/>
          </w:tcPr>
          <w:p>
            <w:pPr>
              <w:pStyle w:val="11"/>
            </w:pPr>
            <w:r>
              <w:t>0.982</w:t>
            </w:r>
          </w:p>
        </w:tc>
        <w:tc>
          <w:tcPr>
            <w:tcW w:w="953" w:type="dxa"/>
            <w:tcBorders>
              <w:top w:val="nil"/>
              <w:left w:val="nil"/>
              <w:bottom w:val="nil"/>
              <w:right w:val="nil"/>
            </w:tcBorders>
            <w:vAlign w:val="center"/>
          </w:tcPr>
          <w:p>
            <w:pPr>
              <w:pStyle w:val="11"/>
            </w:pPr>
            <w:r>
              <w:t>1.945</w:t>
            </w:r>
          </w:p>
        </w:tc>
        <w:tc>
          <w:tcPr>
            <w:tcW w:w="2080" w:type="dxa"/>
            <w:tcBorders>
              <w:top w:val="nil"/>
              <w:left w:val="nil"/>
              <w:bottom w:val="nil"/>
              <w:right w:val="nil"/>
            </w:tcBorders>
            <w:vAlign w:val="center"/>
          </w:tcPr>
          <w:p>
            <w:pPr>
              <w:pStyle w:val="11"/>
            </w:pPr>
            <w:r>
              <w:t>ICRG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Reli</w:t>
            </w:r>
          </w:p>
        </w:tc>
        <w:tc>
          <w:tcPr>
            <w:tcW w:w="1701" w:type="dxa"/>
            <w:tcBorders>
              <w:top w:val="nil"/>
              <w:left w:val="nil"/>
              <w:bottom w:val="nil"/>
              <w:right w:val="nil"/>
            </w:tcBorders>
            <w:vAlign w:val="center"/>
          </w:tcPr>
          <w:p>
            <w:pPr>
              <w:pStyle w:val="11"/>
            </w:pPr>
            <w:r>
              <w:t>Level of religious conflict</w:t>
            </w:r>
          </w:p>
        </w:tc>
        <w:tc>
          <w:tcPr>
            <w:tcW w:w="1412" w:type="dxa"/>
            <w:tcBorders>
              <w:top w:val="nil"/>
              <w:left w:val="nil"/>
              <w:bottom w:val="nil"/>
              <w:right w:val="nil"/>
            </w:tcBorders>
            <w:vAlign w:val="center"/>
          </w:tcPr>
          <w:p>
            <w:pPr>
              <w:pStyle w:val="11"/>
            </w:pPr>
            <w:r>
              <w:t>1.715</w:t>
            </w:r>
          </w:p>
        </w:tc>
        <w:tc>
          <w:tcPr>
            <w:tcW w:w="800" w:type="dxa"/>
            <w:tcBorders>
              <w:top w:val="nil"/>
              <w:left w:val="nil"/>
              <w:bottom w:val="nil"/>
              <w:right w:val="nil"/>
            </w:tcBorders>
            <w:vAlign w:val="center"/>
          </w:tcPr>
          <w:p>
            <w:pPr>
              <w:pStyle w:val="11"/>
            </w:pPr>
            <w:r>
              <w:t>0.693</w:t>
            </w:r>
          </w:p>
        </w:tc>
        <w:tc>
          <w:tcPr>
            <w:tcW w:w="953" w:type="dxa"/>
            <w:tcBorders>
              <w:top w:val="nil"/>
              <w:left w:val="nil"/>
              <w:bottom w:val="nil"/>
              <w:right w:val="nil"/>
            </w:tcBorders>
            <w:vAlign w:val="center"/>
          </w:tcPr>
          <w:p>
            <w:pPr>
              <w:pStyle w:val="11"/>
            </w:pPr>
            <w:r>
              <w:t>1.945</w:t>
            </w:r>
          </w:p>
        </w:tc>
        <w:tc>
          <w:tcPr>
            <w:tcW w:w="2080" w:type="dxa"/>
            <w:tcBorders>
              <w:top w:val="nil"/>
              <w:left w:val="nil"/>
              <w:bottom w:val="nil"/>
              <w:right w:val="nil"/>
            </w:tcBorders>
            <w:vAlign w:val="center"/>
          </w:tcPr>
          <w:p>
            <w:pPr>
              <w:pStyle w:val="11"/>
            </w:pPr>
            <w:r>
              <w:t>ICRG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Law</w:t>
            </w:r>
          </w:p>
        </w:tc>
        <w:tc>
          <w:tcPr>
            <w:tcW w:w="1701" w:type="dxa"/>
            <w:tcBorders>
              <w:top w:val="nil"/>
              <w:left w:val="nil"/>
              <w:bottom w:val="nil"/>
              <w:right w:val="nil"/>
            </w:tcBorders>
            <w:vAlign w:val="center"/>
          </w:tcPr>
          <w:p>
            <w:pPr>
              <w:pStyle w:val="11"/>
            </w:pPr>
            <w:r>
              <w:t>Level of legal system</w:t>
            </w:r>
          </w:p>
        </w:tc>
        <w:tc>
          <w:tcPr>
            <w:tcW w:w="1412" w:type="dxa"/>
            <w:tcBorders>
              <w:top w:val="nil"/>
              <w:left w:val="nil"/>
              <w:bottom w:val="nil"/>
              <w:right w:val="nil"/>
            </w:tcBorders>
            <w:vAlign w:val="center"/>
          </w:tcPr>
          <w:p>
            <w:pPr>
              <w:pStyle w:val="11"/>
            </w:pPr>
            <w:r>
              <w:t>1.672</w:t>
            </w:r>
          </w:p>
        </w:tc>
        <w:tc>
          <w:tcPr>
            <w:tcW w:w="800" w:type="dxa"/>
            <w:tcBorders>
              <w:top w:val="nil"/>
              <w:left w:val="nil"/>
              <w:bottom w:val="nil"/>
              <w:right w:val="nil"/>
            </w:tcBorders>
            <w:vAlign w:val="center"/>
          </w:tcPr>
          <w:p>
            <w:pPr>
              <w:pStyle w:val="11"/>
            </w:pPr>
            <w:r>
              <w:t>0.916</w:t>
            </w:r>
          </w:p>
        </w:tc>
        <w:tc>
          <w:tcPr>
            <w:tcW w:w="953" w:type="dxa"/>
            <w:tcBorders>
              <w:top w:val="nil"/>
              <w:left w:val="nil"/>
              <w:bottom w:val="nil"/>
              <w:right w:val="nil"/>
            </w:tcBorders>
            <w:vAlign w:val="center"/>
          </w:tcPr>
          <w:p>
            <w:pPr>
              <w:pStyle w:val="11"/>
            </w:pPr>
            <w:r>
              <w:t>1.945</w:t>
            </w:r>
          </w:p>
        </w:tc>
        <w:tc>
          <w:tcPr>
            <w:tcW w:w="2080" w:type="dxa"/>
            <w:tcBorders>
              <w:top w:val="nil"/>
              <w:left w:val="nil"/>
              <w:bottom w:val="nil"/>
              <w:right w:val="nil"/>
            </w:tcBorders>
            <w:vAlign w:val="center"/>
          </w:tcPr>
          <w:p>
            <w:pPr>
              <w:pStyle w:val="11"/>
            </w:pPr>
            <w:r>
              <w:t>ICRG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Trade_con</w:t>
            </w:r>
          </w:p>
        </w:tc>
        <w:tc>
          <w:tcPr>
            <w:tcW w:w="1701" w:type="dxa"/>
            <w:tcBorders>
              <w:top w:val="nil"/>
              <w:left w:val="nil"/>
              <w:bottom w:val="nil"/>
              <w:right w:val="nil"/>
            </w:tcBorders>
            <w:vAlign w:val="center"/>
          </w:tcPr>
          <w:p>
            <w:pPr>
              <w:pStyle w:val="11"/>
            </w:pPr>
            <w:r>
              <w:t>Net terms-of-trade index</w:t>
            </w:r>
          </w:p>
        </w:tc>
        <w:tc>
          <w:tcPr>
            <w:tcW w:w="1412" w:type="dxa"/>
            <w:tcBorders>
              <w:top w:val="nil"/>
              <w:left w:val="nil"/>
              <w:bottom w:val="nil"/>
              <w:right w:val="nil"/>
            </w:tcBorders>
            <w:vAlign w:val="center"/>
          </w:tcPr>
          <w:p>
            <w:pPr>
              <w:pStyle w:val="11"/>
            </w:pPr>
            <w:r>
              <w:t>4.678</w:t>
            </w:r>
          </w:p>
        </w:tc>
        <w:tc>
          <w:tcPr>
            <w:tcW w:w="800" w:type="dxa"/>
            <w:tcBorders>
              <w:top w:val="nil"/>
              <w:left w:val="nil"/>
              <w:bottom w:val="nil"/>
              <w:right w:val="nil"/>
            </w:tcBorders>
            <w:vAlign w:val="center"/>
          </w:tcPr>
          <w:p>
            <w:pPr>
              <w:pStyle w:val="11"/>
            </w:pPr>
            <w:r>
              <w:t>3.925</w:t>
            </w:r>
          </w:p>
        </w:tc>
        <w:tc>
          <w:tcPr>
            <w:tcW w:w="953" w:type="dxa"/>
            <w:tcBorders>
              <w:top w:val="nil"/>
              <w:left w:val="nil"/>
              <w:bottom w:val="nil"/>
              <w:right w:val="nil"/>
            </w:tcBorders>
            <w:vAlign w:val="center"/>
          </w:tcPr>
          <w:p>
            <w:pPr>
              <w:pStyle w:val="11"/>
            </w:pPr>
            <w:r>
              <w:t>5.432</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pop</w:t>
            </w:r>
          </w:p>
        </w:tc>
        <w:tc>
          <w:tcPr>
            <w:tcW w:w="1701" w:type="dxa"/>
            <w:tcBorders>
              <w:top w:val="nil"/>
              <w:left w:val="nil"/>
              <w:bottom w:val="nil"/>
              <w:right w:val="nil"/>
            </w:tcBorders>
            <w:vAlign w:val="center"/>
          </w:tcPr>
          <w:p>
            <w:pPr>
              <w:pStyle w:val="11"/>
            </w:pPr>
            <w:r>
              <w:t>Pupolation size</w:t>
            </w:r>
          </w:p>
        </w:tc>
        <w:tc>
          <w:tcPr>
            <w:tcW w:w="1412" w:type="dxa"/>
            <w:tcBorders>
              <w:top w:val="nil"/>
              <w:left w:val="nil"/>
              <w:bottom w:val="nil"/>
              <w:right w:val="nil"/>
            </w:tcBorders>
            <w:vAlign w:val="center"/>
          </w:tcPr>
          <w:p>
            <w:pPr>
              <w:pStyle w:val="11"/>
            </w:pPr>
            <w:r>
              <w:t>16.863</w:t>
            </w:r>
          </w:p>
        </w:tc>
        <w:tc>
          <w:tcPr>
            <w:tcW w:w="800" w:type="dxa"/>
            <w:tcBorders>
              <w:top w:val="nil"/>
              <w:left w:val="nil"/>
              <w:bottom w:val="nil"/>
              <w:right w:val="nil"/>
            </w:tcBorders>
            <w:vAlign w:val="center"/>
          </w:tcPr>
          <w:p>
            <w:pPr>
              <w:pStyle w:val="11"/>
            </w:pPr>
            <w:r>
              <w:t>12.669</w:t>
            </w:r>
          </w:p>
        </w:tc>
        <w:tc>
          <w:tcPr>
            <w:tcW w:w="953" w:type="dxa"/>
            <w:tcBorders>
              <w:top w:val="nil"/>
              <w:left w:val="nil"/>
              <w:bottom w:val="nil"/>
              <w:right w:val="nil"/>
            </w:tcBorders>
            <w:vAlign w:val="center"/>
          </w:tcPr>
          <w:p>
            <w:pPr>
              <w:pStyle w:val="11"/>
            </w:pPr>
            <w:r>
              <w:t>21.049</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lab</w:t>
            </w:r>
          </w:p>
        </w:tc>
        <w:tc>
          <w:tcPr>
            <w:tcW w:w="1701" w:type="dxa"/>
            <w:tcBorders>
              <w:top w:val="nil"/>
              <w:left w:val="nil"/>
              <w:bottom w:val="nil"/>
              <w:right w:val="nil"/>
            </w:tcBorders>
            <w:vAlign w:val="center"/>
          </w:tcPr>
          <w:p>
            <w:pPr>
              <w:pStyle w:val="11"/>
            </w:pPr>
            <w:r>
              <w:t>Labor productivity</w:t>
            </w:r>
          </w:p>
        </w:tc>
        <w:tc>
          <w:tcPr>
            <w:tcW w:w="1412" w:type="dxa"/>
            <w:tcBorders>
              <w:top w:val="nil"/>
              <w:left w:val="nil"/>
              <w:bottom w:val="nil"/>
              <w:right w:val="nil"/>
            </w:tcBorders>
            <w:vAlign w:val="center"/>
          </w:tcPr>
          <w:p>
            <w:pPr>
              <w:pStyle w:val="11"/>
            </w:pPr>
            <w:r>
              <w:t>10.691</w:t>
            </w:r>
          </w:p>
        </w:tc>
        <w:tc>
          <w:tcPr>
            <w:tcW w:w="800" w:type="dxa"/>
            <w:tcBorders>
              <w:top w:val="nil"/>
              <w:left w:val="nil"/>
              <w:bottom w:val="nil"/>
              <w:right w:val="nil"/>
            </w:tcBorders>
            <w:vAlign w:val="center"/>
          </w:tcPr>
          <w:p>
            <w:pPr>
              <w:pStyle w:val="11"/>
            </w:pPr>
            <w:r>
              <w:t>7.700</w:t>
            </w:r>
          </w:p>
        </w:tc>
        <w:tc>
          <w:tcPr>
            <w:tcW w:w="953" w:type="dxa"/>
            <w:tcBorders>
              <w:top w:val="nil"/>
              <w:left w:val="nil"/>
              <w:bottom w:val="nil"/>
              <w:right w:val="nil"/>
            </w:tcBorders>
            <w:vAlign w:val="center"/>
          </w:tcPr>
          <w:p>
            <w:pPr>
              <w:pStyle w:val="11"/>
            </w:pPr>
            <w:r>
              <w:t>12.370</w:t>
            </w:r>
          </w:p>
        </w:tc>
        <w:tc>
          <w:tcPr>
            <w:tcW w:w="2080" w:type="dxa"/>
            <w:tcBorders>
              <w:top w:val="nil"/>
              <w:left w:val="nil"/>
              <w:bottom w:val="nil"/>
              <w:right w:val="nil"/>
            </w:tcBorders>
            <w:vAlign w:val="center"/>
          </w:tcPr>
          <w:p>
            <w:pPr>
              <w:pStyle w:val="11"/>
            </w:pPr>
            <w:r>
              <w:t>The Conference Board Total Economy Database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pPr>
            <w:r>
              <w:rPr>
                <w:i/>
                <w:iCs/>
              </w:rPr>
              <w:t>Adv</w:t>
            </w:r>
          </w:p>
        </w:tc>
        <w:tc>
          <w:tcPr>
            <w:tcW w:w="1701" w:type="dxa"/>
            <w:tcBorders>
              <w:top w:val="nil"/>
              <w:left w:val="nil"/>
              <w:bottom w:val="nil"/>
              <w:right w:val="nil"/>
            </w:tcBorders>
            <w:vAlign w:val="center"/>
          </w:tcPr>
          <w:p>
            <w:pPr>
              <w:pStyle w:val="11"/>
            </w:pPr>
            <w:r>
              <w:t>Comparative advantage of product exports</w:t>
            </w:r>
          </w:p>
        </w:tc>
        <w:tc>
          <w:tcPr>
            <w:tcW w:w="1412" w:type="dxa"/>
            <w:tcBorders>
              <w:top w:val="nil"/>
              <w:left w:val="nil"/>
              <w:bottom w:val="nil"/>
              <w:right w:val="nil"/>
            </w:tcBorders>
            <w:vAlign w:val="center"/>
          </w:tcPr>
          <w:p>
            <w:pPr>
              <w:pStyle w:val="11"/>
            </w:pPr>
            <w:r>
              <w:t>5.242</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16.644</w:t>
            </w:r>
          </w:p>
        </w:tc>
        <w:tc>
          <w:tcPr>
            <w:tcW w:w="2080" w:type="dxa"/>
            <w:tcBorders>
              <w:top w:val="nil"/>
              <w:left w:val="nil"/>
              <w:bottom w:val="nil"/>
              <w:right w:val="nil"/>
            </w:tcBorders>
            <w:vAlign w:val="center"/>
          </w:tcPr>
          <w:p>
            <w:pPr>
              <w:pStyle w:val="11"/>
            </w:pPr>
            <w:r>
              <w:t>Calculate manually</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Price</w:t>
            </w:r>
          </w:p>
        </w:tc>
        <w:tc>
          <w:tcPr>
            <w:tcW w:w="1701" w:type="dxa"/>
            <w:tcBorders>
              <w:top w:val="nil"/>
              <w:left w:val="nil"/>
              <w:bottom w:val="nil"/>
              <w:right w:val="nil"/>
            </w:tcBorders>
            <w:vAlign w:val="center"/>
          </w:tcPr>
          <w:p>
            <w:pPr>
              <w:pStyle w:val="11"/>
            </w:pPr>
            <w:r>
              <w:t>Product export price</w:t>
            </w:r>
          </w:p>
        </w:tc>
        <w:tc>
          <w:tcPr>
            <w:tcW w:w="1412" w:type="dxa"/>
            <w:tcBorders>
              <w:top w:val="nil"/>
              <w:left w:val="nil"/>
              <w:bottom w:val="nil"/>
              <w:right w:val="nil"/>
            </w:tcBorders>
            <w:vAlign w:val="center"/>
          </w:tcPr>
          <w:p>
            <w:pPr>
              <w:pStyle w:val="11"/>
            </w:pPr>
            <w:r>
              <w:t>1.457</w:t>
            </w:r>
          </w:p>
        </w:tc>
        <w:tc>
          <w:tcPr>
            <w:tcW w:w="800" w:type="dxa"/>
            <w:tcBorders>
              <w:top w:val="nil"/>
              <w:left w:val="nil"/>
              <w:bottom w:val="nil"/>
              <w:right w:val="nil"/>
            </w:tcBorders>
            <w:vAlign w:val="center"/>
          </w:tcPr>
          <w:p>
            <w:pPr>
              <w:pStyle w:val="11"/>
            </w:pPr>
            <w:r>
              <w:t>0.000</w:t>
            </w:r>
          </w:p>
        </w:tc>
        <w:tc>
          <w:tcPr>
            <w:tcW w:w="953" w:type="dxa"/>
            <w:tcBorders>
              <w:top w:val="nil"/>
              <w:left w:val="nil"/>
              <w:bottom w:val="nil"/>
              <w:right w:val="nil"/>
            </w:tcBorders>
            <w:vAlign w:val="center"/>
          </w:tcPr>
          <w:p>
            <w:pPr>
              <w:pStyle w:val="11"/>
            </w:pPr>
            <w:r>
              <w:t>19.308</w:t>
            </w:r>
          </w:p>
        </w:tc>
        <w:tc>
          <w:tcPr>
            <w:tcW w:w="2080" w:type="dxa"/>
            <w:tcBorders>
              <w:top w:val="nil"/>
              <w:left w:val="nil"/>
              <w:bottom w:val="nil"/>
              <w:right w:val="nil"/>
            </w:tcBorders>
            <w:vAlign w:val="center"/>
          </w:tcPr>
          <w:p>
            <w:pPr>
              <w:pStyle w:val="11"/>
            </w:pPr>
            <w:r>
              <w:t>UN-Comtrade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nil"/>
              <w:right w:val="nil"/>
            </w:tcBorders>
            <w:vAlign w:val="center"/>
          </w:tcPr>
          <w:p>
            <w:pPr>
              <w:pStyle w:val="11"/>
              <w:rPr>
                <w:i/>
                <w:iCs/>
              </w:rPr>
            </w:pPr>
            <w:r>
              <w:rPr>
                <w:i/>
                <w:iCs/>
              </w:rPr>
              <w:t>Exp</w:t>
            </w:r>
          </w:p>
        </w:tc>
        <w:tc>
          <w:tcPr>
            <w:tcW w:w="1701" w:type="dxa"/>
            <w:tcBorders>
              <w:top w:val="nil"/>
              <w:left w:val="nil"/>
              <w:bottom w:val="nil"/>
              <w:right w:val="nil"/>
            </w:tcBorders>
            <w:vAlign w:val="center"/>
          </w:tcPr>
          <w:p>
            <w:pPr>
              <w:pStyle w:val="11"/>
            </w:pPr>
            <w:r>
              <w:t>Export Value Index (Country)</w:t>
            </w:r>
          </w:p>
        </w:tc>
        <w:tc>
          <w:tcPr>
            <w:tcW w:w="1412" w:type="dxa"/>
            <w:tcBorders>
              <w:top w:val="nil"/>
              <w:left w:val="nil"/>
              <w:bottom w:val="nil"/>
              <w:right w:val="nil"/>
            </w:tcBorders>
            <w:vAlign w:val="center"/>
          </w:tcPr>
          <w:p>
            <w:pPr>
              <w:pStyle w:val="11"/>
            </w:pPr>
            <w:r>
              <w:t>5.721</w:t>
            </w:r>
          </w:p>
        </w:tc>
        <w:tc>
          <w:tcPr>
            <w:tcW w:w="800" w:type="dxa"/>
            <w:tcBorders>
              <w:top w:val="nil"/>
              <w:left w:val="nil"/>
              <w:bottom w:val="nil"/>
              <w:right w:val="nil"/>
            </w:tcBorders>
            <w:vAlign w:val="center"/>
          </w:tcPr>
          <w:p>
            <w:pPr>
              <w:pStyle w:val="11"/>
            </w:pPr>
            <w:r>
              <w:t>4.634</w:t>
            </w:r>
          </w:p>
        </w:tc>
        <w:tc>
          <w:tcPr>
            <w:tcW w:w="953" w:type="dxa"/>
            <w:tcBorders>
              <w:top w:val="nil"/>
              <w:left w:val="nil"/>
              <w:bottom w:val="nil"/>
              <w:right w:val="nil"/>
            </w:tcBorders>
            <w:vAlign w:val="center"/>
          </w:tcPr>
          <w:p>
            <w:pPr>
              <w:pStyle w:val="11"/>
            </w:pPr>
            <w:r>
              <w:t>7.304</w:t>
            </w:r>
          </w:p>
        </w:tc>
        <w:tc>
          <w:tcPr>
            <w:tcW w:w="2080" w:type="dxa"/>
            <w:tcBorders>
              <w:top w:val="nil"/>
              <w:left w:val="nil"/>
              <w:bottom w:val="nil"/>
              <w:right w:val="nil"/>
            </w:tcBorders>
            <w:vAlign w:val="center"/>
          </w:tcPr>
          <w:p>
            <w:pPr>
              <w:pStyle w:val="11"/>
            </w:pPr>
            <w:r>
              <w:t>World Bank</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tcBorders>
              <w:top w:val="nil"/>
              <w:left w:val="nil"/>
              <w:bottom w:val="single" w:color="auto" w:sz="4" w:space="0"/>
              <w:right w:val="nil"/>
            </w:tcBorders>
            <w:vAlign w:val="center"/>
          </w:tcPr>
          <w:p>
            <w:pPr>
              <w:pStyle w:val="11"/>
              <w:rPr>
                <w:i/>
                <w:iCs/>
              </w:rPr>
            </w:pPr>
            <w:r>
              <w:rPr>
                <w:i/>
                <w:iCs/>
              </w:rPr>
              <w:t>Job</w:t>
            </w:r>
          </w:p>
        </w:tc>
        <w:tc>
          <w:tcPr>
            <w:tcW w:w="1701" w:type="dxa"/>
            <w:tcBorders>
              <w:top w:val="nil"/>
              <w:left w:val="nil"/>
              <w:bottom w:val="single" w:color="auto" w:sz="4" w:space="0"/>
              <w:right w:val="nil"/>
            </w:tcBorders>
            <w:vAlign w:val="center"/>
          </w:tcPr>
          <w:p>
            <w:pPr>
              <w:pStyle w:val="11"/>
            </w:pPr>
            <w:r>
              <w:t>Unemployment rate</w:t>
            </w:r>
          </w:p>
        </w:tc>
        <w:tc>
          <w:tcPr>
            <w:tcW w:w="1412" w:type="dxa"/>
            <w:tcBorders>
              <w:top w:val="nil"/>
              <w:left w:val="nil"/>
              <w:bottom w:val="single" w:color="auto" w:sz="4" w:space="0"/>
              <w:right w:val="nil"/>
            </w:tcBorders>
            <w:vAlign w:val="center"/>
          </w:tcPr>
          <w:p>
            <w:pPr>
              <w:pStyle w:val="11"/>
            </w:pPr>
            <w:r>
              <w:t>2.121</w:t>
            </w:r>
          </w:p>
        </w:tc>
        <w:tc>
          <w:tcPr>
            <w:tcW w:w="800" w:type="dxa"/>
            <w:tcBorders>
              <w:top w:val="nil"/>
              <w:left w:val="nil"/>
              <w:bottom w:val="single" w:color="auto" w:sz="4" w:space="0"/>
              <w:right w:val="nil"/>
            </w:tcBorders>
            <w:vAlign w:val="center"/>
          </w:tcPr>
          <w:p>
            <w:pPr>
              <w:pStyle w:val="11"/>
            </w:pPr>
            <w:r>
              <w:t>0.760</w:t>
            </w:r>
          </w:p>
        </w:tc>
        <w:tc>
          <w:tcPr>
            <w:tcW w:w="953" w:type="dxa"/>
            <w:tcBorders>
              <w:top w:val="nil"/>
              <w:left w:val="nil"/>
              <w:bottom w:val="single" w:color="auto" w:sz="4" w:space="0"/>
              <w:right w:val="nil"/>
            </w:tcBorders>
            <w:vAlign w:val="center"/>
          </w:tcPr>
          <w:p>
            <w:pPr>
              <w:pStyle w:val="11"/>
            </w:pPr>
            <w:r>
              <w:t>3.383</w:t>
            </w:r>
          </w:p>
        </w:tc>
        <w:tc>
          <w:tcPr>
            <w:tcW w:w="2080" w:type="dxa"/>
            <w:tcBorders>
              <w:top w:val="nil"/>
              <w:left w:val="nil"/>
              <w:bottom w:val="single" w:color="auto" w:sz="4" w:space="0"/>
              <w:right w:val="nil"/>
            </w:tcBorders>
            <w:vAlign w:val="center"/>
          </w:tcPr>
          <w:p>
            <w:pPr>
              <w:pStyle w:val="11"/>
            </w:pPr>
            <w:r>
              <w:t>World Bank</w:t>
            </w:r>
          </w:p>
        </w:tc>
      </w:tr>
    </w:tbl>
    <w:p/>
    <w:p>
      <w:pPr>
        <w:pStyle w:val="13"/>
      </w:pPr>
      <w:r>
        <w:t>Table A2 Include extensive control variables and change sample classification criteria</w:t>
      </w:r>
    </w:p>
    <w:tbl>
      <w:tblPr>
        <w:tblStyle w:val="5"/>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0"/>
        <w:gridCol w:w="1233"/>
        <w:gridCol w:w="1234"/>
        <w:gridCol w:w="1234"/>
        <w:gridCol w:w="1233"/>
        <w:gridCol w:w="1234"/>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tcBorders>
              <w:top w:val="single" w:color="auto" w:sz="4" w:space="0"/>
            </w:tcBorders>
            <w:vAlign w:val="center"/>
          </w:tcPr>
          <w:p>
            <w:pPr>
              <w:pStyle w:val="11"/>
            </w:pPr>
          </w:p>
        </w:tc>
        <w:tc>
          <w:tcPr>
            <w:tcW w:w="1233" w:type="dxa"/>
            <w:tcBorders>
              <w:top w:val="single" w:color="auto" w:sz="4" w:space="0"/>
            </w:tcBorders>
            <w:vAlign w:val="center"/>
          </w:tcPr>
          <w:p>
            <w:pPr>
              <w:pStyle w:val="11"/>
            </w:pPr>
            <w:r>
              <w:t>(1)</w:t>
            </w:r>
          </w:p>
        </w:tc>
        <w:tc>
          <w:tcPr>
            <w:tcW w:w="1234" w:type="dxa"/>
            <w:tcBorders>
              <w:top w:val="single" w:color="auto" w:sz="4" w:space="0"/>
            </w:tcBorders>
            <w:vAlign w:val="center"/>
          </w:tcPr>
          <w:p>
            <w:pPr>
              <w:pStyle w:val="11"/>
            </w:pPr>
            <w:r>
              <w:t>(2)</w:t>
            </w:r>
          </w:p>
        </w:tc>
        <w:tc>
          <w:tcPr>
            <w:tcW w:w="1234" w:type="dxa"/>
            <w:tcBorders>
              <w:top w:val="single" w:color="auto" w:sz="4" w:space="0"/>
            </w:tcBorders>
            <w:vAlign w:val="center"/>
          </w:tcPr>
          <w:p>
            <w:pPr>
              <w:pStyle w:val="11"/>
            </w:pPr>
            <w:r>
              <w:t>(3)</w:t>
            </w:r>
          </w:p>
        </w:tc>
        <w:tc>
          <w:tcPr>
            <w:tcW w:w="1233" w:type="dxa"/>
            <w:tcBorders>
              <w:top w:val="single" w:color="auto" w:sz="4" w:space="0"/>
            </w:tcBorders>
            <w:vAlign w:val="center"/>
          </w:tcPr>
          <w:p>
            <w:pPr>
              <w:pStyle w:val="11"/>
            </w:pPr>
            <w:r>
              <w:t>(4)</w:t>
            </w:r>
          </w:p>
        </w:tc>
        <w:tc>
          <w:tcPr>
            <w:tcW w:w="1234" w:type="dxa"/>
            <w:tcBorders>
              <w:top w:val="single" w:color="auto" w:sz="4" w:space="0"/>
            </w:tcBorders>
            <w:vAlign w:val="center"/>
          </w:tcPr>
          <w:p>
            <w:pPr>
              <w:pStyle w:val="11"/>
            </w:pPr>
            <w:r>
              <w:t>(5)</w:t>
            </w:r>
          </w:p>
        </w:tc>
        <w:tc>
          <w:tcPr>
            <w:tcW w:w="1234" w:type="dxa"/>
            <w:tcBorders>
              <w:top w:val="single" w:color="auto" w:sz="4" w:space="0"/>
            </w:tcBorders>
            <w:vAlign w:val="center"/>
          </w:tcPr>
          <w:p>
            <w:pPr>
              <w:pStyle w:val="11"/>
            </w:pPr>
            <w: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tcBorders>
              <w:bottom w:val="nil"/>
            </w:tcBorders>
            <w:vAlign w:val="center"/>
          </w:tcPr>
          <w:p>
            <w:pPr>
              <w:pStyle w:val="11"/>
            </w:pPr>
          </w:p>
        </w:tc>
        <w:tc>
          <w:tcPr>
            <w:tcW w:w="1233" w:type="dxa"/>
            <w:tcBorders>
              <w:bottom w:val="nil"/>
            </w:tcBorders>
            <w:vAlign w:val="center"/>
          </w:tcPr>
          <w:p>
            <w:pPr>
              <w:pStyle w:val="11"/>
            </w:pPr>
            <w:r>
              <w:t>Developing countries</w:t>
            </w:r>
          </w:p>
        </w:tc>
        <w:tc>
          <w:tcPr>
            <w:tcW w:w="1234" w:type="dxa"/>
            <w:tcBorders>
              <w:bottom w:val="nil"/>
            </w:tcBorders>
            <w:vAlign w:val="center"/>
          </w:tcPr>
          <w:p>
            <w:pPr>
              <w:pStyle w:val="11"/>
            </w:pPr>
            <w:r>
              <w:t>Developed countries</w:t>
            </w:r>
          </w:p>
        </w:tc>
        <w:tc>
          <w:tcPr>
            <w:tcW w:w="1234" w:type="dxa"/>
            <w:tcBorders>
              <w:bottom w:val="nil"/>
            </w:tcBorders>
            <w:vAlign w:val="center"/>
          </w:tcPr>
          <w:p>
            <w:pPr>
              <w:pStyle w:val="11"/>
            </w:pPr>
            <w:r>
              <w:t>Developing countries</w:t>
            </w:r>
          </w:p>
        </w:tc>
        <w:tc>
          <w:tcPr>
            <w:tcW w:w="1233" w:type="dxa"/>
            <w:tcBorders>
              <w:bottom w:val="nil"/>
            </w:tcBorders>
            <w:vAlign w:val="center"/>
          </w:tcPr>
          <w:p>
            <w:pPr>
              <w:pStyle w:val="11"/>
            </w:pPr>
            <w:r>
              <w:t>Developed countries</w:t>
            </w:r>
          </w:p>
        </w:tc>
        <w:tc>
          <w:tcPr>
            <w:tcW w:w="1234" w:type="dxa"/>
            <w:tcBorders>
              <w:bottom w:val="nil"/>
            </w:tcBorders>
            <w:vAlign w:val="center"/>
          </w:tcPr>
          <w:p>
            <w:pPr>
              <w:pStyle w:val="11"/>
            </w:pPr>
            <w:r>
              <w:t>Non-OECD countries</w:t>
            </w:r>
          </w:p>
        </w:tc>
        <w:tc>
          <w:tcPr>
            <w:tcW w:w="1234" w:type="dxa"/>
            <w:tcBorders>
              <w:bottom w:val="nil"/>
            </w:tcBorders>
            <w:vAlign w:val="center"/>
          </w:tcPr>
          <w:p>
            <w:pPr>
              <w:pStyle w:val="11"/>
            </w:pPr>
            <w:r>
              <w:t>Non-OECD countries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tcBorders>
              <w:top w:val="nil"/>
              <w:bottom w:val="single" w:color="auto" w:sz="4" w:space="0"/>
            </w:tcBorders>
            <w:vAlign w:val="center"/>
          </w:tcPr>
          <w:p>
            <w:pPr>
              <w:pStyle w:val="11"/>
            </w:pPr>
          </w:p>
        </w:tc>
        <w:tc>
          <w:tcPr>
            <w:tcW w:w="1233" w:type="dxa"/>
            <w:tcBorders>
              <w:top w:val="nil"/>
              <w:bottom w:val="single" w:color="auto" w:sz="4" w:space="0"/>
            </w:tcBorders>
            <w:vAlign w:val="center"/>
          </w:tcPr>
          <w:p>
            <w:pPr>
              <w:pStyle w:val="11"/>
            </w:pPr>
            <w:r>
              <w:t>G_PGNI</w:t>
            </w:r>
          </w:p>
        </w:tc>
        <w:tc>
          <w:tcPr>
            <w:tcW w:w="1234" w:type="dxa"/>
            <w:tcBorders>
              <w:top w:val="nil"/>
              <w:bottom w:val="single" w:color="auto" w:sz="4" w:space="0"/>
            </w:tcBorders>
            <w:vAlign w:val="center"/>
          </w:tcPr>
          <w:p>
            <w:pPr>
              <w:pStyle w:val="11"/>
            </w:pPr>
            <w:r>
              <w:t>G_PGNI</w:t>
            </w:r>
          </w:p>
        </w:tc>
        <w:tc>
          <w:tcPr>
            <w:tcW w:w="1234" w:type="dxa"/>
            <w:tcBorders>
              <w:top w:val="nil"/>
              <w:bottom w:val="single" w:color="auto" w:sz="4" w:space="0"/>
            </w:tcBorders>
            <w:vAlign w:val="center"/>
          </w:tcPr>
          <w:p>
            <w:pPr>
              <w:pStyle w:val="11"/>
            </w:pPr>
            <w:r>
              <w:t>G_PGNI</w:t>
            </w:r>
          </w:p>
        </w:tc>
        <w:tc>
          <w:tcPr>
            <w:tcW w:w="1233" w:type="dxa"/>
            <w:tcBorders>
              <w:top w:val="nil"/>
              <w:bottom w:val="single" w:color="auto" w:sz="4" w:space="0"/>
            </w:tcBorders>
            <w:vAlign w:val="center"/>
          </w:tcPr>
          <w:p>
            <w:pPr>
              <w:pStyle w:val="11"/>
            </w:pPr>
            <w:r>
              <w:t>G_PGNI</w:t>
            </w:r>
          </w:p>
        </w:tc>
        <w:tc>
          <w:tcPr>
            <w:tcW w:w="1234" w:type="dxa"/>
            <w:tcBorders>
              <w:top w:val="nil"/>
              <w:bottom w:val="single" w:color="auto" w:sz="4" w:space="0"/>
            </w:tcBorders>
            <w:vAlign w:val="center"/>
          </w:tcPr>
          <w:p>
            <w:pPr>
              <w:pStyle w:val="11"/>
            </w:pPr>
            <w:r>
              <w:t>G_PGNI</w:t>
            </w:r>
          </w:p>
        </w:tc>
        <w:tc>
          <w:tcPr>
            <w:tcW w:w="1234" w:type="dxa"/>
            <w:tcBorders>
              <w:top w:val="nil"/>
              <w:bottom w:val="single" w:color="auto" w:sz="4" w:space="0"/>
            </w:tcBorders>
            <w:vAlign w:val="center"/>
          </w:tcPr>
          <w:p>
            <w:pPr>
              <w:pStyle w:val="11"/>
            </w:pPr>
            <w:r>
              <w:t>G_PGNI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Sta_Top10</w:t>
            </w:r>
          </w:p>
        </w:tc>
        <w:tc>
          <w:tcPr>
            <w:tcW w:w="1233" w:type="dxa"/>
            <w:vAlign w:val="center"/>
          </w:tcPr>
          <w:p>
            <w:pPr>
              <w:pStyle w:val="11"/>
            </w:pPr>
            <w:r>
              <w:t>0.201***</w:t>
            </w:r>
          </w:p>
          <w:p>
            <w:pPr>
              <w:pStyle w:val="11"/>
            </w:pPr>
            <w:r>
              <w:t>(0.055)</w:t>
            </w:r>
          </w:p>
        </w:tc>
        <w:tc>
          <w:tcPr>
            <w:tcW w:w="1234" w:type="dxa"/>
            <w:vAlign w:val="center"/>
          </w:tcPr>
          <w:p>
            <w:pPr>
              <w:pStyle w:val="11"/>
            </w:pPr>
            <w:r>
              <w:t>-0.040</w:t>
            </w:r>
          </w:p>
          <w:p>
            <w:pPr>
              <w:pStyle w:val="11"/>
            </w:pPr>
            <w:r>
              <w:t>(0.041)</w:t>
            </w:r>
          </w:p>
        </w:tc>
        <w:tc>
          <w:tcPr>
            <w:tcW w:w="1234" w:type="dxa"/>
            <w:vAlign w:val="center"/>
          </w:tcPr>
          <w:p>
            <w:pPr>
              <w:pStyle w:val="11"/>
            </w:pPr>
            <w:r>
              <w:t>0.196***</w:t>
            </w:r>
          </w:p>
          <w:p>
            <w:pPr>
              <w:pStyle w:val="11"/>
            </w:pPr>
            <w:r>
              <w:t>(0.054)</w:t>
            </w:r>
          </w:p>
        </w:tc>
        <w:tc>
          <w:tcPr>
            <w:tcW w:w="1233" w:type="dxa"/>
            <w:vAlign w:val="center"/>
          </w:tcPr>
          <w:p>
            <w:pPr>
              <w:pStyle w:val="11"/>
            </w:pPr>
            <w:r>
              <w:t>-0.001</w:t>
            </w:r>
          </w:p>
          <w:p>
            <w:pPr>
              <w:pStyle w:val="11"/>
            </w:pPr>
            <w:r>
              <w:t>(0.037)</w:t>
            </w:r>
          </w:p>
        </w:tc>
        <w:tc>
          <w:tcPr>
            <w:tcW w:w="1234" w:type="dxa"/>
            <w:vAlign w:val="center"/>
          </w:tcPr>
          <w:p>
            <w:pPr>
              <w:pStyle w:val="11"/>
            </w:pPr>
            <w:r>
              <w:t>0.146***</w:t>
            </w:r>
          </w:p>
          <w:p>
            <w:pPr>
              <w:pStyle w:val="11"/>
            </w:pPr>
            <w:r>
              <w:t>(0.043)</w:t>
            </w:r>
          </w:p>
        </w:tc>
        <w:tc>
          <w:tcPr>
            <w:tcW w:w="1234" w:type="dxa"/>
            <w:vAlign w:val="center"/>
          </w:tcPr>
          <w:p>
            <w:pPr>
              <w:pStyle w:val="11"/>
            </w:pPr>
            <w:r>
              <w:t>0.039</w:t>
            </w:r>
          </w:p>
          <w:p>
            <w:pPr>
              <w:pStyle w:val="11"/>
            </w:pPr>
            <w:r>
              <w:t>(0.059)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Trade_value</w:t>
            </w:r>
          </w:p>
        </w:tc>
        <w:tc>
          <w:tcPr>
            <w:tcW w:w="1233" w:type="dxa"/>
            <w:vAlign w:val="center"/>
          </w:tcPr>
          <w:p>
            <w:pPr>
              <w:pStyle w:val="11"/>
            </w:pPr>
            <w:r>
              <w:t>0.046</w:t>
            </w:r>
          </w:p>
          <w:p>
            <w:pPr>
              <w:pStyle w:val="11"/>
            </w:pPr>
            <w:r>
              <w:t>(0.380)</w:t>
            </w:r>
          </w:p>
        </w:tc>
        <w:tc>
          <w:tcPr>
            <w:tcW w:w="1234" w:type="dxa"/>
            <w:vAlign w:val="center"/>
          </w:tcPr>
          <w:p>
            <w:pPr>
              <w:pStyle w:val="11"/>
            </w:pPr>
            <w:r>
              <w:t>0.084</w:t>
            </w:r>
          </w:p>
          <w:p>
            <w:pPr>
              <w:pStyle w:val="11"/>
            </w:pPr>
            <w:r>
              <w:t>(0.227)</w:t>
            </w:r>
          </w:p>
        </w:tc>
        <w:tc>
          <w:tcPr>
            <w:tcW w:w="1234" w:type="dxa"/>
            <w:vAlign w:val="center"/>
          </w:tcPr>
          <w:p>
            <w:pPr>
              <w:pStyle w:val="11"/>
            </w:pPr>
            <w:r>
              <w:t>0.342</w:t>
            </w:r>
          </w:p>
          <w:p>
            <w:pPr>
              <w:pStyle w:val="11"/>
            </w:pPr>
            <w:r>
              <w:t>(0.357)</w:t>
            </w:r>
          </w:p>
        </w:tc>
        <w:tc>
          <w:tcPr>
            <w:tcW w:w="1233" w:type="dxa"/>
            <w:vAlign w:val="center"/>
          </w:tcPr>
          <w:p>
            <w:pPr>
              <w:pStyle w:val="11"/>
            </w:pPr>
            <w:r>
              <w:t>0.042</w:t>
            </w:r>
          </w:p>
          <w:p>
            <w:pPr>
              <w:pStyle w:val="11"/>
            </w:pPr>
            <w:r>
              <w:t>(0.220)</w:t>
            </w:r>
          </w:p>
        </w:tc>
        <w:tc>
          <w:tcPr>
            <w:tcW w:w="1234" w:type="dxa"/>
            <w:vAlign w:val="center"/>
          </w:tcPr>
          <w:p>
            <w:pPr>
              <w:pStyle w:val="11"/>
            </w:pPr>
            <w:r>
              <w:t>0.337</w:t>
            </w:r>
          </w:p>
          <w:p>
            <w:pPr>
              <w:pStyle w:val="11"/>
            </w:pPr>
            <w:r>
              <w:t>(0.326)</w:t>
            </w:r>
          </w:p>
        </w:tc>
        <w:tc>
          <w:tcPr>
            <w:tcW w:w="1234" w:type="dxa"/>
            <w:vAlign w:val="center"/>
          </w:tcPr>
          <w:p>
            <w:pPr>
              <w:pStyle w:val="11"/>
            </w:pPr>
            <w:r>
              <w:t>-0.395</w:t>
            </w:r>
          </w:p>
          <w:p>
            <w:pPr>
              <w:pStyle w:val="11"/>
            </w:pPr>
            <w:r>
              <w:t>(0.320)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Life</w:t>
            </w:r>
          </w:p>
        </w:tc>
        <w:tc>
          <w:tcPr>
            <w:tcW w:w="1233" w:type="dxa"/>
            <w:vAlign w:val="center"/>
          </w:tcPr>
          <w:p>
            <w:pPr>
              <w:pStyle w:val="11"/>
            </w:pPr>
          </w:p>
        </w:tc>
        <w:tc>
          <w:tcPr>
            <w:tcW w:w="1234" w:type="dxa"/>
            <w:vAlign w:val="center"/>
          </w:tcPr>
          <w:p>
            <w:pPr>
              <w:pStyle w:val="11"/>
            </w:pPr>
          </w:p>
        </w:tc>
        <w:tc>
          <w:tcPr>
            <w:tcW w:w="1234" w:type="dxa"/>
            <w:vAlign w:val="center"/>
          </w:tcPr>
          <w:p>
            <w:pPr>
              <w:pStyle w:val="11"/>
            </w:pPr>
            <w:r>
              <w:t>0.120</w:t>
            </w:r>
          </w:p>
          <w:p>
            <w:pPr>
              <w:pStyle w:val="11"/>
            </w:pPr>
            <w:r>
              <w:t>(0.108)</w:t>
            </w:r>
          </w:p>
        </w:tc>
        <w:tc>
          <w:tcPr>
            <w:tcW w:w="1233" w:type="dxa"/>
            <w:vAlign w:val="center"/>
          </w:tcPr>
          <w:p>
            <w:pPr>
              <w:pStyle w:val="11"/>
            </w:pPr>
            <w:r>
              <w:t>-0.363</w:t>
            </w:r>
          </w:p>
          <w:p>
            <w:pPr>
              <w:pStyle w:val="11"/>
            </w:pPr>
            <w:r>
              <w:t>(0.334)</w:t>
            </w:r>
          </w:p>
        </w:tc>
        <w:tc>
          <w:tcPr>
            <w:tcW w:w="1234" w:type="dxa"/>
            <w:vAlign w:val="center"/>
          </w:tcPr>
          <w:p>
            <w:pPr>
              <w:pStyle w:val="11"/>
            </w:pPr>
            <w:r>
              <w:t>0.086</w:t>
            </w:r>
          </w:p>
          <w:p>
            <w:pPr>
              <w:pStyle w:val="11"/>
            </w:pPr>
            <w:r>
              <w:t>(0.087)</w:t>
            </w:r>
          </w:p>
        </w:tc>
        <w:tc>
          <w:tcPr>
            <w:tcW w:w="1234" w:type="dxa"/>
            <w:vAlign w:val="center"/>
          </w:tcPr>
          <w:p>
            <w:pPr>
              <w:pStyle w:val="11"/>
            </w:pPr>
            <w:r>
              <w:t>-0.786</w:t>
            </w:r>
          </w:p>
          <w:p>
            <w:pPr>
              <w:pStyle w:val="11"/>
            </w:pPr>
            <w:r>
              <w:t>(0.469)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Farm</w:t>
            </w:r>
          </w:p>
        </w:tc>
        <w:tc>
          <w:tcPr>
            <w:tcW w:w="1233" w:type="dxa"/>
            <w:vAlign w:val="center"/>
          </w:tcPr>
          <w:p>
            <w:pPr>
              <w:pStyle w:val="11"/>
            </w:pPr>
          </w:p>
        </w:tc>
        <w:tc>
          <w:tcPr>
            <w:tcW w:w="1234" w:type="dxa"/>
            <w:vAlign w:val="center"/>
          </w:tcPr>
          <w:p>
            <w:pPr>
              <w:pStyle w:val="11"/>
            </w:pPr>
          </w:p>
        </w:tc>
        <w:tc>
          <w:tcPr>
            <w:tcW w:w="1234" w:type="dxa"/>
            <w:vAlign w:val="center"/>
          </w:tcPr>
          <w:p>
            <w:pPr>
              <w:pStyle w:val="11"/>
            </w:pPr>
            <w:r>
              <w:t>0.045</w:t>
            </w:r>
          </w:p>
          <w:p>
            <w:pPr>
              <w:pStyle w:val="11"/>
            </w:pPr>
            <w:r>
              <w:t>(0.048)</w:t>
            </w:r>
          </w:p>
        </w:tc>
        <w:tc>
          <w:tcPr>
            <w:tcW w:w="1233" w:type="dxa"/>
            <w:vAlign w:val="center"/>
          </w:tcPr>
          <w:p>
            <w:pPr>
              <w:pStyle w:val="11"/>
            </w:pPr>
            <w:r>
              <w:t>-0.177</w:t>
            </w:r>
          </w:p>
          <w:p>
            <w:pPr>
              <w:pStyle w:val="11"/>
            </w:pPr>
            <w:r>
              <w:t>(0.146)</w:t>
            </w:r>
          </w:p>
        </w:tc>
        <w:tc>
          <w:tcPr>
            <w:tcW w:w="1234" w:type="dxa"/>
            <w:vAlign w:val="center"/>
          </w:tcPr>
          <w:p>
            <w:pPr>
              <w:pStyle w:val="11"/>
            </w:pPr>
            <w:r>
              <w:t>0.101***</w:t>
            </w:r>
          </w:p>
          <w:p>
            <w:pPr>
              <w:pStyle w:val="11"/>
            </w:pPr>
            <w:r>
              <w:t>(0.036)</w:t>
            </w:r>
          </w:p>
        </w:tc>
        <w:tc>
          <w:tcPr>
            <w:tcW w:w="1234" w:type="dxa"/>
            <w:vAlign w:val="center"/>
          </w:tcPr>
          <w:p>
            <w:pPr>
              <w:pStyle w:val="11"/>
            </w:pPr>
            <w:r>
              <w:t>-0.468***</w:t>
            </w:r>
          </w:p>
          <w:p>
            <w:pPr>
              <w:pStyle w:val="11"/>
            </w:pPr>
            <w:r>
              <w:t>(0.151)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Institutional characteristics</w:t>
            </w:r>
          </w:p>
        </w:tc>
        <w:tc>
          <w:tcPr>
            <w:tcW w:w="1233" w:type="dxa"/>
            <w:vAlign w:val="center"/>
          </w:tcPr>
          <w:p>
            <w:pPr>
              <w:pStyle w:val="11"/>
            </w:pPr>
          </w:p>
        </w:tc>
        <w:tc>
          <w:tcPr>
            <w:tcW w:w="1234" w:type="dxa"/>
            <w:vAlign w:val="center"/>
          </w:tcPr>
          <w:p>
            <w:pPr>
              <w:pStyle w:val="11"/>
            </w:pPr>
          </w:p>
        </w:tc>
        <w:tc>
          <w:tcPr>
            <w:tcW w:w="1234" w:type="dxa"/>
            <w:vAlign w:val="center"/>
          </w:tcPr>
          <w:p>
            <w:pPr>
              <w:pStyle w:val="11"/>
            </w:pPr>
            <w:r>
              <w:t>Y</w:t>
            </w:r>
          </w:p>
        </w:tc>
        <w:tc>
          <w:tcPr>
            <w:tcW w:w="1233" w:type="dxa"/>
            <w:vAlign w:val="center"/>
          </w:tcPr>
          <w:p>
            <w:pPr>
              <w:pStyle w:val="11"/>
            </w:pPr>
            <w:r>
              <w:t>Y</w:t>
            </w:r>
          </w:p>
        </w:tc>
        <w:tc>
          <w:tcPr>
            <w:tcW w:w="1234" w:type="dxa"/>
            <w:vAlign w:val="center"/>
          </w:tcPr>
          <w:p>
            <w:pPr>
              <w:pStyle w:val="11"/>
            </w:pPr>
            <w:r>
              <w:t>Y</w:t>
            </w:r>
          </w:p>
        </w:tc>
        <w:tc>
          <w:tcPr>
            <w:tcW w:w="1234"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Control variables</w:t>
            </w:r>
          </w:p>
        </w:tc>
        <w:tc>
          <w:tcPr>
            <w:tcW w:w="1233" w:type="dxa"/>
            <w:vAlign w:val="center"/>
          </w:tcPr>
          <w:p>
            <w:pPr>
              <w:pStyle w:val="11"/>
            </w:pPr>
            <w:r>
              <w:t>Y</w:t>
            </w:r>
          </w:p>
        </w:tc>
        <w:tc>
          <w:tcPr>
            <w:tcW w:w="1234" w:type="dxa"/>
            <w:vAlign w:val="center"/>
          </w:tcPr>
          <w:p>
            <w:pPr>
              <w:pStyle w:val="11"/>
            </w:pPr>
            <w:r>
              <w:t>Y</w:t>
            </w:r>
          </w:p>
        </w:tc>
        <w:tc>
          <w:tcPr>
            <w:tcW w:w="1234" w:type="dxa"/>
            <w:vAlign w:val="center"/>
          </w:tcPr>
          <w:p>
            <w:pPr>
              <w:pStyle w:val="11"/>
            </w:pPr>
            <w:r>
              <w:t>Y</w:t>
            </w:r>
          </w:p>
        </w:tc>
        <w:tc>
          <w:tcPr>
            <w:tcW w:w="1233" w:type="dxa"/>
            <w:vAlign w:val="center"/>
          </w:tcPr>
          <w:p>
            <w:pPr>
              <w:pStyle w:val="11"/>
            </w:pPr>
            <w:r>
              <w:t>Y</w:t>
            </w:r>
          </w:p>
        </w:tc>
        <w:tc>
          <w:tcPr>
            <w:tcW w:w="1234" w:type="dxa"/>
            <w:vAlign w:val="center"/>
          </w:tcPr>
          <w:p>
            <w:pPr>
              <w:pStyle w:val="11"/>
            </w:pPr>
            <w:r>
              <w:t>Y</w:t>
            </w:r>
          </w:p>
        </w:tc>
        <w:tc>
          <w:tcPr>
            <w:tcW w:w="1234"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Fixed Effect</w:t>
            </w:r>
          </w:p>
        </w:tc>
        <w:tc>
          <w:tcPr>
            <w:tcW w:w="1233" w:type="dxa"/>
            <w:vAlign w:val="center"/>
          </w:tcPr>
          <w:p>
            <w:pPr>
              <w:pStyle w:val="11"/>
            </w:pPr>
            <w:r>
              <w:t>Y</w:t>
            </w:r>
          </w:p>
        </w:tc>
        <w:tc>
          <w:tcPr>
            <w:tcW w:w="1234" w:type="dxa"/>
            <w:vAlign w:val="center"/>
          </w:tcPr>
          <w:p>
            <w:pPr>
              <w:pStyle w:val="11"/>
            </w:pPr>
            <w:r>
              <w:t>Y</w:t>
            </w:r>
          </w:p>
        </w:tc>
        <w:tc>
          <w:tcPr>
            <w:tcW w:w="1234" w:type="dxa"/>
            <w:vAlign w:val="center"/>
          </w:tcPr>
          <w:p>
            <w:pPr>
              <w:pStyle w:val="11"/>
            </w:pPr>
            <w:r>
              <w:t>Y</w:t>
            </w:r>
          </w:p>
        </w:tc>
        <w:tc>
          <w:tcPr>
            <w:tcW w:w="1233" w:type="dxa"/>
            <w:vAlign w:val="center"/>
          </w:tcPr>
          <w:p>
            <w:pPr>
              <w:pStyle w:val="11"/>
            </w:pPr>
            <w:r>
              <w:t>Y</w:t>
            </w:r>
          </w:p>
        </w:tc>
        <w:tc>
          <w:tcPr>
            <w:tcW w:w="1234" w:type="dxa"/>
            <w:vAlign w:val="center"/>
          </w:tcPr>
          <w:p>
            <w:pPr>
              <w:pStyle w:val="11"/>
            </w:pPr>
            <w:r>
              <w:t>Y</w:t>
            </w:r>
          </w:p>
        </w:tc>
        <w:tc>
          <w:tcPr>
            <w:tcW w:w="1234"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vAlign w:val="center"/>
          </w:tcPr>
          <w:p>
            <w:pPr>
              <w:pStyle w:val="11"/>
            </w:pPr>
            <w:r>
              <w:t>Sample size</w:t>
            </w:r>
          </w:p>
        </w:tc>
        <w:tc>
          <w:tcPr>
            <w:tcW w:w="1233" w:type="dxa"/>
            <w:vAlign w:val="center"/>
          </w:tcPr>
          <w:p>
            <w:pPr>
              <w:pStyle w:val="11"/>
            </w:pPr>
            <w:r>
              <w:t>227</w:t>
            </w:r>
            <w:r>
              <w:rPr>
                <w:rFonts w:hint="eastAsia"/>
              </w:rPr>
              <w:t>,</w:t>
            </w:r>
            <w:r>
              <w:t>494</w:t>
            </w:r>
          </w:p>
        </w:tc>
        <w:tc>
          <w:tcPr>
            <w:tcW w:w="1234" w:type="dxa"/>
            <w:vAlign w:val="center"/>
          </w:tcPr>
          <w:p>
            <w:pPr>
              <w:pStyle w:val="11"/>
            </w:pPr>
            <w:r>
              <w:t>182</w:t>
            </w:r>
            <w:r>
              <w:rPr>
                <w:rFonts w:hint="eastAsia"/>
              </w:rPr>
              <w:t>,</w:t>
            </w:r>
            <w:r>
              <w:t>622</w:t>
            </w:r>
          </w:p>
        </w:tc>
        <w:tc>
          <w:tcPr>
            <w:tcW w:w="1234" w:type="dxa"/>
            <w:vAlign w:val="center"/>
          </w:tcPr>
          <w:p>
            <w:pPr>
              <w:pStyle w:val="11"/>
            </w:pPr>
            <w:r>
              <w:t>227</w:t>
            </w:r>
            <w:r>
              <w:rPr>
                <w:rFonts w:hint="eastAsia"/>
              </w:rPr>
              <w:t>,</w:t>
            </w:r>
            <w:r>
              <w:t>494</w:t>
            </w:r>
          </w:p>
        </w:tc>
        <w:tc>
          <w:tcPr>
            <w:tcW w:w="1233" w:type="dxa"/>
            <w:vAlign w:val="center"/>
          </w:tcPr>
          <w:p>
            <w:pPr>
              <w:pStyle w:val="11"/>
            </w:pPr>
            <w:r>
              <w:t>182</w:t>
            </w:r>
            <w:r>
              <w:rPr>
                <w:rFonts w:hint="eastAsia"/>
              </w:rPr>
              <w:t>,</w:t>
            </w:r>
            <w:r>
              <w:t>622</w:t>
            </w:r>
          </w:p>
        </w:tc>
        <w:tc>
          <w:tcPr>
            <w:tcW w:w="1234" w:type="dxa"/>
            <w:vAlign w:val="center"/>
          </w:tcPr>
          <w:p>
            <w:pPr>
              <w:pStyle w:val="11"/>
            </w:pPr>
            <w:r>
              <w:t>283</w:t>
            </w:r>
            <w:r>
              <w:rPr>
                <w:rFonts w:hint="eastAsia"/>
              </w:rPr>
              <w:t>,</w:t>
            </w:r>
            <w:r>
              <w:t>976</w:t>
            </w:r>
          </w:p>
        </w:tc>
        <w:tc>
          <w:tcPr>
            <w:tcW w:w="1234" w:type="dxa"/>
            <w:vAlign w:val="center"/>
          </w:tcPr>
          <w:p>
            <w:pPr>
              <w:pStyle w:val="11"/>
            </w:pPr>
            <w:r>
              <w:t>126</w:t>
            </w:r>
            <w:r>
              <w:rPr>
                <w:rFonts w:hint="eastAsia"/>
              </w:rPr>
              <w:t>,</w:t>
            </w:r>
            <w: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670" w:type="dxa"/>
            <w:tcBorders>
              <w:bottom w:val="single" w:color="auto" w:sz="4" w:space="0"/>
            </w:tcBorders>
            <w:vAlign w:val="center"/>
          </w:tcPr>
          <w:p>
            <w:pPr>
              <w:pStyle w:val="11"/>
            </w:pPr>
            <w:r>
              <w:t>R</w:t>
            </w:r>
            <w:r>
              <w:rPr>
                <w:vertAlign w:val="superscript"/>
              </w:rPr>
              <w:t>2</w:t>
            </w:r>
          </w:p>
        </w:tc>
        <w:tc>
          <w:tcPr>
            <w:tcW w:w="1233" w:type="dxa"/>
            <w:tcBorders>
              <w:bottom w:val="single" w:color="auto" w:sz="4" w:space="0"/>
            </w:tcBorders>
            <w:vAlign w:val="center"/>
          </w:tcPr>
          <w:p>
            <w:pPr>
              <w:pStyle w:val="11"/>
            </w:pPr>
            <w:r>
              <w:t>0.490</w:t>
            </w:r>
          </w:p>
        </w:tc>
        <w:tc>
          <w:tcPr>
            <w:tcW w:w="1234" w:type="dxa"/>
            <w:tcBorders>
              <w:bottom w:val="single" w:color="auto" w:sz="4" w:space="0"/>
            </w:tcBorders>
            <w:vAlign w:val="center"/>
          </w:tcPr>
          <w:p>
            <w:pPr>
              <w:pStyle w:val="11"/>
            </w:pPr>
            <w:r>
              <w:t>0.335</w:t>
            </w:r>
          </w:p>
        </w:tc>
        <w:tc>
          <w:tcPr>
            <w:tcW w:w="1234" w:type="dxa"/>
            <w:tcBorders>
              <w:bottom w:val="single" w:color="auto" w:sz="4" w:space="0"/>
            </w:tcBorders>
            <w:vAlign w:val="center"/>
          </w:tcPr>
          <w:p>
            <w:pPr>
              <w:pStyle w:val="11"/>
            </w:pPr>
            <w:r>
              <w:t>0.515</w:t>
            </w:r>
          </w:p>
        </w:tc>
        <w:tc>
          <w:tcPr>
            <w:tcW w:w="1233" w:type="dxa"/>
            <w:tcBorders>
              <w:bottom w:val="single" w:color="auto" w:sz="4" w:space="0"/>
            </w:tcBorders>
            <w:vAlign w:val="center"/>
          </w:tcPr>
          <w:p>
            <w:pPr>
              <w:pStyle w:val="11"/>
            </w:pPr>
            <w:r>
              <w:t>0.366</w:t>
            </w:r>
          </w:p>
        </w:tc>
        <w:tc>
          <w:tcPr>
            <w:tcW w:w="1234" w:type="dxa"/>
            <w:tcBorders>
              <w:bottom w:val="single" w:color="auto" w:sz="4" w:space="0"/>
            </w:tcBorders>
            <w:vAlign w:val="center"/>
          </w:tcPr>
          <w:p>
            <w:pPr>
              <w:pStyle w:val="11"/>
            </w:pPr>
            <w:r>
              <w:t>0.462</w:t>
            </w:r>
          </w:p>
        </w:tc>
        <w:tc>
          <w:tcPr>
            <w:tcW w:w="1234" w:type="dxa"/>
            <w:tcBorders>
              <w:bottom w:val="single" w:color="auto" w:sz="4" w:space="0"/>
            </w:tcBorders>
            <w:vAlign w:val="center"/>
          </w:tcPr>
          <w:p>
            <w:pPr>
              <w:pStyle w:val="11"/>
            </w:pPr>
            <w:r>
              <w:t>0.465</w:t>
            </w:r>
          </w:p>
        </w:tc>
      </w:tr>
    </w:tbl>
    <w:p>
      <w:pPr>
        <w:pStyle w:val="14"/>
        <w:rPr>
          <w:highlight w:val="yellow"/>
        </w:rPr>
      </w:pPr>
      <w:r>
        <w:t>Note: See note of Table 1 for model specification. ***p &lt; 0.01, **p &lt; 0.05, *p &lt; 0.10. Column (1)-(4) shows that positive effect of export stability on the growth rate of GNI per capita in the developing country sample persists after controlling for exporting value and the institutional characteristics of the exporting country, while export stability does not have a significant effect on export stability in developed countries. Columns (5)-(6) shows a positive effect of export stability on growth for non-OECD countries.</w:t>
      </w:r>
    </w:p>
    <w:p>
      <w:pPr>
        <w:pStyle w:val="13"/>
      </w:pPr>
      <w:r>
        <w:t>Table A3 Changes to dependent variable</w:t>
      </w:r>
    </w:p>
    <w:tbl>
      <w:tblPr>
        <w:tblStyle w:val="5"/>
        <w:tblW w:w="97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28"/>
        <w:gridCol w:w="1375"/>
        <w:gridCol w:w="1376"/>
        <w:gridCol w:w="1376"/>
        <w:gridCol w:w="1375"/>
        <w:gridCol w:w="1376"/>
        <w:gridCol w:w="13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tcBorders>
              <w:top w:val="single" w:color="auto" w:sz="4" w:space="0"/>
            </w:tcBorders>
            <w:vAlign w:val="center"/>
          </w:tcPr>
          <w:p>
            <w:pPr>
              <w:pStyle w:val="11"/>
            </w:pPr>
          </w:p>
        </w:tc>
        <w:tc>
          <w:tcPr>
            <w:tcW w:w="1375" w:type="dxa"/>
            <w:tcBorders>
              <w:top w:val="single" w:color="auto" w:sz="4" w:space="0"/>
            </w:tcBorders>
            <w:vAlign w:val="center"/>
          </w:tcPr>
          <w:p>
            <w:pPr>
              <w:pStyle w:val="11"/>
            </w:pPr>
            <w:r>
              <w:t>(1)</w:t>
            </w:r>
          </w:p>
        </w:tc>
        <w:tc>
          <w:tcPr>
            <w:tcW w:w="1376" w:type="dxa"/>
            <w:tcBorders>
              <w:top w:val="single" w:color="auto" w:sz="4" w:space="0"/>
            </w:tcBorders>
            <w:vAlign w:val="center"/>
          </w:tcPr>
          <w:p>
            <w:pPr>
              <w:pStyle w:val="11"/>
            </w:pPr>
            <w:r>
              <w:t>(2)</w:t>
            </w:r>
          </w:p>
        </w:tc>
        <w:tc>
          <w:tcPr>
            <w:tcW w:w="1376" w:type="dxa"/>
            <w:tcBorders>
              <w:top w:val="single" w:color="auto" w:sz="4" w:space="0"/>
            </w:tcBorders>
            <w:vAlign w:val="center"/>
          </w:tcPr>
          <w:p>
            <w:pPr>
              <w:pStyle w:val="11"/>
            </w:pPr>
            <w:r>
              <w:t>(3)</w:t>
            </w:r>
          </w:p>
        </w:tc>
        <w:tc>
          <w:tcPr>
            <w:tcW w:w="1375" w:type="dxa"/>
            <w:tcBorders>
              <w:top w:val="single" w:color="auto" w:sz="4" w:space="0"/>
            </w:tcBorders>
            <w:vAlign w:val="center"/>
          </w:tcPr>
          <w:p>
            <w:pPr>
              <w:pStyle w:val="11"/>
            </w:pPr>
            <w:r>
              <w:t>(4)</w:t>
            </w:r>
          </w:p>
        </w:tc>
        <w:tc>
          <w:tcPr>
            <w:tcW w:w="1376" w:type="dxa"/>
            <w:tcBorders>
              <w:top w:val="single" w:color="auto" w:sz="4" w:space="0"/>
            </w:tcBorders>
            <w:vAlign w:val="center"/>
          </w:tcPr>
          <w:p>
            <w:pPr>
              <w:pStyle w:val="11"/>
            </w:pPr>
            <w:r>
              <w:t>(5)</w:t>
            </w:r>
          </w:p>
        </w:tc>
        <w:tc>
          <w:tcPr>
            <w:tcW w:w="1376" w:type="dxa"/>
            <w:tcBorders>
              <w:top w:val="single" w:color="auto" w:sz="4" w:space="0"/>
            </w:tcBorders>
            <w:vAlign w:val="center"/>
          </w:tcPr>
          <w:p>
            <w:pPr>
              <w:pStyle w:val="11"/>
            </w:pPr>
            <w: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tcBorders>
              <w:bottom w:val="nil"/>
            </w:tcBorders>
            <w:vAlign w:val="center"/>
          </w:tcPr>
          <w:p>
            <w:pPr>
              <w:pStyle w:val="11"/>
            </w:pPr>
          </w:p>
        </w:tc>
        <w:tc>
          <w:tcPr>
            <w:tcW w:w="1375" w:type="dxa"/>
            <w:tcBorders>
              <w:bottom w:val="nil"/>
            </w:tcBorders>
            <w:vAlign w:val="center"/>
          </w:tcPr>
          <w:p>
            <w:pPr>
              <w:pStyle w:val="11"/>
            </w:pPr>
            <w:r>
              <w:t>Developing countries</w:t>
            </w:r>
          </w:p>
        </w:tc>
        <w:tc>
          <w:tcPr>
            <w:tcW w:w="1376" w:type="dxa"/>
            <w:tcBorders>
              <w:bottom w:val="nil"/>
            </w:tcBorders>
            <w:vAlign w:val="center"/>
          </w:tcPr>
          <w:p>
            <w:pPr>
              <w:pStyle w:val="11"/>
            </w:pPr>
            <w:r>
              <w:t>Developed countries</w:t>
            </w:r>
          </w:p>
        </w:tc>
        <w:tc>
          <w:tcPr>
            <w:tcW w:w="1376" w:type="dxa"/>
            <w:tcBorders>
              <w:bottom w:val="nil"/>
            </w:tcBorders>
            <w:vAlign w:val="center"/>
          </w:tcPr>
          <w:p>
            <w:pPr>
              <w:pStyle w:val="11"/>
            </w:pPr>
            <w:r>
              <w:t>Developing countries</w:t>
            </w:r>
          </w:p>
        </w:tc>
        <w:tc>
          <w:tcPr>
            <w:tcW w:w="1375" w:type="dxa"/>
            <w:tcBorders>
              <w:bottom w:val="nil"/>
            </w:tcBorders>
            <w:vAlign w:val="center"/>
          </w:tcPr>
          <w:p>
            <w:pPr>
              <w:pStyle w:val="11"/>
            </w:pPr>
            <w:r>
              <w:t>Developed countries</w:t>
            </w:r>
          </w:p>
        </w:tc>
        <w:tc>
          <w:tcPr>
            <w:tcW w:w="1376" w:type="dxa"/>
            <w:tcBorders>
              <w:bottom w:val="nil"/>
            </w:tcBorders>
            <w:vAlign w:val="center"/>
          </w:tcPr>
          <w:p>
            <w:pPr>
              <w:pStyle w:val="11"/>
            </w:pPr>
            <w:r>
              <w:t>Developing countries</w:t>
            </w:r>
          </w:p>
        </w:tc>
        <w:tc>
          <w:tcPr>
            <w:tcW w:w="1376" w:type="dxa"/>
            <w:tcBorders>
              <w:bottom w:val="nil"/>
            </w:tcBorders>
            <w:vAlign w:val="center"/>
          </w:tcPr>
          <w:p>
            <w:pPr>
              <w:pStyle w:val="11"/>
            </w:pPr>
            <w:r>
              <w:t>Developed countries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tcBorders>
              <w:top w:val="nil"/>
              <w:bottom w:val="single" w:color="auto" w:sz="4" w:space="0"/>
            </w:tcBorders>
            <w:vAlign w:val="center"/>
          </w:tcPr>
          <w:p>
            <w:pPr>
              <w:pStyle w:val="11"/>
            </w:pPr>
          </w:p>
        </w:tc>
        <w:tc>
          <w:tcPr>
            <w:tcW w:w="1375" w:type="dxa"/>
            <w:tcBorders>
              <w:top w:val="nil"/>
              <w:bottom w:val="single" w:color="auto" w:sz="4" w:space="0"/>
            </w:tcBorders>
            <w:vAlign w:val="center"/>
          </w:tcPr>
          <w:p>
            <w:pPr>
              <w:pStyle w:val="11"/>
            </w:pPr>
            <w:r>
              <w:t>G_PGDP</w:t>
            </w:r>
          </w:p>
        </w:tc>
        <w:tc>
          <w:tcPr>
            <w:tcW w:w="1376" w:type="dxa"/>
            <w:tcBorders>
              <w:top w:val="nil"/>
              <w:bottom w:val="single" w:color="auto" w:sz="4" w:space="0"/>
            </w:tcBorders>
            <w:vAlign w:val="center"/>
          </w:tcPr>
          <w:p>
            <w:pPr>
              <w:pStyle w:val="11"/>
            </w:pPr>
            <w:r>
              <w:t>G_PGDP</w:t>
            </w:r>
          </w:p>
        </w:tc>
        <w:tc>
          <w:tcPr>
            <w:tcW w:w="1376" w:type="dxa"/>
            <w:tcBorders>
              <w:top w:val="nil"/>
              <w:bottom w:val="single" w:color="auto" w:sz="4" w:space="0"/>
            </w:tcBorders>
            <w:vAlign w:val="center"/>
          </w:tcPr>
          <w:p>
            <w:pPr>
              <w:pStyle w:val="11"/>
            </w:pPr>
            <w:r>
              <w:t>G_GNI</w:t>
            </w:r>
          </w:p>
        </w:tc>
        <w:tc>
          <w:tcPr>
            <w:tcW w:w="1375" w:type="dxa"/>
            <w:tcBorders>
              <w:top w:val="nil"/>
              <w:bottom w:val="single" w:color="auto" w:sz="4" w:space="0"/>
            </w:tcBorders>
            <w:vAlign w:val="center"/>
          </w:tcPr>
          <w:p>
            <w:pPr>
              <w:pStyle w:val="11"/>
            </w:pPr>
            <w:r>
              <w:t>G_GNI</w:t>
            </w:r>
          </w:p>
        </w:tc>
        <w:tc>
          <w:tcPr>
            <w:tcW w:w="1376" w:type="dxa"/>
            <w:tcBorders>
              <w:top w:val="nil"/>
              <w:bottom w:val="single" w:color="auto" w:sz="4" w:space="0"/>
            </w:tcBorders>
            <w:vAlign w:val="center"/>
          </w:tcPr>
          <w:p>
            <w:pPr>
              <w:pStyle w:val="11"/>
            </w:pPr>
            <w:r>
              <w:t>G_GDP</w:t>
            </w:r>
          </w:p>
        </w:tc>
        <w:tc>
          <w:tcPr>
            <w:tcW w:w="1376" w:type="dxa"/>
            <w:tcBorders>
              <w:top w:val="nil"/>
              <w:bottom w:val="single" w:color="auto" w:sz="4" w:space="0"/>
            </w:tcBorders>
            <w:vAlign w:val="center"/>
          </w:tcPr>
          <w:p>
            <w:pPr>
              <w:pStyle w:val="11"/>
            </w:pPr>
            <w:r>
              <w:t>G_GDP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Sta_Top10</w:t>
            </w:r>
          </w:p>
        </w:tc>
        <w:tc>
          <w:tcPr>
            <w:tcW w:w="1375" w:type="dxa"/>
            <w:vAlign w:val="center"/>
          </w:tcPr>
          <w:p>
            <w:pPr>
              <w:pStyle w:val="11"/>
            </w:pPr>
            <w:r>
              <w:t>0.102**</w:t>
            </w:r>
          </w:p>
          <w:p>
            <w:pPr>
              <w:pStyle w:val="11"/>
            </w:pPr>
            <w:r>
              <w:t>(0.042)</w:t>
            </w:r>
          </w:p>
        </w:tc>
        <w:tc>
          <w:tcPr>
            <w:tcW w:w="1376" w:type="dxa"/>
            <w:vAlign w:val="center"/>
          </w:tcPr>
          <w:p>
            <w:pPr>
              <w:pStyle w:val="11"/>
            </w:pPr>
            <w:r>
              <w:t>-0.076</w:t>
            </w:r>
          </w:p>
          <w:p>
            <w:pPr>
              <w:pStyle w:val="11"/>
            </w:pPr>
            <w:r>
              <w:t>(0.051)</w:t>
            </w:r>
          </w:p>
        </w:tc>
        <w:tc>
          <w:tcPr>
            <w:tcW w:w="1376" w:type="dxa"/>
            <w:vAlign w:val="center"/>
          </w:tcPr>
          <w:p>
            <w:pPr>
              <w:pStyle w:val="11"/>
            </w:pPr>
            <w:r>
              <w:t>0.501**</w:t>
            </w:r>
          </w:p>
          <w:p>
            <w:pPr>
              <w:pStyle w:val="11"/>
            </w:pPr>
            <w:r>
              <w:t>(0.214)</w:t>
            </w:r>
          </w:p>
        </w:tc>
        <w:tc>
          <w:tcPr>
            <w:tcW w:w="1375" w:type="dxa"/>
            <w:vAlign w:val="center"/>
          </w:tcPr>
          <w:p>
            <w:pPr>
              <w:pStyle w:val="11"/>
            </w:pPr>
            <w:r>
              <w:t>-0.236</w:t>
            </w:r>
          </w:p>
          <w:p>
            <w:pPr>
              <w:pStyle w:val="11"/>
            </w:pPr>
            <w:r>
              <w:t>(0.162)</w:t>
            </w:r>
          </w:p>
        </w:tc>
        <w:tc>
          <w:tcPr>
            <w:tcW w:w="1376" w:type="dxa"/>
            <w:vAlign w:val="center"/>
          </w:tcPr>
          <w:p>
            <w:pPr>
              <w:pStyle w:val="11"/>
            </w:pPr>
            <w:r>
              <w:t>0.051*</w:t>
            </w:r>
          </w:p>
          <w:p>
            <w:pPr>
              <w:pStyle w:val="11"/>
            </w:pPr>
            <w:r>
              <w:t>(0.028)</w:t>
            </w:r>
          </w:p>
        </w:tc>
        <w:tc>
          <w:tcPr>
            <w:tcW w:w="1376" w:type="dxa"/>
            <w:vAlign w:val="center"/>
          </w:tcPr>
          <w:p>
            <w:pPr>
              <w:pStyle w:val="11"/>
            </w:pPr>
            <w:r>
              <w:t>-0.069</w:t>
            </w:r>
          </w:p>
          <w:p>
            <w:pPr>
              <w:pStyle w:val="11"/>
            </w:pPr>
            <w:r>
              <w:t>(0.043)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Trade_value</w:t>
            </w:r>
          </w:p>
        </w:tc>
        <w:tc>
          <w:tcPr>
            <w:tcW w:w="1375" w:type="dxa"/>
            <w:vAlign w:val="center"/>
          </w:tcPr>
          <w:p>
            <w:pPr>
              <w:pStyle w:val="11"/>
            </w:pPr>
            <w:r>
              <w:t>0.014</w:t>
            </w:r>
          </w:p>
          <w:p>
            <w:pPr>
              <w:pStyle w:val="11"/>
            </w:pPr>
            <w:r>
              <w:t>(0.295)</w:t>
            </w:r>
          </w:p>
        </w:tc>
        <w:tc>
          <w:tcPr>
            <w:tcW w:w="1376" w:type="dxa"/>
            <w:vAlign w:val="center"/>
          </w:tcPr>
          <w:p>
            <w:pPr>
              <w:pStyle w:val="11"/>
            </w:pPr>
            <w:r>
              <w:t>0.088</w:t>
            </w:r>
          </w:p>
          <w:p>
            <w:pPr>
              <w:pStyle w:val="11"/>
            </w:pPr>
            <w:r>
              <w:t>(0.192)</w:t>
            </w:r>
          </w:p>
        </w:tc>
        <w:tc>
          <w:tcPr>
            <w:tcW w:w="1376" w:type="dxa"/>
            <w:vAlign w:val="center"/>
          </w:tcPr>
          <w:p>
            <w:pPr>
              <w:pStyle w:val="11"/>
            </w:pPr>
            <w:r>
              <w:t>-2.531</w:t>
            </w:r>
          </w:p>
          <w:p>
            <w:pPr>
              <w:pStyle w:val="11"/>
            </w:pPr>
            <w:r>
              <w:t>(2.010)</w:t>
            </w:r>
          </w:p>
        </w:tc>
        <w:tc>
          <w:tcPr>
            <w:tcW w:w="1375" w:type="dxa"/>
            <w:vAlign w:val="center"/>
          </w:tcPr>
          <w:p>
            <w:pPr>
              <w:pStyle w:val="11"/>
            </w:pPr>
            <w:r>
              <w:t>-0.049</w:t>
            </w:r>
          </w:p>
          <w:p>
            <w:pPr>
              <w:pStyle w:val="11"/>
            </w:pPr>
            <w:r>
              <w:t>(0.862)</w:t>
            </w:r>
          </w:p>
        </w:tc>
        <w:tc>
          <w:tcPr>
            <w:tcW w:w="1376" w:type="dxa"/>
            <w:vAlign w:val="center"/>
          </w:tcPr>
          <w:p>
            <w:pPr>
              <w:pStyle w:val="11"/>
            </w:pPr>
            <w:r>
              <w:t>-0.055</w:t>
            </w:r>
          </w:p>
          <w:p>
            <w:pPr>
              <w:pStyle w:val="11"/>
            </w:pPr>
            <w:r>
              <w:t>(0.172)</w:t>
            </w:r>
          </w:p>
        </w:tc>
        <w:tc>
          <w:tcPr>
            <w:tcW w:w="1376" w:type="dxa"/>
            <w:vAlign w:val="center"/>
          </w:tcPr>
          <w:p>
            <w:pPr>
              <w:pStyle w:val="11"/>
            </w:pPr>
            <w:r>
              <w:t>0.232</w:t>
            </w:r>
          </w:p>
          <w:p>
            <w:pPr>
              <w:pStyle w:val="11"/>
            </w:pPr>
            <w:r>
              <w:t>(0.264)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Life</w:t>
            </w:r>
          </w:p>
        </w:tc>
        <w:tc>
          <w:tcPr>
            <w:tcW w:w="1375" w:type="dxa"/>
            <w:vAlign w:val="center"/>
          </w:tcPr>
          <w:p>
            <w:pPr>
              <w:pStyle w:val="11"/>
            </w:pPr>
            <w:r>
              <w:t>-0.027</w:t>
            </w:r>
          </w:p>
          <w:p>
            <w:pPr>
              <w:pStyle w:val="11"/>
            </w:pPr>
            <w:r>
              <w:t>(0.094)</w:t>
            </w:r>
          </w:p>
        </w:tc>
        <w:tc>
          <w:tcPr>
            <w:tcW w:w="1376" w:type="dxa"/>
            <w:vAlign w:val="center"/>
          </w:tcPr>
          <w:p>
            <w:pPr>
              <w:pStyle w:val="11"/>
            </w:pPr>
            <w:r>
              <w:t>0.236</w:t>
            </w:r>
          </w:p>
          <w:p>
            <w:pPr>
              <w:pStyle w:val="11"/>
            </w:pPr>
            <w:r>
              <w:t>(0.217)</w:t>
            </w:r>
          </w:p>
        </w:tc>
        <w:tc>
          <w:tcPr>
            <w:tcW w:w="1376" w:type="dxa"/>
            <w:vAlign w:val="center"/>
          </w:tcPr>
          <w:p>
            <w:pPr>
              <w:pStyle w:val="11"/>
            </w:pPr>
            <w:r>
              <w:t>0.019</w:t>
            </w:r>
          </w:p>
          <w:p>
            <w:pPr>
              <w:pStyle w:val="11"/>
            </w:pPr>
            <w:r>
              <w:t>(0.336)</w:t>
            </w:r>
          </w:p>
        </w:tc>
        <w:tc>
          <w:tcPr>
            <w:tcW w:w="1375" w:type="dxa"/>
            <w:vAlign w:val="center"/>
          </w:tcPr>
          <w:p>
            <w:pPr>
              <w:pStyle w:val="11"/>
            </w:pPr>
            <w:r>
              <w:t>0.775</w:t>
            </w:r>
          </w:p>
          <w:p>
            <w:pPr>
              <w:pStyle w:val="11"/>
            </w:pPr>
            <w:r>
              <w:t>(1.035)</w:t>
            </w:r>
          </w:p>
        </w:tc>
        <w:tc>
          <w:tcPr>
            <w:tcW w:w="1376" w:type="dxa"/>
            <w:vAlign w:val="center"/>
          </w:tcPr>
          <w:p>
            <w:pPr>
              <w:pStyle w:val="11"/>
            </w:pPr>
            <w:r>
              <w:t>0.011</w:t>
            </w:r>
          </w:p>
          <w:p>
            <w:pPr>
              <w:pStyle w:val="11"/>
            </w:pPr>
            <w:r>
              <w:t>(0.066)</w:t>
            </w:r>
          </w:p>
        </w:tc>
        <w:tc>
          <w:tcPr>
            <w:tcW w:w="1376" w:type="dxa"/>
            <w:vAlign w:val="center"/>
          </w:tcPr>
          <w:p>
            <w:pPr>
              <w:pStyle w:val="11"/>
            </w:pPr>
            <w:r>
              <w:t>-0.038</w:t>
            </w:r>
          </w:p>
          <w:p>
            <w:pPr>
              <w:pStyle w:val="11"/>
            </w:pPr>
            <w:r>
              <w:t>(0.194)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Farm</w:t>
            </w:r>
          </w:p>
        </w:tc>
        <w:tc>
          <w:tcPr>
            <w:tcW w:w="1375" w:type="dxa"/>
            <w:vAlign w:val="center"/>
          </w:tcPr>
          <w:p>
            <w:pPr>
              <w:pStyle w:val="11"/>
            </w:pPr>
            <w:r>
              <w:t>-0.101</w:t>
            </w:r>
          </w:p>
          <w:p>
            <w:pPr>
              <w:pStyle w:val="11"/>
            </w:pPr>
            <w:r>
              <w:t>(0.078)</w:t>
            </w:r>
          </w:p>
        </w:tc>
        <w:tc>
          <w:tcPr>
            <w:tcW w:w="1376" w:type="dxa"/>
            <w:vAlign w:val="center"/>
          </w:tcPr>
          <w:p>
            <w:pPr>
              <w:pStyle w:val="11"/>
            </w:pPr>
            <w:r>
              <w:t>-0.001</w:t>
            </w:r>
          </w:p>
          <w:p>
            <w:pPr>
              <w:pStyle w:val="11"/>
            </w:pPr>
            <w:r>
              <w:t>(0.006)</w:t>
            </w:r>
          </w:p>
        </w:tc>
        <w:tc>
          <w:tcPr>
            <w:tcW w:w="1376" w:type="dxa"/>
            <w:vAlign w:val="center"/>
          </w:tcPr>
          <w:p>
            <w:pPr>
              <w:pStyle w:val="11"/>
            </w:pPr>
            <w:r>
              <w:t>-0.400</w:t>
            </w:r>
          </w:p>
          <w:p>
            <w:pPr>
              <w:pStyle w:val="11"/>
            </w:pPr>
            <w:r>
              <w:t>(0.427)</w:t>
            </w:r>
          </w:p>
        </w:tc>
        <w:tc>
          <w:tcPr>
            <w:tcW w:w="1375" w:type="dxa"/>
            <w:vAlign w:val="center"/>
          </w:tcPr>
          <w:p>
            <w:pPr>
              <w:pStyle w:val="11"/>
            </w:pPr>
            <w:r>
              <w:t>-0.371</w:t>
            </w:r>
            <w:r>
              <w:rPr>
                <w:vertAlign w:val="superscript"/>
              </w:rPr>
              <w:t>*</w:t>
            </w:r>
          </w:p>
          <w:p>
            <w:pPr>
              <w:pStyle w:val="11"/>
            </w:pPr>
            <w:r>
              <w:t>(0.195)</w:t>
            </w:r>
          </w:p>
        </w:tc>
        <w:tc>
          <w:tcPr>
            <w:tcW w:w="1376" w:type="dxa"/>
            <w:vAlign w:val="center"/>
          </w:tcPr>
          <w:p>
            <w:pPr>
              <w:pStyle w:val="11"/>
            </w:pPr>
            <w:r>
              <w:t>-0.014</w:t>
            </w:r>
          </w:p>
          <w:p>
            <w:pPr>
              <w:pStyle w:val="11"/>
            </w:pPr>
            <w:r>
              <w:t>(0.048)</w:t>
            </w:r>
          </w:p>
        </w:tc>
        <w:tc>
          <w:tcPr>
            <w:tcW w:w="1376" w:type="dxa"/>
            <w:vAlign w:val="center"/>
          </w:tcPr>
          <w:p>
            <w:pPr>
              <w:pStyle w:val="11"/>
            </w:pPr>
            <w:r>
              <w:t>0.000</w:t>
            </w:r>
          </w:p>
          <w:p>
            <w:pPr>
              <w:pStyle w:val="11"/>
            </w:pPr>
            <w:r>
              <w:t>(0.005)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Instituional characteristics</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Control variables</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Fixed Effect</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c>
          <w:tcPr>
            <w:tcW w:w="1375" w:type="dxa"/>
            <w:vAlign w:val="center"/>
          </w:tcPr>
          <w:p>
            <w:pPr>
              <w:pStyle w:val="11"/>
            </w:pPr>
            <w:r>
              <w:t>Y</w:t>
            </w:r>
          </w:p>
        </w:tc>
        <w:tc>
          <w:tcPr>
            <w:tcW w:w="1376" w:type="dxa"/>
            <w:vAlign w:val="center"/>
          </w:tcPr>
          <w:p>
            <w:pPr>
              <w:pStyle w:val="11"/>
            </w:pPr>
            <w:r>
              <w:t>Y</w:t>
            </w:r>
          </w:p>
        </w:tc>
        <w:tc>
          <w:tcPr>
            <w:tcW w:w="1376"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vAlign w:val="center"/>
          </w:tcPr>
          <w:p>
            <w:pPr>
              <w:pStyle w:val="11"/>
            </w:pPr>
            <w:r>
              <w:t>Sample size</w:t>
            </w:r>
          </w:p>
        </w:tc>
        <w:tc>
          <w:tcPr>
            <w:tcW w:w="1375" w:type="dxa"/>
            <w:vAlign w:val="center"/>
          </w:tcPr>
          <w:p>
            <w:pPr>
              <w:pStyle w:val="11"/>
            </w:pPr>
            <w:r>
              <w:t>252,691</w:t>
            </w:r>
          </w:p>
        </w:tc>
        <w:tc>
          <w:tcPr>
            <w:tcW w:w="1376" w:type="dxa"/>
            <w:vAlign w:val="center"/>
          </w:tcPr>
          <w:p>
            <w:pPr>
              <w:pStyle w:val="11"/>
            </w:pPr>
            <w:r>
              <w:t>204,718</w:t>
            </w:r>
          </w:p>
        </w:tc>
        <w:tc>
          <w:tcPr>
            <w:tcW w:w="1376" w:type="dxa"/>
            <w:vAlign w:val="center"/>
          </w:tcPr>
          <w:p>
            <w:pPr>
              <w:pStyle w:val="11"/>
            </w:pPr>
            <w:r>
              <w:t>277,026</w:t>
            </w:r>
          </w:p>
        </w:tc>
        <w:tc>
          <w:tcPr>
            <w:tcW w:w="1375" w:type="dxa"/>
            <w:vAlign w:val="center"/>
          </w:tcPr>
          <w:p>
            <w:pPr>
              <w:pStyle w:val="11"/>
            </w:pPr>
            <w:r>
              <w:t>219,640</w:t>
            </w:r>
          </w:p>
        </w:tc>
        <w:tc>
          <w:tcPr>
            <w:tcW w:w="1376" w:type="dxa"/>
            <w:vAlign w:val="center"/>
          </w:tcPr>
          <w:p>
            <w:pPr>
              <w:pStyle w:val="11"/>
            </w:pPr>
            <w:r>
              <w:t>264,967</w:t>
            </w:r>
          </w:p>
        </w:tc>
        <w:tc>
          <w:tcPr>
            <w:tcW w:w="1376" w:type="dxa"/>
            <w:vAlign w:val="center"/>
          </w:tcPr>
          <w:p>
            <w:pPr>
              <w:pStyle w:val="11"/>
            </w:pPr>
            <w:r>
              <w:t>211,595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528" w:type="dxa"/>
            <w:tcBorders>
              <w:bottom w:val="single" w:color="auto" w:sz="4" w:space="0"/>
            </w:tcBorders>
            <w:vAlign w:val="center"/>
          </w:tcPr>
          <w:p>
            <w:pPr>
              <w:pStyle w:val="11"/>
            </w:pPr>
            <w:r>
              <w:t>R</w:t>
            </w:r>
            <w:r>
              <w:rPr>
                <w:vertAlign w:val="superscript"/>
              </w:rPr>
              <w:t>2</w:t>
            </w:r>
          </w:p>
        </w:tc>
        <w:tc>
          <w:tcPr>
            <w:tcW w:w="1375" w:type="dxa"/>
            <w:tcBorders>
              <w:bottom w:val="single" w:color="auto" w:sz="4" w:space="0"/>
            </w:tcBorders>
            <w:vAlign w:val="center"/>
          </w:tcPr>
          <w:p>
            <w:pPr>
              <w:pStyle w:val="11"/>
            </w:pPr>
            <w:r>
              <w:t>0.534</w:t>
            </w:r>
          </w:p>
        </w:tc>
        <w:tc>
          <w:tcPr>
            <w:tcW w:w="1376" w:type="dxa"/>
            <w:tcBorders>
              <w:bottom w:val="single" w:color="auto" w:sz="4" w:space="0"/>
            </w:tcBorders>
            <w:vAlign w:val="center"/>
          </w:tcPr>
          <w:p>
            <w:pPr>
              <w:pStyle w:val="11"/>
            </w:pPr>
            <w:r>
              <w:t>0.443</w:t>
            </w:r>
          </w:p>
        </w:tc>
        <w:tc>
          <w:tcPr>
            <w:tcW w:w="1376" w:type="dxa"/>
            <w:tcBorders>
              <w:bottom w:val="single" w:color="auto" w:sz="4" w:space="0"/>
            </w:tcBorders>
            <w:vAlign w:val="center"/>
          </w:tcPr>
          <w:p>
            <w:pPr>
              <w:pStyle w:val="11"/>
            </w:pPr>
            <w:r>
              <w:t>0.661</w:t>
            </w:r>
          </w:p>
        </w:tc>
        <w:tc>
          <w:tcPr>
            <w:tcW w:w="1375" w:type="dxa"/>
            <w:tcBorders>
              <w:bottom w:val="single" w:color="auto" w:sz="4" w:space="0"/>
            </w:tcBorders>
            <w:vAlign w:val="center"/>
          </w:tcPr>
          <w:p>
            <w:pPr>
              <w:pStyle w:val="11"/>
            </w:pPr>
            <w:r>
              <w:t>0.602</w:t>
            </w:r>
          </w:p>
        </w:tc>
        <w:tc>
          <w:tcPr>
            <w:tcW w:w="1376" w:type="dxa"/>
            <w:tcBorders>
              <w:bottom w:val="single" w:color="auto" w:sz="4" w:space="0"/>
            </w:tcBorders>
            <w:vAlign w:val="center"/>
          </w:tcPr>
          <w:p>
            <w:pPr>
              <w:pStyle w:val="11"/>
            </w:pPr>
            <w:r>
              <w:t>0.600</w:t>
            </w:r>
          </w:p>
        </w:tc>
        <w:tc>
          <w:tcPr>
            <w:tcW w:w="1376" w:type="dxa"/>
            <w:tcBorders>
              <w:bottom w:val="single" w:color="auto" w:sz="4" w:space="0"/>
            </w:tcBorders>
            <w:vAlign w:val="center"/>
          </w:tcPr>
          <w:p>
            <w:pPr>
              <w:pStyle w:val="11"/>
            </w:pPr>
            <w:r>
              <w:t>0.466</w:t>
            </w:r>
          </w:p>
        </w:tc>
      </w:tr>
    </w:tbl>
    <w:p>
      <w:pPr>
        <w:pStyle w:val="14"/>
      </w:pPr>
      <w:r>
        <w:t>Note: See note of Table 1 for model specification. ***p &lt; 0.01, **p &lt; 0.05, *p &lt; 0.10. The results across all columns are consistent with previous baseline results.</w:t>
      </w:r>
    </w:p>
    <w:p>
      <w:pPr>
        <w:pStyle w:val="13"/>
      </w:pPr>
      <w:r>
        <w:t>Table A4 Changes to independent variables (alternative cut-off)</w:t>
      </w:r>
    </w:p>
    <w:tbl>
      <w:tblPr>
        <w:tblStyle w:val="5"/>
        <w:tblW w:w="77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37"/>
        <w:gridCol w:w="1523"/>
        <w:gridCol w:w="1523"/>
        <w:gridCol w:w="1523"/>
        <w:gridCol w:w="15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tcBorders>
              <w:top w:val="single" w:color="auto" w:sz="4" w:space="0"/>
            </w:tcBorders>
            <w:vAlign w:val="center"/>
          </w:tcPr>
          <w:p>
            <w:pPr>
              <w:pStyle w:val="11"/>
            </w:pPr>
          </w:p>
        </w:tc>
        <w:tc>
          <w:tcPr>
            <w:tcW w:w="1523" w:type="dxa"/>
            <w:tcBorders>
              <w:top w:val="single" w:color="auto" w:sz="4" w:space="0"/>
            </w:tcBorders>
            <w:vAlign w:val="center"/>
          </w:tcPr>
          <w:p>
            <w:pPr>
              <w:pStyle w:val="11"/>
            </w:pPr>
            <w:r>
              <w:t>(1)</w:t>
            </w:r>
          </w:p>
        </w:tc>
        <w:tc>
          <w:tcPr>
            <w:tcW w:w="1523" w:type="dxa"/>
            <w:tcBorders>
              <w:top w:val="single" w:color="auto" w:sz="4" w:space="0"/>
            </w:tcBorders>
            <w:vAlign w:val="center"/>
          </w:tcPr>
          <w:p>
            <w:pPr>
              <w:pStyle w:val="11"/>
            </w:pPr>
            <w:r>
              <w:t>(2)</w:t>
            </w:r>
          </w:p>
        </w:tc>
        <w:tc>
          <w:tcPr>
            <w:tcW w:w="1523" w:type="dxa"/>
            <w:tcBorders>
              <w:top w:val="single" w:color="auto" w:sz="4" w:space="0"/>
            </w:tcBorders>
            <w:vAlign w:val="center"/>
          </w:tcPr>
          <w:p>
            <w:pPr>
              <w:pStyle w:val="11"/>
            </w:pPr>
            <w:r>
              <w:t>(3)</w:t>
            </w:r>
          </w:p>
        </w:tc>
        <w:tc>
          <w:tcPr>
            <w:tcW w:w="1523" w:type="dxa"/>
            <w:tcBorders>
              <w:top w:val="single" w:color="auto" w:sz="4" w:space="0"/>
            </w:tcBorders>
            <w:vAlign w:val="center"/>
          </w:tcPr>
          <w:p>
            <w:pPr>
              <w:pStyle w:val="11"/>
            </w:pPr>
            <w: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tcBorders>
              <w:bottom w:val="nil"/>
            </w:tcBorders>
            <w:vAlign w:val="center"/>
          </w:tcPr>
          <w:p>
            <w:pPr>
              <w:pStyle w:val="11"/>
            </w:pPr>
          </w:p>
        </w:tc>
        <w:tc>
          <w:tcPr>
            <w:tcW w:w="1523" w:type="dxa"/>
            <w:tcBorders>
              <w:bottom w:val="nil"/>
            </w:tcBorders>
            <w:vAlign w:val="center"/>
          </w:tcPr>
          <w:p>
            <w:pPr>
              <w:pStyle w:val="11"/>
            </w:pPr>
            <w:r>
              <w:t>Developing countries</w:t>
            </w:r>
          </w:p>
        </w:tc>
        <w:tc>
          <w:tcPr>
            <w:tcW w:w="1523" w:type="dxa"/>
            <w:tcBorders>
              <w:bottom w:val="nil"/>
            </w:tcBorders>
            <w:vAlign w:val="center"/>
          </w:tcPr>
          <w:p>
            <w:pPr>
              <w:pStyle w:val="11"/>
            </w:pPr>
            <w:r>
              <w:t>Developed countries</w:t>
            </w:r>
          </w:p>
        </w:tc>
        <w:tc>
          <w:tcPr>
            <w:tcW w:w="1523" w:type="dxa"/>
            <w:tcBorders>
              <w:bottom w:val="nil"/>
            </w:tcBorders>
            <w:vAlign w:val="center"/>
          </w:tcPr>
          <w:p>
            <w:pPr>
              <w:pStyle w:val="11"/>
            </w:pPr>
            <w:r>
              <w:t>Developing countries</w:t>
            </w:r>
          </w:p>
        </w:tc>
        <w:tc>
          <w:tcPr>
            <w:tcW w:w="1523" w:type="dxa"/>
            <w:tcBorders>
              <w:bottom w:val="nil"/>
            </w:tcBorders>
            <w:vAlign w:val="center"/>
          </w:tcPr>
          <w:p>
            <w:pPr>
              <w:pStyle w:val="11"/>
            </w:pPr>
            <w:r>
              <w:t>Developed countries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tcBorders>
              <w:top w:val="nil"/>
              <w:bottom w:val="single" w:color="auto" w:sz="4" w:space="0"/>
            </w:tcBorders>
            <w:vAlign w:val="center"/>
          </w:tcPr>
          <w:p>
            <w:pPr>
              <w:pStyle w:val="11"/>
            </w:pPr>
          </w:p>
        </w:tc>
        <w:tc>
          <w:tcPr>
            <w:tcW w:w="1523" w:type="dxa"/>
            <w:tcBorders>
              <w:top w:val="nil"/>
              <w:bottom w:val="single" w:color="auto" w:sz="4" w:space="0"/>
            </w:tcBorders>
            <w:vAlign w:val="center"/>
          </w:tcPr>
          <w:p>
            <w:pPr>
              <w:pStyle w:val="11"/>
            </w:pPr>
            <w:r>
              <w:t>G_PGNI</w:t>
            </w:r>
          </w:p>
        </w:tc>
        <w:tc>
          <w:tcPr>
            <w:tcW w:w="1523" w:type="dxa"/>
            <w:tcBorders>
              <w:top w:val="nil"/>
              <w:bottom w:val="single" w:color="auto" w:sz="4" w:space="0"/>
            </w:tcBorders>
            <w:vAlign w:val="center"/>
          </w:tcPr>
          <w:p>
            <w:pPr>
              <w:pStyle w:val="11"/>
            </w:pPr>
            <w:r>
              <w:t>G_PGNI</w:t>
            </w:r>
          </w:p>
        </w:tc>
        <w:tc>
          <w:tcPr>
            <w:tcW w:w="1523" w:type="dxa"/>
            <w:tcBorders>
              <w:top w:val="nil"/>
              <w:bottom w:val="single" w:color="auto" w:sz="4" w:space="0"/>
            </w:tcBorders>
            <w:vAlign w:val="center"/>
          </w:tcPr>
          <w:p>
            <w:pPr>
              <w:pStyle w:val="11"/>
            </w:pPr>
            <w:r>
              <w:t>G_PGNI</w:t>
            </w:r>
          </w:p>
        </w:tc>
        <w:tc>
          <w:tcPr>
            <w:tcW w:w="1523" w:type="dxa"/>
            <w:tcBorders>
              <w:top w:val="nil"/>
              <w:bottom w:val="single" w:color="auto" w:sz="4" w:space="0"/>
            </w:tcBorders>
            <w:vAlign w:val="center"/>
          </w:tcPr>
          <w:p>
            <w:pPr>
              <w:pStyle w:val="11"/>
            </w:pPr>
            <w:r>
              <w:t>G_PGNI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Sta_Top5</w:t>
            </w:r>
          </w:p>
        </w:tc>
        <w:tc>
          <w:tcPr>
            <w:tcW w:w="1523" w:type="dxa"/>
            <w:vAlign w:val="center"/>
          </w:tcPr>
          <w:p>
            <w:pPr>
              <w:pStyle w:val="11"/>
            </w:pPr>
            <w:r>
              <w:t>0.164***</w:t>
            </w:r>
          </w:p>
          <w:p>
            <w:pPr>
              <w:pStyle w:val="11"/>
            </w:pPr>
            <w:r>
              <w:t>(0.050)</w:t>
            </w:r>
          </w:p>
        </w:tc>
        <w:tc>
          <w:tcPr>
            <w:tcW w:w="1523" w:type="dxa"/>
            <w:vAlign w:val="center"/>
          </w:tcPr>
          <w:p>
            <w:pPr>
              <w:pStyle w:val="11"/>
            </w:pPr>
            <w:r>
              <w:t>-0.007</w:t>
            </w:r>
          </w:p>
          <w:p>
            <w:pPr>
              <w:pStyle w:val="11"/>
            </w:pPr>
            <w:r>
              <w:t>(0.031)</w:t>
            </w:r>
          </w:p>
        </w:tc>
        <w:tc>
          <w:tcPr>
            <w:tcW w:w="1523" w:type="dxa"/>
            <w:vAlign w:val="center"/>
          </w:tcPr>
          <w:p>
            <w:pPr>
              <w:pStyle w:val="11"/>
            </w:pPr>
          </w:p>
        </w:tc>
        <w:tc>
          <w:tcPr>
            <w:tcW w:w="1523" w:type="dxa"/>
            <w:vAlign w:val="center"/>
          </w:tcPr>
          <w:p>
            <w:pPr>
              <w:pStyle w:val="11"/>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Sta_Top15</w:t>
            </w:r>
          </w:p>
        </w:tc>
        <w:tc>
          <w:tcPr>
            <w:tcW w:w="1523" w:type="dxa"/>
            <w:vAlign w:val="center"/>
          </w:tcPr>
          <w:p>
            <w:pPr>
              <w:pStyle w:val="11"/>
            </w:pPr>
          </w:p>
        </w:tc>
        <w:tc>
          <w:tcPr>
            <w:tcW w:w="1523" w:type="dxa"/>
            <w:vAlign w:val="center"/>
          </w:tcPr>
          <w:p>
            <w:pPr>
              <w:pStyle w:val="11"/>
            </w:pPr>
          </w:p>
        </w:tc>
        <w:tc>
          <w:tcPr>
            <w:tcW w:w="1523" w:type="dxa"/>
            <w:vAlign w:val="center"/>
          </w:tcPr>
          <w:p>
            <w:pPr>
              <w:pStyle w:val="11"/>
            </w:pPr>
            <w:r>
              <w:t>0.198***</w:t>
            </w:r>
          </w:p>
          <w:p>
            <w:pPr>
              <w:pStyle w:val="11"/>
            </w:pPr>
            <w:r>
              <w:t>(0.054)</w:t>
            </w:r>
          </w:p>
        </w:tc>
        <w:tc>
          <w:tcPr>
            <w:tcW w:w="1523" w:type="dxa"/>
            <w:vAlign w:val="center"/>
          </w:tcPr>
          <w:p>
            <w:pPr>
              <w:pStyle w:val="11"/>
            </w:pPr>
            <w:r>
              <w:t>0.001</w:t>
            </w:r>
          </w:p>
          <w:p>
            <w:pPr>
              <w:pStyle w:val="11"/>
            </w:pPr>
            <w:r>
              <w:t>(0.039)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Trade_value</w:t>
            </w:r>
          </w:p>
        </w:tc>
        <w:tc>
          <w:tcPr>
            <w:tcW w:w="1523" w:type="dxa"/>
            <w:vAlign w:val="center"/>
          </w:tcPr>
          <w:p>
            <w:pPr>
              <w:pStyle w:val="11"/>
            </w:pPr>
            <w:r>
              <w:t>0.305</w:t>
            </w:r>
          </w:p>
          <w:p>
            <w:pPr>
              <w:pStyle w:val="11"/>
            </w:pPr>
            <w:r>
              <w:t>(0.344)</w:t>
            </w:r>
          </w:p>
        </w:tc>
        <w:tc>
          <w:tcPr>
            <w:tcW w:w="1523" w:type="dxa"/>
            <w:vAlign w:val="center"/>
          </w:tcPr>
          <w:p>
            <w:pPr>
              <w:pStyle w:val="11"/>
            </w:pPr>
            <w:r>
              <w:t>0.031</w:t>
            </w:r>
          </w:p>
          <w:p>
            <w:pPr>
              <w:pStyle w:val="11"/>
            </w:pPr>
            <w:r>
              <w:t>(0.221)</w:t>
            </w:r>
          </w:p>
        </w:tc>
        <w:tc>
          <w:tcPr>
            <w:tcW w:w="1523" w:type="dxa"/>
            <w:vAlign w:val="center"/>
          </w:tcPr>
          <w:p>
            <w:pPr>
              <w:pStyle w:val="11"/>
            </w:pPr>
            <w:r>
              <w:t>0.326</w:t>
            </w:r>
          </w:p>
          <w:p>
            <w:pPr>
              <w:pStyle w:val="11"/>
            </w:pPr>
            <w:r>
              <w:t>(0.349)</w:t>
            </w:r>
          </w:p>
        </w:tc>
        <w:tc>
          <w:tcPr>
            <w:tcW w:w="1523" w:type="dxa"/>
            <w:vAlign w:val="center"/>
          </w:tcPr>
          <w:p>
            <w:pPr>
              <w:pStyle w:val="11"/>
            </w:pPr>
            <w:r>
              <w:t>0.046</w:t>
            </w:r>
          </w:p>
          <w:p>
            <w:pPr>
              <w:pStyle w:val="11"/>
            </w:pPr>
            <w:r>
              <w:t>(0.217)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Life</w:t>
            </w:r>
          </w:p>
        </w:tc>
        <w:tc>
          <w:tcPr>
            <w:tcW w:w="1523" w:type="dxa"/>
            <w:vAlign w:val="center"/>
          </w:tcPr>
          <w:p>
            <w:pPr>
              <w:pStyle w:val="11"/>
            </w:pPr>
            <w:r>
              <w:t>0.120</w:t>
            </w:r>
          </w:p>
          <w:p>
            <w:pPr>
              <w:pStyle w:val="11"/>
            </w:pPr>
            <w:r>
              <w:t>(0.109)</w:t>
            </w:r>
          </w:p>
        </w:tc>
        <w:tc>
          <w:tcPr>
            <w:tcW w:w="1523" w:type="dxa"/>
            <w:vAlign w:val="center"/>
          </w:tcPr>
          <w:p>
            <w:pPr>
              <w:pStyle w:val="11"/>
            </w:pPr>
            <w:r>
              <w:t>-0.363</w:t>
            </w:r>
          </w:p>
          <w:p>
            <w:pPr>
              <w:pStyle w:val="11"/>
            </w:pPr>
            <w:r>
              <w:t>(0.334)</w:t>
            </w:r>
          </w:p>
        </w:tc>
        <w:tc>
          <w:tcPr>
            <w:tcW w:w="1523" w:type="dxa"/>
            <w:vAlign w:val="center"/>
          </w:tcPr>
          <w:p>
            <w:pPr>
              <w:pStyle w:val="11"/>
            </w:pPr>
            <w:r>
              <w:t>0.119</w:t>
            </w:r>
          </w:p>
          <w:p>
            <w:pPr>
              <w:pStyle w:val="11"/>
            </w:pPr>
            <w:r>
              <w:t>(0.108)</w:t>
            </w:r>
          </w:p>
        </w:tc>
        <w:tc>
          <w:tcPr>
            <w:tcW w:w="1523" w:type="dxa"/>
            <w:vAlign w:val="center"/>
          </w:tcPr>
          <w:p>
            <w:pPr>
              <w:pStyle w:val="11"/>
            </w:pPr>
            <w:r>
              <w:t>-0.364</w:t>
            </w:r>
          </w:p>
          <w:p>
            <w:pPr>
              <w:pStyle w:val="11"/>
            </w:pPr>
            <w:r>
              <w:t>(0.334)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Farm</w:t>
            </w:r>
          </w:p>
        </w:tc>
        <w:tc>
          <w:tcPr>
            <w:tcW w:w="1523" w:type="dxa"/>
            <w:vAlign w:val="center"/>
          </w:tcPr>
          <w:p>
            <w:pPr>
              <w:pStyle w:val="11"/>
            </w:pPr>
            <w:r>
              <w:t>0.046</w:t>
            </w:r>
          </w:p>
          <w:p>
            <w:pPr>
              <w:pStyle w:val="11"/>
            </w:pPr>
            <w:r>
              <w:t>(0.048)</w:t>
            </w:r>
          </w:p>
        </w:tc>
        <w:tc>
          <w:tcPr>
            <w:tcW w:w="1523" w:type="dxa"/>
            <w:vAlign w:val="center"/>
          </w:tcPr>
          <w:p>
            <w:pPr>
              <w:pStyle w:val="11"/>
            </w:pPr>
            <w:r>
              <w:t>-0.177</w:t>
            </w:r>
          </w:p>
          <w:p>
            <w:pPr>
              <w:pStyle w:val="11"/>
            </w:pPr>
            <w:r>
              <w:t>(0.145)</w:t>
            </w:r>
          </w:p>
        </w:tc>
        <w:tc>
          <w:tcPr>
            <w:tcW w:w="1523" w:type="dxa"/>
            <w:vAlign w:val="center"/>
          </w:tcPr>
          <w:p>
            <w:pPr>
              <w:pStyle w:val="11"/>
            </w:pPr>
            <w:r>
              <w:t>0.046</w:t>
            </w:r>
          </w:p>
          <w:p>
            <w:pPr>
              <w:pStyle w:val="11"/>
            </w:pPr>
            <w:r>
              <w:t>(0.048)</w:t>
            </w:r>
          </w:p>
        </w:tc>
        <w:tc>
          <w:tcPr>
            <w:tcW w:w="1523" w:type="dxa"/>
            <w:vAlign w:val="center"/>
          </w:tcPr>
          <w:p>
            <w:pPr>
              <w:pStyle w:val="11"/>
            </w:pPr>
            <w:r>
              <w:t>-0.177</w:t>
            </w:r>
          </w:p>
          <w:p>
            <w:pPr>
              <w:pStyle w:val="11"/>
            </w:pPr>
            <w:r>
              <w:t>(0.145)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Institutional characteristics</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Control variables</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Fixed Effect</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c>
          <w:tcPr>
            <w:tcW w:w="1523" w:type="dxa"/>
            <w:vAlign w:val="center"/>
          </w:tcPr>
          <w:p>
            <w:pPr>
              <w:pStyle w:val="11"/>
            </w:pPr>
            <w: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vAlign w:val="center"/>
          </w:tcPr>
          <w:p>
            <w:pPr>
              <w:pStyle w:val="11"/>
            </w:pPr>
            <w:r>
              <w:t>Sample size</w:t>
            </w:r>
          </w:p>
        </w:tc>
        <w:tc>
          <w:tcPr>
            <w:tcW w:w="1523" w:type="dxa"/>
            <w:vAlign w:val="center"/>
          </w:tcPr>
          <w:p>
            <w:pPr>
              <w:pStyle w:val="11"/>
            </w:pPr>
            <w:r>
              <w:t>227</w:t>
            </w:r>
            <w:r>
              <w:rPr>
                <w:rFonts w:hint="eastAsia"/>
              </w:rPr>
              <w:t>,</w:t>
            </w:r>
            <w:r>
              <w:t>494</w:t>
            </w:r>
          </w:p>
        </w:tc>
        <w:tc>
          <w:tcPr>
            <w:tcW w:w="1523" w:type="dxa"/>
            <w:vAlign w:val="center"/>
          </w:tcPr>
          <w:p>
            <w:pPr>
              <w:pStyle w:val="11"/>
            </w:pPr>
            <w:r>
              <w:t>182</w:t>
            </w:r>
            <w:r>
              <w:rPr>
                <w:rFonts w:hint="eastAsia"/>
              </w:rPr>
              <w:t>,</w:t>
            </w:r>
            <w:r>
              <w:t>622</w:t>
            </w:r>
          </w:p>
        </w:tc>
        <w:tc>
          <w:tcPr>
            <w:tcW w:w="1523" w:type="dxa"/>
            <w:vAlign w:val="center"/>
          </w:tcPr>
          <w:p>
            <w:pPr>
              <w:pStyle w:val="11"/>
            </w:pPr>
            <w:r>
              <w:t>227</w:t>
            </w:r>
            <w:r>
              <w:rPr>
                <w:rFonts w:hint="eastAsia"/>
              </w:rPr>
              <w:t>,</w:t>
            </w:r>
            <w:r>
              <w:t>494</w:t>
            </w:r>
          </w:p>
        </w:tc>
        <w:tc>
          <w:tcPr>
            <w:tcW w:w="1523" w:type="dxa"/>
            <w:vAlign w:val="center"/>
          </w:tcPr>
          <w:p>
            <w:pPr>
              <w:pStyle w:val="11"/>
            </w:pPr>
            <w:r>
              <w:t>182</w:t>
            </w:r>
            <w:r>
              <w:rPr>
                <w:rFonts w:hint="eastAsia"/>
              </w:rPr>
              <w:t>,</w:t>
            </w:r>
            <w:r>
              <w:t>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637" w:type="dxa"/>
            <w:tcBorders>
              <w:bottom w:val="single" w:color="auto" w:sz="4" w:space="0"/>
            </w:tcBorders>
            <w:vAlign w:val="center"/>
          </w:tcPr>
          <w:p>
            <w:pPr>
              <w:pStyle w:val="11"/>
            </w:pPr>
            <w:r>
              <w:t>R</w:t>
            </w:r>
            <w:r>
              <w:rPr>
                <w:vertAlign w:val="superscript"/>
              </w:rPr>
              <w:t>2</w:t>
            </w:r>
          </w:p>
        </w:tc>
        <w:tc>
          <w:tcPr>
            <w:tcW w:w="1523" w:type="dxa"/>
            <w:tcBorders>
              <w:bottom w:val="single" w:color="auto" w:sz="4" w:space="0"/>
            </w:tcBorders>
            <w:vAlign w:val="center"/>
          </w:tcPr>
          <w:p>
            <w:pPr>
              <w:pStyle w:val="11"/>
            </w:pPr>
            <w:r>
              <w:t>0.515</w:t>
            </w:r>
          </w:p>
        </w:tc>
        <w:tc>
          <w:tcPr>
            <w:tcW w:w="1523" w:type="dxa"/>
            <w:tcBorders>
              <w:bottom w:val="single" w:color="auto" w:sz="4" w:space="0"/>
            </w:tcBorders>
            <w:vAlign w:val="center"/>
          </w:tcPr>
          <w:p>
            <w:pPr>
              <w:pStyle w:val="11"/>
            </w:pPr>
            <w:r>
              <w:t>0.366</w:t>
            </w:r>
          </w:p>
        </w:tc>
        <w:tc>
          <w:tcPr>
            <w:tcW w:w="1523" w:type="dxa"/>
            <w:tcBorders>
              <w:bottom w:val="single" w:color="auto" w:sz="4" w:space="0"/>
            </w:tcBorders>
            <w:vAlign w:val="center"/>
          </w:tcPr>
          <w:p>
            <w:pPr>
              <w:pStyle w:val="11"/>
            </w:pPr>
            <w:r>
              <w:t>0.515</w:t>
            </w:r>
          </w:p>
        </w:tc>
        <w:tc>
          <w:tcPr>
            <w:tcW w:w="1523" w:type="dxa"/>
            <w:tcBorders>
              <w:bottom w:val="single" w:color="auto" w:sz="4" w:space="0"/>
            </w:tcBorders>
            <w:vAlign w:val="center"/>
          </w:tcPr>
          <w:p>
            <w:pPr>
              <w:pStyle w:val="11"/>
            </w:pPr>
            <w:r>
              <w:t>0.366</w:t>
            </w:r>
          </w:p>
        </w:tc>
      </w:tr>
    </w:tbl>
    <w:p>
      <w:pPr>
        <w:pStyle w:val="14"/>
      </w:pPr>
      <w:r>
        <w:t>Note: See note of Table 1 for model specification. ***p &lt; 0.01, **p &lt; 0.05, *p &lt; 0.10. In all models, export stability is positive and significant at 1% level for developing countries, and not statistically significant for developed countries.</w:t>
      </w:r>
    </w:p>
    <w:p>
      <w:bookmarkStart w:id="0" w:name="_GoBack"/>
      <w:bookmarkEnd w:id="0"/>
    </w:p>
    <w:sectPr>
      <w:footerReference r:id="rId5" w:type="default"/>
      <w:foot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1591615078"/>
    </w:sdtPr>
    <w:sdtEndPr>
      <w:rPr>
        <w:rStyle w:val="7"/>
      </w:rPr>
    </w:sdtEndPr>
    <w:sdtContent>
      <w:p>
        <w:pPr>
          <w:pStyle w:val="3"/>
          <w:framePr w:wrap="auto" w:vAnchor="text" w:hAnchor="margin" w:xAlign="center" w:y="1"/>
          <w:rPr>
            <w:rStyle w:val="7"/>
          </w:rPr>
        </w:pPr>
        <w:r>
          <w:rPr>
            <w:rStyle w:val="7"/>
          </w:rPr>
          <w:fldChar w:fldCharType="begin"/>
        </w:r>
        <w:r>
          <w:rPr>
            <w:rStyle w:val="7"/>
          </w:rPr>
          <w:instrText xml:space="preserve"> PAGE </w:instrText>
        </w:r>
        <w:r>
          <w:rPr>
            <w:rStyle w:val="7"/>
          </w:rPr>
          <w:fldChar w:fldCharType="separate"/>
        </w:r>
        <w:r>
          <w:rPr>
            <w:rStyle w:val="7"/>
          </w:rPr>
          <w:t>61</w:t>
        </w:r>
        <w:r>
          <w:rPr>
            <w:rStyle w:val="7"/>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Pr>
      <w:id w:val="2001693193"/>
    </w:sdtPr>
    <w:sdtEndPr>
      <w:rPr>
        <w:rStyle w:val="7"/>
      </w:rPr>
    </w:sdtEndPr>
    <w:sdtContent>
      <w:p>
        <w:pPr>
          <w:pStyle w:val="3"/>
          <w:framePr w:wrap="auto" w:vAnchor="text" w:hAnchor="margin" w:xAlign="center" w:y="1"/>
          <w:rPr>
            <w:rStyle w:val="7"/>
          </w:rPr>
        </w:pPr>
        <w:r>
          <w:rPr>
            <w:rStyle w:val="7"/>
          </w:rPr>
          <w:fldChar w:fldCharType="begin"/>
        </w:r>
        <w:r>
          <w:rPr>
            <w:rStyle w:val="7"/>
          </w:rPr>
          <w:instrText xml:space="preserve"> PAGE </w:instrText>
        </w:r>
        <w:r>
          <w:rPr>
            <w:rStyle w:val="7"/>
          </w:rPr>
          <w:fldChar w:fldCharType="separate"/>
        </w:r>
        <w:r>
          <w:rPr>
            <w:rStyle w:val="7"/>
          </w:rPr>
          <w:t>21</w:t>
        </w:r>
        <w:r>
          <w:rPr>
            <w:rStyle w:val="7"/>
          </w:rP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xM2NiZDRjY2UzZmY5ZDMzYmVjNjBjNjgxMDgxYWEifQ=="/>
  </w:docVars>
  <w:rsids>
    <w:rsidRoot w:val="00000000"/>
    <w:rsid w:val="42BC2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cs="Times New Roman" w:eastAsiaTheme="minorEastAsia"/>
      <w:sz w:val="24"/>
      <w:szCs w:val="24"/>
      <w:lang w:val="en-GB" w:eastAsia="en-GB" w:bidi="ar-SA"/>
    </w:rPr>
  </w:style>
  <w:style w:type="paragraph" w:styleId="2">
    <w:name w:val="heading 1"/>
    <w:basedOn w:val="1"/>
    <w:next w:val="1"/>
    <w:qFormat/>
    <w:uiPriority w:val="0"/>
    <w:pPr>
      <w:keepNext/>
      <w:spacing w:before="360" w:after="60" w:line="360" w:lineRule="auto"/>
      <w:ind w:right="567"/>
      <w:contextualSpacing/>
      <w:outlineLvl w:val="0"/>
    </w:pPr>
    <w:rPr>
      <w:rFonts w:cs="Arial"/>
      <w:b/>
      <w:bCs/>
      <w:kern w:val="32"/>
      <w:szCs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320"/>
        <w:tab w:val="right" w:pos="8640"/>
      </w:tabs>
      <w:spacing w:before="240" w:line="240" w:lineRule="auto"/>
      <w:contextualSpacing/>
    </w:p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paragraph" w:customStyle="1" w:styleId="8">
    <w:name w:val="Figure caption"/>
    <w:basedOn w:val="1"/>
    <w:next w:val="1"/>
    <w:qFormat/>
    <w:uiPriority w:val="0"/>
    <w:pPr>
      <w:spacing w:before="240" w:line="360" w:lineRule="auto"/>
    </w:pPr>
  </w:style>
  <w:style w:type="paragraph" w:customStyle="1" w:styleId="9">
    <w:name w:val="New paragraph"/>
    <w:basedOn w:val="1"/>
    <w:qFormat/>
    <w:uiPriority w:val="0"/>
    <w:pPr>
      <w:ind w:firstLine="720"/>
    </w:pPr>
  </w:style>
  <w:style w:type="paragraph" w:customStyle="1" w:styleId="10">
    <w:name w:val="图表字体"/>
    <w:qFormat/>
    <w:uiPriority w:val="0"/>
    <w:pPr>
      <w:jc w:val="center"/>
    </w:pPr>
    <w:rPr>
      <w:rFonts w:ascii="Times New Roman" w:hAnsi="Times New Roman" w:eastAsia="Times New Roman" w:cs="Times New Roman"/>
      <w:sz w:val="21"/>
      <w:szCs w:val="24"/>
      <w:lang w:val="en-US" w:eastAsia="zh-CN" w:bidi="ar-SA"/>
    </w:rPr>
  </w:style>
  <w:style w:type="paragraph" w:customStyle="1" w:styleId="11">
    <w:name w:val="表内字体"/>
    <w:basedOn w:val="10"/>
    <w:qFormat/>
    <w:uiPriority w:val="0"/>
    <w:pPr>
      <w:widowControl w:val="0"/>
    </w:pPr>
    <w:rPr>
      <w:szCs w:val="21"/>
    </w:rPr>
  </w:style>
  <w:style w:type="table" w:customStyle="1" w:styleId="12">
    <w:name w:val="网格型1"/>
    <w:basedOn w:val="4"/>
    <w:unhideWhenUsed/>
    <w:qFormat/>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itle"/>
    <w:basedOn w:val="1"/>
    <w:next w:val="1"/>
    <w:qFormat/>
    <w:uiPriority w:val="0"/>
    <w:pPr>
      <w:spacing w:before="240" w:line="360" w:lineRule="auto"/>
      <w:jc w:val="center"/>
    </w:pPr>
  </w:style>
  <w:style w:type="paragraph" w:customStyle="1" w:styleId="14">
    <w:name w:val="Footnotes"/>
    <w:basedOn w:val="1"/>
    <w:qFormat/>
    <w:uiPriority w:val="0"/>
    <w:pPr>
      <w:spacing w:before="120" w:line="360" w:lineRule="auto"/>
      <w:ind w:left="482" w:hanging="482"/>
      <w:contextualSpacing/>
    </w:pPr>
    <w:rPr>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2023-03-27T07:20:35Z</dcterms:created>
  <dc:creator>fanjiachen</dc:creator>
  <cp:lastModifiedBy>范家琛</cp:lastModifiedBy>
  <dcterms:modified xsi:type="dcterms:W3CDTF">2023-03-27T07:21:19Z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24D36039F4BD4BE8874D4FE225EBFFDB</vt:lpwstr>
  </property>
</Properties>
</file>