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39259" w14:textId="37A43463" w:rsidR="00610AD0" w:rsidRPr="00610AD0" w:rsidRDefault="00610AD0" w:rsidP="00610AD0">
      <w:pPr>
        <w:pStyle w:val="1"/>
        <w:jc w:val="center"/>
        <w:rPr>
          <w:rFonts w:ascii="Times New Roman" w:eastAsiaTheme="minorEastAsia" w:hAnsi="Times New Roman" w:cs="Times New Roman" w:hint="eastAsia"/>
          <w:b w:val="0"/>
          <w:bCs/>
          <w:sz w:val="32"/>
          <w:szCs w:val="18"/>
        </w:rPr>
      </w:pPr>
      <w:r w:rsidRPr="00610AD0">
        <w:rPr>
          <w:rFonts w:ascii="Times New Roman" w:eastAsiaTheme="minorEastAsia" w:hAnsi="Times New Roman" w:cs="Times New Roman"/>
          <w:b w:val="0"/>
          <w:bCs/>
          <w:sz w:val="32"/>
          <w:szCs w:val="18"/>
        </w:rPr>
        <w:t>(</w:t>
      </w:r>
      <w:r w:rsidRPr="00610AD0">
        <w:rPr>
          <w:rFonts w:ascii="Times New Roman" w:eastAsiaTheme="minorEastAsia" w:hAnsi="Times New Roman" w:cs="Times New Roman" w:hint="eastAsia"/>
          <w:b w:val="0"/>
          <w:bCs/>
          <w:sz w:val="32"/>
          <w:szCs w:val="18"/>
        </w:rPr>
        <w:t>S</w:t>
      </w:r>
      <w:r w:rsidRPr="00610AD0">
        <w:rPr>
          <w:rFonts w:ascii="Times New Roman" w:eastAsiaTheme="minorEastAsia" w:hAnsi="Times New Roman" w:cs="Times New Roman"/>
          <w:b w:val="0"/>
          <w:bCs/>
          <w:sz w:val="32"/>
          <w:szCs w:val="18"/>
        </w:rPr>
        <w:t>upplemental figures)</w:t>
      </w:r>
    </w:p>
    <w:p w14:paraId="444470B3" w14:textId="16EB525E" w:rsidR="00610AD0" w:rsidRPr="00182A16" w:rsidRDefault="00610AD0" w:rsidP="00610AD0">
      <w:pPr>
        <w:pStyle w:val="1"/>
        <w:rPr>
          <w:rFonts w:ascii="Times New Roman" w:hAnsi="Times New Roman" w:cs="Times New Roman"/>
        </w:rPr>
      </w:pPr>
      <w:r w:rsidRPr="00182A16">
        <w:rPr>
          <w:rFonts w:ascii="Times New Roman" w:hAnsi="Times New Roman" w:cs="Times New Roman"/>
        </w:rPr>
        <w:t xml:space="preserve">Characterization of hybrid nanofibrils composed of xyloglucan and disintegrated bacterial </w:t>
      </w:r>
      <w:proofErr w:type="gramStart"/>
      <w:r w:rsidRPr="00182A16">
        <w:rPr>
          <w:rFonts w:ascii="Times New Roman" w:hAnsi="Times New Roman" w:cs="Times New Roman"/>
        </w:rPr>
        <w:t>cellulose</w:t>
      </w:r>
      <w:proofErr w:type="gramEnd"/>
    </w:p>
    <w:p w14:paraId="10A44ABD" w14:textId="77777777" w:rsidR="00610AD0" w:rsidRPr="00182A16" w:rsidRDefault="00610AD0" w:rsidP="00610AD0">
      <w:pPr>
        <w:pStyle w:val="author"/>
        <w:rPr>
          <w:szCs w:val="24"/>
          <w:vertAlign w:val="superscript"/>
        </w:rPr>
      </w:pPr>
      <w:r w:rsidRPr="00182A16">
        <w:rPr>
          <w:rFonts w:eastAsia="Times New Roman"/>
          <w:szCs w:val="24"/>
        </w:rPr>
        <w:t>Satomi Tagawa</w:t>
      </w:r>
      <w:r w:rsidRPr="00182A16">
        <w:rPr>
          <w:rFonts w:eastAsia="Times New Roman"/>
          <w:szCs w:val="24"/>
          <w:vertAlign w:val="superscript"/>
        </w:rPr>
        <w:t>1</w:t>
      </w:r>
      <w:r w:rsidRPr="00182A16">
        <w:rPr>
          <w:rFonts w:eastAsia="Times New Roman"/>
          <w:szCs w:val="24"/>
        </w:rPr>
        <w:t>, Ken Tokuyasu</w:t>
      </w:r>
      <w:r w:rsidRPr="00182A16">
        <w:rPr>
          <w:rFonts w:eastAsia="Times New Roman"/>
          <w:szCs w:val="24"/>
          <w:vertAlign w:val="superscript"/>
        </w:rPr>
        <w:t>2</w:t>
      </w:r>
      <w:r w:rsidRPr="00182A16">
        <w:rPr>
          <w:rFonts w:eastAsia="Times New Roman"/>
          <w:szCs w:val="24"/>
        </w:rPr>
        <w:t>, Kenji Yamagishi</w:t>
      </w:r>
      <w:r w:rsidRPr="00182A16">
        <w:rPr>
          <w:rFonts w:eastAsia="Times New Roman"/>
          <w:szCs w:val="24"/>
          <w:vertAlign w:val="superscript"/>
        </w:rPr>
        <w:t>2</w:t>
      </w:r>
      <w:r w:rsidRPr="00182A16">
        <w:rPr>
          <w:rFonts w:eastAsia="Times New Roman"/>
          <w:szCs w:val="24"/>
        </w:rPr>
        <w:t>, Masakazu Ike</w:t>
      </w:r>
      <w:r w:rsidRPr="00182A16">
        <w:rPr>
          <w:rFonts w:eastAsia="Times New Roman"/>
          <w:szCs w:val="24"/>
          <w:vertAlign w:val="superscript"/>
        </w:rPr>
        <w:t>2</w:t>
      </w:r>
      <w:r w:rsidRPr="00182A16">
        <w:rPr>
          <w:rFonts w:eastAsia="Times New Roman"/>
          <w:szCs w:val="24"/>
        </w:rPr>
        <w:t>, Yoshihiko Amano</w:t>
      </w:r>
      <w:r w:rsidRPr="00182A16">
        <w:rPr>
          <w:rFonts w:eastAsia="Times New Roman"/>
          <w:szCs w:val="24"/>
          <w:vertAlign w:val="superscript"/>
        </w:rPr>
        <w:t>1</w:t>
      </w:r>
      <w:r w:rsidRPr="00182A16">
        <w:rPr>
          <w:rFonts w:eastAsia="Times New Roman"/>
          <w:szCs w:val="24"/>
        </w:rPr>
        <w:t xml:space="preserve"> and Masahiro Mizuno</w:t>
      </w:r>
      <w:r w:rsidRPr="00182A16">
        <w:rPr>
          <w:rFonts w:eastAsia="Times New Roman"/>
          <w:szCs w:val="24"/>
          <w:vertAlign w:val="superscript"/>
        </w:rPr>
        <w:t>1*</w:t>
      </w:r>
    </w:p>
    <w:p w14:paraId="09D3E19F" w14:textId="77777777" w:rsidR="00610AD0" w:rsidRPr="00182A16" w:rsidRDefault="00610AD0" w:rsidP="00610AD0">
      <w:pPr>
        <w:pStyle w:val="affiliation"/>
        <w:rPr>
          <w:rFonts w:eastAsia="Times New Roman"/>
          <w:szCs w:val="24"/>
        </w:rPr>
      </w:pPr>
      <w:r w:rsidRPr="00182A16">
        <w:rPr>
          <w:rFonts w:eastAsia="Times New Roman"/>
          <w:szCs w:val="24"/>
        </w:rPr>
        <w:t xml:space="preserve">1. Department of Chemistry and Material Engineering, Faculty of Engineering, Shinshu University, 4–17–1 </w:t>
      </w:r>
      <w:proofErr w:type="spellStart"/>
      <w:r w:rsidRPr="00182A16">
        <w:rPr>
          <w:rFonts w:eastAsia="Times New Roman"/>
          <w:szCs w:val="24"/>
        </w:rPr>
        <w:t>Wakasato</w:t>
      </w:r>
      <w:proofErr w:type="spellEnd"/>
      <w:r w:rsidRPr="00182A16">
        <w:rPr>
          <w:rFonts w:eastAsia="Times New Roman"/>
          <w:szCs w:val="24"/>
        </w:rPr>
        <w:t xml:space="preserve">, Nagano 380–8553, Japan </w:t>
      </w:r>
    </w:p>
    <w:p w14:paraId="208343A4" w14:textId="77777777" w:rsidR="00610AD0" w:rsidRPr="00182A16" w:rsidRDefault="00610AD0" w:rsidP="00610AD0">
      <w:pPr>
        <w:pStyle w:val="affiliation"/>
        <w:rPr>
          <w:rFonts w:eastAsia="Times New Roman"/>
          <w:szCs w:val="24"/>
        </w:rPr>
      </w:pPr>
      <w:r w:rsidRPr="00182A16">
        <w:rPr>
          <w:rFonts w:eastAsia="Times New Roman"/>
          <w:szCs w:val="24"/>
        </w:rPr>
        <w:t xml:space="preserve">2. Institute of Food Research, National Agriculture and Food Research Organization, 2-1-12 </w:t>
      </w:r>
      <w:proofErr w:type="spellStart"/>
      <w:r w:rsidRPr="00182A16">
        <w:rPr>
          <w:rFonts w:eastAsia="Times New Roman"/>
          <w:szCs w:val="24"/>
        </w:rPr>
        <w:t>Kannondai</w:t>
      </w:r>
      <w:proofErr w:type="spellEnd"/>
      <w:r w:rsidRPr="00182A16">
        <w:rPr>
          <w:rFonts w:eastAsia="Times New Roman"/>
          <w:szCs w:val="24"/>
        </w:rPr>
        <w:t>, Tsukuba, Ibaraki 305-8642, Japan</w:t>
      </w:r>
    </w:p>
    <w:p w14:paraId="66C6AADD" w14:textId="77777777" w:rsidR="00610AD0" w:rsidRPr="00182A16" w:rsidRDefault="00610AD0" w:rsidP="00610AD0">
      <w:pPr>
        <w:pStyle w:val="phone"/>
        <w:rPr>
          <w:sz w:val="24"/>
          <w:szCs w:val="24"/>
        </w:rPr>
      </w:pPr>
    </w:p>
    <w:p w14:paraId="09D9777D" w14:textId="6E95DAA4" w:rsidR="00610AD0" w:rsidRPr="00610AD0" w:rsidRDefault="00610AD0">
      <w:pPr>
        <w:widowControl/>
        <w:jc w:val="left"/>
        <w:rPr>
          <w:rFonts w:ascii="Times New Roman" w:hAnsi="Times New Roman" w:cs="Times New Roman"/>
          <w:b/>
          <w:bCs/>
        </w:rPr>
      </w:pPr>
    </w:p>
    <w:p w14:paraId="6255CCDC" w14:textId="77777777" w:rsidR="006822DE" w:rsidRPr="00610AD0" w:rsidRDefault="006822DE">
      <w:pPr>
        <w:rPr>
          <w:rFonts w:ascii="Times New Roman" w:hAnsi="Times New Roman" w:cs="Times New Roman"/>
          <w:b/>
          <w:bCs/>
        </w:rPr>
      </w:pPr>
    </w:p>
    <w:p w14:paraId="3F996278" w14:textId="3279FF09" w:rsidR="00610AD0" w:rsidRPr="00610AD0" w:rsidRDefault="00610AD0">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8240" behindDoc="0" locked="0" layoutInCell="1" allowOverlap="1" wp14:anchorId="5CAE4255" wp14:editId="585EDF39">
            <wp:simplePos x="0" y="0"/>
            <wp:positionH relativeFrom="column">
              <wp:posOffset>-635</wp:posOffset>
            </wp:positionH>
            <wp:positionV relativeFrom="paragraph">
              <wp:posOffset>41275</wp:posOffset>
            </wp:positionV>
            <wp:extent cx="5378450" cy="5403850"/>
            <wp:effectExtent l="0" t="0" r="0" b="635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78450" cy="5403850"/>
                    </a:xfrm>
                    <a:prstGeom prst="rect">
                      <a:avLst/>
                    </a:prstGeom>
                    <a:noFill/>
                    <a:ln>
                      <a:noFill/>
                    </a:ln>
                  </pic:spPr>
                </pic:pic>
              </a:graphicData>
            </a:graphic>
          </wp:anchor>
        </w:drawing>
      </w:r>
    </w:p>
    <w:p w14:paraId="00B93D6C" w14:textId="2ECBA87F" w:rsidR="00610AD0" w:rsidRPr="00610AD0" w:rsidRDefault="00610AD0" w:rsidP="00610AD0">
      <w:pPr>
        <w:rPr>
          <w:rFonts w:ascii="Times New Roman" w:hAnsi="Times New Roman" w:cs="Times New Roman"/>
        </w:rPr>
      </w:pPr>
      <w:r w:rsidRPr="00610AD0">
        <w:rPr>
          <w:rFonts w:ascii="Times New Roman" w:hAnsi="Times New Roman" w:cs="Times New Roman"/>
        </w:rPr>
        <w:t>Fig.</w:t>
      </w:r>
      <w:r>
        <w:rPr>
          <w:rFonts w:ascii="Times New Roman" w:hAnsi="Times New Roman" w:cs="Times New Roman"/>
        </w:rPr>
        <w:t xml:space="preserve"> </w:t>
      </w:r>
      <w:r w:rsidRPr="00610AD0">
        <w:rPr>
          <w:rFonts w:ascii="Times New Roman" w:hAnsi="Times New Roman" w:cs="Times New Roman"/>
        </w:rPr>
        <w:t>S1</w:t>
      </w:r>
      <w:r>
        <w:rPr>
          <w:rFonts w:ascii="Times New Roman" w:hAnsi="Times New Roman" w:cs="Times New Roman"/>
        </w:rPr>
        <w:t xml:space="preserve"> </w:t>
      </w:r>
      <w:r w:rsidRPr="00610AD0">
        <w:rPr>
          <w:rFonts w:ascii="Times New Roman" w:hAnsi="Times New Roman" w:cs="Times New Roman"/>
        </w:rPr>
        <w:t>FT-IR spectroscopy.</w:t>
      </w:r>
    </w:p>
    <w:p w14:paraId="5D76160C" w14:textId="3ACE1E0A" w:rsidR="00610AD0" w:rsidRPr="00610AD0" w:rsidRDefault="00610AD0" w:rsidP="00610AD0">
      <w:pPr>
        <w:rPr>
          <w:rFonts w:ascii="Times New Roman" w:hAnsi="Times New Roman" w:cs="Times New Roman"/>
        </w:rPr>
      </w:pPr>
      <w:r w:rsidRPr="00610AD0">
        <w:rPr>
          <w:rFonts w:ascii="Times New Roman" w:hAnsi="Times New Roman" w:cs="Times New Roman"/>
        </w:rPr>
        <w:t xml:space="preserve">Black, red, and blue color indicate BC-W, BC-TG, and BC-TG’, respectively. The lower figure is an enlarged view of the area within the dotted frame in the upper </w:t>
      </w:r>
      <w:r w:rsidRPr="00610AD0">
        <w:rPr>
          <w:rFonts w:ascii="Times New Roman" w:hAnsi="Times New Roman" w:cs="Times New Roman"/>
        </w:rPr>
        <w:t>figure.</w:t>
      </w:r>
    </w:p>
    <w:p w14:paraId="529D13AB" w14:textId="4AA67BA0" w:rsidR="00610AD0" w:rsidRDefault="00610AD0">
      <w:pPr>
        <w:widowControl/>
        <w:jc w:val="left"/>
        <w:rPr>
          <w:rFonts w:ascii="Times New Roman" w:hAnsi="Times New Roman" w:cs="Times New Roman"/>
        </w:rPr>
      </w:pPr>
      <w:r>
        <w:rPr>
          <w:rFonts w:ascii="Times New Roman" w:hAnsi="Times New Roman" w:cs="Times New Roman"/>
        </w:rPr>
        <w:br w:type="page"/>
      </w:r>
    </w:p>
    <w:p w14:paraId="6FE194DF" w14:textId="0AC2161D" w:rsidR="00610AD0" w:rsidRDefault="00610AD0">
      <w:pPr>
        <w:rPr>
          <w:rFonts w:ascii="Times New Roman" w:hAnsi="Times New Roman" w:cs="Times New Roman"/>
        </w:rPr>
      </w:pPr>
    </w:p>
    <w:p w14:paraId="2FAC5ABF" w14:textId="77777777" w:rsidR="00610AD0" w:rsidRDefault="00610AD0">
      <w:pPr>
        <w:rPr>
          <w:rFonts w:ascii="Times New Roman" w:hAnsi="Times New Roman" w:cs="Times New Roman"/>
        </w:rPr>
      </w:pPr>
    </w:p>
    <w:p w14:paraId="745F9C0D" w14:textId="64F41510" w:rsidR="00610AD0" w:rsidRDefault="00610AD0">
      <w:pPr>
        <w:rPr>
          <w:rFonts w:ascii="Times New Roman" w:hAnsi="Times New Roman" w:cs="Times New Roman"/>
        </w:rPr>
      </w:pPr>
    </w:p>
    <w:p w14:paraId="7C8943A7" w14:textId="147B5845" w:rsidR="00610AD0" w:rsidRDefault="00610AD0">
      <w:pPr>
        <w:rPr>
          <w:rFonts w:ascii="Times New Roman" w:hAnsi="Times New Roman" w:cs="Times New Roman"/>
        </w:rPr>
      </w:pPr>
    </w:p>
    <w:p w14:paraId="3A2D0E2B" w14:textId="490AC2E9" w:rsidR="00610AD0" w:rsidRDefault="00610AD0">
      <w:pPr>
        <w:rPr>
          <w:rFonts w:ascii="Times New Roman" w:hAnsi="Times New Roman" w:cs="Times New Roman"/>
        </w:rPr>
      </w:pPr>
    </w:p>
    <w:p w14:paraId="2F3571D8" w14:textId="0DD98D91" w:rsidR="00610AD0" w:rsidRDefault="00610AD0">
      <w:pPr>
        <w:rPr>
          <w:rFonts w:ascii="Times New Roman" w:hAnsi="Times New Roman" w:cs="Times New Roman"/>
        </w:rPr>
      </w:pPr>
    </w:p>
    <w:p w14:paraId="046402F2" w14:textId="6E189A1D" w:rsidR="00610AD0" w:rsidRDefault="00610AD0">
      <w:pP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53F1166E" wp14:editId="40DD2B58">
            <wp:simplePos x="0" y="0"/>
            <wp:positionH relativeFrom="margin">
              <wp:align>left</wp:align>
            </wp:positionH>
            <wp:positionV relativeFrom="paragraph">
              <wp:posOffset>261620</wp:posOffset>
            </wp:positionV>
            <wp:extent cx="5238750" cy="2806700"/>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1152" r="2597" b="26909"/>
                    <a:stretch/>
                  </pic:blipFill>
                  <pic:spPr bwMode="auto">
                    <a:xfrm>
                      <a:off x="0" y="0"/>
                      <a:ext cx="5238750" cy="2806700"/>
                    </a:xfrm>
                    <a:prstGeom prst="rect">
                      <a:avLst/>
                    </a:prstGeom>
                    <a:noFill/>
                    <a:ln>
                      <a:noFill/>
                    </a:ln>
                    <a:extLst>
                      <a:ext uri="{53640926-AAD7-44D8-BBD7-CCE9431645EC}">
                        <a14:shadowObscured xmlns:a14="http://schemas.microsoft.com/office/drawing/2010/main"/>
                      </a:ext>
                    </a:extLst>
                  </pic:spPr>
                </pic:pic>
              </a:graphicData>
            </a:graphic>
          </wp:anchor>
        </w:drawing>
      </w:r>
    </w:p>
    <w:p w14:paraId="06331F24" w14:textId="03A9641C" w:rsidR="00610AD0" w:rsidRDefault="00610AD0">
      <w:pPr>
        <w:rPr>
          <w:rFonts w:ascii="Times New Roman" w:hAnsi="Times New Roman" w:cs="Times New Roman" w:hint="eastAsia"/>
        </w:rPr>
      </w:pPr>
    </w:p>
    <w:p w14:paraId="4526BF30" w14:textId="7FF6419D" w:rsidR="00610AD0" w:rsidRPr="00610AD0" w:rsidRDefault="00610AD0" w:rsidP="00610AD0">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 S2</w:t>
      </w:r>
      <w:r w:rsidRPr="00610AD0">
        <w:rPr>
          <w:rFonts w:ascii="Times New Roman" w:hAnsi="Times New Roman" w:cs="Times New Roman" w:hint="eastAsia"/>
        </w:rPr>
        <w:t> </w:t>
      </w:r>
      <w:r w:rsidRPr="00610AD0">
        <w:rPr>
          <w:rFonts w:ascii="Times New Roman" w:hAnsi="Times New Roman" w:cs="Times New Roman"/>
        </w:rPr>
        <w:t>FE-SEM observation of several BC samples.</w:t>
      </w:r>
    </w:p>
    <w:p w14:paraId="5300FC60" w14:textId="725C2B3D" w:rsidR="00610AD0" w:rsidRDefault="00610AD0" w:rsidP="00610AD0">
      <w:pPr>
        <w:rPr>
          <w:rFonts w:ascii="Times New Roman" w:hAnsi="Times New Roman" w:cs="Times New Roman"/>
        </w:rPr>
      </w:pPr>
      <w:r w:rsidRPr="00610AD0">
        <w:rPr>
          <w:rFonts w:ascii="Times New Roman" w:hAnsi="Times New Roman" w:cs="Times New Roman"/>
        </w:rPr>
        <w:t xml:space="preserve">The lower images are enlarged images of the upper </w:t>
      </w:r>
      <w:r w:rsidRPr="00610AD0">
        <w:rPr>
          <w:rFonts w:ascii="Times New Roman" w:hAnsi="Times New Roman" w:cs="Times New Roman"/>
        </w:rPr>
        <w:t>images.</w:t>
      </w:r>
    </w:p>
    <w:p w14:paraId="4057C67E" w14:textId="6358BD4D" w:rsidR="00610AD0" w:rsidRDefault="00610AD0">
      <w:pPr>
        <w:widowControl/>
        <w:jc w:val="left"/>
        <w:rPr>
          <w:rFonts w:ascii="Times New Roman" w:hAnsi="Times New Roman" w:cs="Times New Roman"/>
        </w:rPr>
      </w:pPr>
      <w:r>
        <w:rPr>
          <w:rFonts w:ascii="Times New Roman" w:hAnsi="Times New Roman" w:cs="Times New Roman"/>
        </w:rPr>
        <w:br w:type="page"/>
      </w:r>
    </w:p>
    <w:p w14:paraId="5E631F78" w14:textId="24808549" w:rsidR="00610AD0" w:rsidRDefault="00610AD0" w:rsidP="00610AD0">
      <w:pPr>
        <w:rPr>
          <w:rFonts w:ascii="Times New Roman" w:hAnsi="Times New Roman" w:cs="Times New Roman"/>
        </w:rPr>
      </w:pPr>
      <w:r>
        <w:rPr>
          <w:rFonts w:ascii="Times New Roman" w:hAnsi="Times New Roman" w:cs="Times New Roman"/>
          <w:noProof/>
        </w:rPr>
        <w:lastRenderedPageBreak/>
        <w:drawing>
          <wp:inline distT="0" distB="0" distL="0" distR="0" wp14:anchorId="7DCAEF76" wp14:editId="3A748E36">
            <wp:extent cx="5377815" cy="539940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77815" cy="5399405"/>
                    </a:xfrm>
                    <a:prstGeom prst="rect">
                      <a:avLst/>
                    </a:prstGeom>
                    <a:noFill/>
                    <a:ln>
                      <a:noFill/>
                    </a:ln>
                  </pic:spPr>
                </pic:pic>
              </a:graphicData>
            </a:graphic>
          </wp:inline>
        </w:drawing>
      </w:r>
    </w:p>
    <w:p w14:paraId="34C8C513" w14:textId="39DBED20" w:rsidR="00610AD0" w:rsidRPr="00610AD0" w:rsidRDefault="00610AD0" w:rsidP="00610AD0">
      <w:pPr>
        <w:rPr>
          <w:rFonts w:ascii="Times New Roman" w:hAnsi="Times New Roman" w:cs="Times New Roman"/>
        </w:rPr>
      </w:pPr>
      <w:r w:rsidRPr="00610AD0">
        <w:rPr>
          <w:rFonts w:ascii="Times New Roman" w:hAnsi="Times New Roman" w:cs="Times New Roman"/>
        </w:rPr>
        <w:t>Fig.</w:t>
      </w:r>
      <w:r>
        <w:rPr>
          <w:rFonts w:ascii="Times New Roman" w:hAnsi="Times New Roman" w:cs="Times New Roman"/>
        </w:rPr>
        <w:t xml:space="preserve"> </w:t>
      </w:r>
      <w:r w:rsidRPr="00610AD0">
        <w:rPr>
          <w:rFonts w:ascii="Times New Roman" w:hAnsi="Times New Roman" w:cs="Times New Roman"/>
        </w:rPr>
        <w:t>S3 CLSM observation of BC-W and BC-TG’ stained with CFW and LM15-FITC.</w:t>
      </w:r>
    </w:p>
    <w:p w14:paraId="3477E0E2" w14:textId="17192763" w:rsidR="00610AD0" w:rsidRDefault="00610AD0" w:rsidP="00610AD0">
      <w:pPr>
        <w:rPr>
          <w:rFonts w:ascii="Times New Roman" w:hAnsi="Times New Roman" w:cs="Times New Roman"/>
        </w:rPr>
      </w:pPr>
      <w:r w:rsidRPr="00610AD0">
        <w:rPr>
          <w:rFonts w:ascii="Times New Roman" w:hAnsi="Times New Roman" w:cs="Times New Roman"/>
        </w:rPr>
        <w:t>These images indicate fluorescence images of BC-W (a) and BC-TG’ (c, d) acquired by CLSM. The magenta color indicates the fluorescence of CFW, which stains cellulose, and the green color is the fluorescence of FITC, which recognizes LM15, an antibody specific to xyloglucan. (c) is an expanded view of the area indicated by the dashed line in (d). The white color in the merged image indicates the overlap of CFW and FITC fluorescence.</w:t>
      </w:r>
    </w:p>
    <w:p w14:paraId="04AA9285" w14:textId="1EC3B409" w:rsidR="00610AD0" w:rsidRDefault="00610AD0">
      <w:pPr>
        <w:widowControl/>
        <w:jc w:val="left"/>
        <w:rPr>
          <w:rFonts w:ascii="Times New Roman" w:hAnsi="Times New Roman" w:cs="Times New Roman"/>
        </w:rPr>
      </w:pPr>
      <w:r>
        <w:rPr>
          <w:rFonts w:ascii="Times New Roman" w:hAnsi="Times New Roman" w:cs="Times New Roman"/>
        </w:rPr>
        <w:br w:type="page"/>
      </w:r>
    </w:p>
    <w:p w14:paraId="54DE8E31" w14:textId="144DCB0D" w:rsidR="00610AD0" w:rsidRDefault="00610AD0" w:rsidP="00610AD0">
      <w:pPr>
        <w:rPr>
          <w:rFonts w:ascii="Times New Roman" w:hAnsi="Times New Roman" w:cs="Times New Roman" w:hint="eastAsia"/>
        </w:rPr>
      </w:pPr>
      <w:r>
        <w:rPr>
          <w:rFonts w:ascii="Times New Roman" w:hAnsi="Times New Roman" w:cs="Times New Roman" w:hint="eastAsia"/>
          <w:noProof/>
        </w:rPr>
        <w:lastRenderedPageBreak/>
        <w:drawing>
          <wp:inline distT="0" distB="0" distL="0" distR="0" wp14:anchorId="759B9363" wp14:editId="362A6ABE">
            <wp:extent cx="5377815" cy="539940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7815" cy="5399405"/>
                    </a:xfrm>
                    <a:prstGeom prst="rect">
                      <a:avLst/>
                    </a:prstGeom>
                    <a:noFill/>
                    <a:ln>
                      <a:noFill/>
                    </a:ln>
                  </pic:spPr>
                </pic:pic>
              </a:graphicData>
            </a:graphic>
          </wp:inline>
        </w:drawing>
      </w:r>
    </w:p>
    <w:p w14:paraId="00B5F92D" w14:textId="78771460" w:rsidR="00610AD0" w:rsidRDefault="00610AD0" w:rsidP="00610AD0">
      <w:pPr>
        <w:rPr>
          <w:rFonts w:ascii="Times New Roman" w:hAnsi="Times New Roman" w:cs="Times New Roman"/>
        </w:rPr>
      </w:pPr>
      <w:r w:rsidRPr="00610AD0">
        <w:rPr>
          <w:rFonts w:ascii="Times New Roman" w:hAnsi="Times New Roman" w:cs="Times New Roman"/>
        </w:rPr>
        <w:t>Fig. S4 Schematic of predicted surface conditions of BC-W and BC-TG.</w:t>
      </w:r>
    </w:p>
    <w:p w14:paraId="0BC3FABE" w14:textId="70F2A7B7" w:rsidR="00610AD0" w:rsidRPr="00610AD0" w:rsidRDefault="00610AD0" w:rsidP="00610AD0">
      <w:pPr>
        <w:widowControl/>
        <w:jc w:val="left"/>
        <w:rPr>
          <w:rFonts w:ascii="Times New Roman" w:hAnsi="Times New Roman" w:cs="Times New Roman" w:hint="eastAsia"/>
        </w:rPr>
      </w:pPr>
    </w:p>
    <w:sectPr w:rsidR="00610AD0" w:rsidRPr="00610AD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AD0"/>
    <w:rsid w:val="00610AD0"/>
    <w:rsid w:val="006822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2FA8F3"/>
  <w15:chartTrackingRefBased/>
  <w15:docId w15:val="{4DDA9526-DA63-456D-B958-ACFA7666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表題1"/>
    <w:basedOn w:val="a"/>
    <w:rsid w:val="00610AD0"/>
    <w:pPr>
      <w:widowControl/>
      <w:overflowPunct w:val="0"/>
      <w:spacing w:line="360" w:lineRule="auto"/>
      <w:jc w:val="left"/>
    </w:pPr>
    <w:rPr>
      <w:rFonts w:ascii="Arial" w:eastAsia="Arial" w:hAnsi="Arial" w:cs="Arial"/>
      <w:b/>
      <w:kern w:val="0"/>
      <w:sz w:val="36"/>
      <w:szCs w:val="20"/>
    </w:rPr>
  </w:style>
  <w:style w:type="paragraph" w:customStyle="1" w:styleId="author">
    <w:name w:val="author"/>
    <w:basedOn w:val="a"/>
    <w:rsid w:val="00610AD0"/>
    <w:pPr>
      <w:widowControl/>
      <w:overflowPunct w:val="0"/>
      <w:spacing w:before="120" w:line="360" w:lineRule="auto"/>
      <w:jc w:val="left"/>
    </w:pPr>
    <w:rPr>
      <w:rFonts w:ascii="Times New Roman" w:eastAsia="游明朝" w:hAnsi="Times New Roman" w:cs="Times New Roman"/>
      <w:kern w:val="0"/>
      <w:sz w:val="24"/>
      <w:szCs w:val="20"/>
    </w:rPr>
  </w:style>
  <w:style w:type="paragraph" w:customStyle="1" w:styleId="affiliation">
    <w:name w:val="affiliation"/>
    <w:basedOn w:val="a"/>
    <w:rsid w:val="00610AD0"/>
    <w:pPr>
      <w:widowControl/>
      <w:overflowPunct w:val="0"/>
      <w:spacing w:before="120"/>
      <w:jc w:val="left"/>
    </w:pPr>
    <w:rPr>
      <w:rFonts w:ascii="Times New Roman" w:eastAsia="游明朝" w:hAnsi="Times New Roman" w:cs="Times New Roman"/>
      <w:i/>
      <w:kern w:val="0"/>
      <w:sz w:val="24"/>
      <w:szCs w:val="20"/>
    </w:rPr>
  </w:style>
  <w:style w:type="paragraph" w:customStyle="1" w:styleId="phone">
    <w:name w:val="phone"/>
    <w:basedOn w:val="a"/>
    <w:rsid w:val="00610AD0"/>
    <w:pPr>
      <w:widowControl/>
      <w:overflowPunct w:val="0"/>
      <w:spacing w:before="120"/>
      <w:jc w:val="left"/>
    </w:pPr>
    <w:rPr>
      <w:rFonts w:ascii="Times New Roman" w:eastAsia="游明朝"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田川 聡美</dc:creator>
  <cp:keywords/>
  <dc:description/>
  <cp:lastModifiedBy>田川 聡美</cp:lastModifiedBy>
  <cp:revision>1</cp:revision>
  <dcterms:created xsi:type="dcterms:W3CDTF">2023-04-10T01:57:00Z</dcterms:created>
  <dcterms:modified xsi:type="dcterms:W3CDTF">2023-04-10T02:08:00Z</dcterms:modified>
</cp:coreProperties>
</file>