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28A" w:rsidRPr="0016228A" w:rsidRDefault="0016228A" w:rsidP="0016228A">
      <w:pPr>
        <w:spacing w:before="240" w:line="240" w:lineRule="auto"/>
        <w:jc w:val="left"/>
        <w:rPr>
          <w:b/>
          <w:noProof/>
          <w:sz w:val="28"/>
        </w:rPr>
      </w:pPr>
      <w:r w:rsidRPr="0016228A">
        <w:rPr>
          <w:b/>
          <w:noProof/>
          <w:sz w:val="28"/>
        </w:rPr>
        <w:t xml:space="preserve">Differential gut microbiome in spondyloarthritis patients associated to </w:t>
      </w:r>
      <w:r w:rsidRPr="0016228A">
        <w:rPr>
          <w:b/>
          <w:i/>
          <w:noProof/>
          <w:sz w:val="28"/>
        </w:rPr>
        <w:t xml:space="preserve">Blastocystis </w:t>
      </w:r>
      <w:r w:rsidRPr="0016228A">
        <w:rPr>
          <w:b/>
          <w:noProof/>
          <w:sz w:val="28"/>
        </w:rPr>
        <w:t>colonization</w:t>
      </w:r>
    </w:p>
    <w:p w:rsidR="0016228A" w:rsidRPr="00465A2F" w:rsidRDefault="0016228A" w:rsidP="0016228A">
      <w:pPr>
        <w:spacing w:before="120" w:after="240" w:line="240" w:lineRule="auto"/>
        <w:jc w:val="left"/>
        <w:rPr>
          <w:b/>
          <w:noProof/>
          <w:sz w:val="28"/>
        </w:rPr>
      </w:pPr>
      <w:bookmarkStart w:id="0" w:name="_GoBack"/>
      <w:r w:rsidRPr="00465A2F">
        <w:rPr>
          <w:b/>
          <w:noProof/>
          <w:sz w:val="28"/>
        </w:rPr>
        <w:t>Supplementary material</w:t>
      </w:r>
    </w:p>
    <w:bookmarkEnd w:id="0"/>
    <w:p w:rsidR="0016228A" w:rsidRPr="00333D3A" w:rsidRDefault="0016228A" w:rsidP="0016228A">
      <w:pPr>
        <w:shd w:val="clear" w:color="auto" w:fill="F2F2F2" w:themeFill="background1" w:themeFillShade="F2"/>
        <w:spacing w:before="240" w:line="240" w:lineRule="auto"/>
        <w:jc w:val="left"/>
        <w:rPr>
          <w:b/>
          <w:noProof/>
        </w:rPr>
      </w:pPr>
      <w:r w:rsidRPr="00333D3A">
        <w:rPr>
          <w:b/>
          <w:noProof/>
        </w:rPr>
        <w:t>Supplementary table S1. Primers information</w:t>
      </w:r>
    </w:p>
    <w:p w:rsidR="0016228A" w:rsidRPr="00333D3A" w:rsidRDefault="0016228A" w:rsidP="0016228A">
      <w:pPr>
        <w:shd w:val="clear" w:color="auto" w:fill="F2F2F2" w:themeFill="background1" w:themeFillShade="F2"/>
        <w:spacing w:after="360" w:line="240" w:lineRule="auto"/>
        <w:jc w:val="left"/>
        <w:rPr>
          <w:i/>
          <w:noProof/>
        </w:rPr>
      </w:pPr>
      <w:r w:rsidRPr="00333D3A">
        <w:rPr>
          <w:noProof/>
        </w:rPr>
        <w:t xml:space="preserve">Primers used to identify V3-V4 region all bacteria, </w:t>
      </w:r>
      <w:r w:rsidRPr="00333D3A">
        <w:rPr>
          <w:i/>
          <w:noProof/>
        </w:rPr>
        <w:t>Entamoeba histolytica</w:t>
      </w:r>
      <w:r w:rsidRPr="00333D3A">
        <w:rPr>
          <w:noProof/>
        </w:rPr>
        <w:t xml:space="preserve"> and </w:t>
      </w:r>
      <w:r w:rsidRPr="00333D3A">
        <w:rPr>
          <w:i/>
          <w:noProof/>
        </w:rPr>
        <w:t>Cryptosporidium</w:t>
      </w:r>
      <w:r w:rsidRPr="00333D3A">
        <w:rPr>
          <w:noProof/>
        </w:rPr>
        <w:t xml:space="preserve">. Primers and probes to identify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, </w:t>
      </w:r>
      <w:r w:rsidRPr="00333D3A">
        <w:rPr>
          <w:i/>
          <w:noProof/>
        </w:rPr>
        <w:t>Giardia intestinalis</w:t>
      </w:r>
      <w:r w:rsidRPr="00333D3A">
        <w:rPr>
          <w:noProof/>
        </w:rPr>
        <w:t xml:space="preserve"> and </w:t>
      </w:r>
      <w:r w:rsidRPr="00333D3A">
        <w:rPr>
          <w:i/>
          <w:noProof/>
        </w:rPr>
        <w:t>Enterobacteriaceae</w:t>
      </w:r>
    </w:p>
    <w:tbl>
      <w:tblPr>
        <w:tblW w:w="9786" w:type="dxa"/>
        <w:tblInd w:w="-5" w:type="dxa"/>
        <w:tblBorders>
          <w:insideH w:val="single" w:sz="4" w:space="0" w:color="000000" w:themeColor="text1"/>
        </w:tblBorders>
        <w:tblLook w:val="0600" w:firstRow="0" w:lastRow="0" w:firstColumn="0" w:lastColumn="0" w:noHBand="1" w:noVBand="1"/>
      </w:tblPr>
      <w:tblGrid>
        <w:gridCol w:w="1134"/>
        <w:gridCol w:w="1701"/>
        <w:gridCol w:w="1717"/>
        <w:gridCol w:w="3958"/>
        <w:gridCol w:w="1276"/>
      </w:tblGrid>
      <w:tr w:rsidR="0016228A" w:rsidRPr="00333D3A" w:rsidTr="00564B76"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>Target gene</w:t>
            </w:r>
          </w:p>
        </w:tc>
        <w:tc>
          <w:tcPr>
            <w:tcW w:w="3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>Organism, type of PCR, primer name</w:t>
            </w:r>
          </w:p>
        </w:tc>
        <w:tc>
          <w:tcPr>
            <w:tcW w:w="395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>Sequence 5</w:t>
            </w: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sym w:font="Wingdings" w:char="F0E0"/>
            </w: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 xml:space="preserve"> 3´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>Reference</w:t>
            </w:r>
          </w:p>
        </w:tc>
      </w:tr>
      <w:tr w:rsidR="0016228A" w:rsidRPr="00333D3A" w:rsidTr="00564B76">
        <w:tc>
          <w:tcPr>
            <w:tcW w:w="1134" w:type="dxa"/>
            <w:vMerge w:val="restart"/>
            <w:tcBorders>
              <w:top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18S rRNA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3418" w:type="dxa"/>
            <w:gridSpan w:val="2"/>
            <w:tcBorders>
              <w:top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E. histolytica</w:t>
            </w:r>
          </w:p>
        </w:tc>
        <w:tc>
          <w:tcPr>
            <w:tcW w:w="3958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First PCR</w:t>
            </w:r>
          </w:p>
        </w:tc>
        <w:tc>
          <w:tcPr>
            <w:tcW w:w="17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E.histo-18S-F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EhR</w:t>
            </w:r>
          </w:p>
        </w:tc>
        <w:tc>
          <w:tcPr>
            <w:tcW w:w="39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GTTTGTATTAGTACAAAATGGCCAATTC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GATCTAGAAACAATGCTTCTCT</w:t>
            </w:r>
          </w:p>
        </w:tc>
        <w:tc>
          <w:tcPr>
            <w:tcW w:w="12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[1, 2]</w:t>
            </w: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i/>
                <w:noProof/>
                <w:sz w:val="16"/>
                <w:szCs w:val="16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Nested PCR</w:t>
            </w:r>
          </w:p>
        </w:tc>
        <w:tc>
          <w:tcPr>
            <w:tcW w:w="17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EntaF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EhR</w:t>
            </w:r>
          </w:p>
        </w:tc>
        <w:tc>
          <w:tcPr>
            <w:tcW w:w="39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ATGCACGAGAGCGAAAGCAT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GATCTAGAAACAATGCTTCTCT</w:t>
            </w:r>
          </w:p>
        </w:tc>
        <w:tc>
          <w:tcPr>
            <w:tcW w:w="12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[2]</w:t>
            </w: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3418" w:type="dxa"/>
            <w:gridSpan w:val="2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Cryptosporidium</w:t>
            </w:r>
          </w:p>
        </w:tc>
        <w:tc>
          <w:tcPr>
            <w:tcW w:w="3958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First PCR</w:t>
            </w:r>
          </w:p>
        </w:tc>
        <w:tc>
          <w:tcPr>
            <w:tcW w:w="17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Crip_F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Crip_R</w:t>
            </w:r>
          </w:p>
        </w:tc>
        <w:tc>
          <w:tcPr>
            <w:tcW w:w="39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GGAAGGGTTGTATTTATTAGATAAAG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AAGGAGTAAGGAACAACCTCCA</w:t>
            </w:r>
          </w:p>
        </w:tc>
        <w:tc>
          <w:tcPr>
            <w:tcW w:w="12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[3]</w:t>
            </w: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i/>
                <w:noProof/>
                <w:sz w:val="16"/>
                <w:szCs w:val="16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Nested PCR</w:t>
            </w:r>
          </w:p>
        </w:tc>
        <w:tc>
          <w:tcPr>
            <w:tcW w:w="17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Chv_F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Crip_R</w:t>
            </w:r>
          </w:p>
        </w:tc>
        <w:tc>
          <w:tcPr>
            <w:tcW w:w="39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CAATAGCGTATATTAAAGTTGTTGCAGTT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AAGGAGTAAGGAACAACCTCCA</w:t>
            </w:r>
          </w:p>
        </w:tc>
        <w:tc>
          <w:tcPr>
            <w:tcW w:w="12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[4]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[3]</w:t>
            </w: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3418" w:type="dxa"/>
            <w:gridSpan w:val="2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Blastocystis</w:t>
            </w:r>
          </w:p>
        </w:tc>
        <w:tc>
          <w:tcPr>
            <w:tcW w:w="3958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qPCR</w:t>
            </w:r>
          </w:p>
        </w:tc>
        <w:tc>
          <w:tcPr>
            <w:tcW w:w="17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Blasto_18S_F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Blasto_18S_R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Blasto_18S (probe)</w:t>
            </w:r>
          </w:p>
        </w:tc>
        <w:tc>
          <w:tcPr>
            <w:tcW w:w="395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GGTCCGGTGAACACTTTGGATTT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CCTACGGAAACCTTGTTACGACTTCA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FAM-TCGTGTAAATCTTACCATTTAGAGGA-BHQ1</w:t>
            </w:r>
          </w:p>
        </w:tc>
        <w:tc>
          <w:tcPr>
            <w:tcW w:w="12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[5]</w:t>
            </w:r>
          </w:p>
        </w:tc>
      </w:tr>
      <w:tr w:rsidR="0016228A" w:rsidRPr="00333D3A" w:rsidTr="00564B76">
        <w:tc>
          <w:tcPr>
            <w:tcW w:w="1134" w:type="dxa"/>
            <w:vMerge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3418" w:type="dxa"/>
            <w:gridSpan w:val="2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G. intestinalis</w:t>
            </w:r>
          </w:p>
        </w:tc>
        <w:tc>
          <w:tcPr>
            <w:tcW w:w="3958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qPCR</w:t>
            </w:r>
          </w:p>
        </w:tc>
        <w:tc>
          <w:tcPr>
            <w:tcW w:w="1717" w:type="dxa"/>
            <w:tcBorders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Giard_16S_F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Giard_16S_R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Giard_16S (probe)</w:t>
            </w:r>
          </w:p>
        </w:tc>
        <w:tc>
          <w:tcPr>
            <w:tcW w:w="3958" w:type="dxa"/>
            <w:tcBorders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CATGCATGCCCGCTCA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AGCGGTGTCCGGCTAGC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FAM-AGGACAACGGTTGCAC-BHQ1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[1]</w:t>
            </w:r>
          </w:p>
        </w:tc>
      </w:tr>
      <w:tr w:rsidR="0016228A" w:rsidRPr="00333D3A" w:rsidTr="00564B76">
        <w:tc>
          <w:tcPr>
            <w:tcW w:w="1134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16S rRNA</w:t>
            </w:r>
          </w:p>
        </w:tc>
        <w:tc>
          <w:tcPr>
            <w:tcW w:w="3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i/>
                <w:noProof/>
                <w:sz w:val="16"/>
                <w:szCs w:val="16"/>
                <w:lang w:eastAsia="es-CO"/>
              </w:rPr>
              <w:t>Enterobacteriaceae</w:t>
            </w:r>
          </w:p>
        </w:tc>
        <w:tc>
          <w:tcPr>
            <w:tcW w:w="395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qPCR</w:t>
            </w:r>
          </w:p>
        </w:tc>
        <w:tc>
          <w:tcPr>
            <w:tcW w:w="17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TTB_Forward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TTB_Reverse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TTB38K (probe)</w:t>
            </w:r>
          </w:p>
        </w:tc>
        <w:tc>
          <w:tcPr>
            <w:tcW w:w="395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AGAGTTTGATCMTGGCTCAG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TTACCGCGGCKGCTGGCAC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FAM-CCAKACTCCTACGGGAGGCAGCAG-BHQ1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[6]</w:t>
            </w:r>
          </w:p>
        </w:tc>
      </w:tr>
      <w:tr w:rsidR="0016228A" w:rsidRPr="00333D3A" w:rsidTr="00564B76">
        <w:tc>
          <w:tcPr>
            <w:tcW w:w="1134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i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3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b/>
                <w:noProof/>
                <w:sz w:val="16"/>
                <w:szCs w:val="16"/>
                <w:lang w:eastAsia="es-CO"/>
              </w:rPr>
              <w:t>All bacteria (region V3-V4)</w:t>
            </w:r>
          </w:p>
        </w:tc>
        <w:tc>
          <w:tcPr>
            <w:tcW w:w="395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</w:tr>
      <w:tr w:rsidR="0016228A" w:rsidRPr="00333D3A" w:rsidTr="00564B76">
        <w:tc>
          <w:tcPr>
            <w:tcW w:w="1134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PCR</w:t>
            </w:r>
          </w:p>
        </w:tc>
        <w:tc>
          <w:tcPr>
            <w:tcW w:w="17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Bakt_341F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Bakt_805R</w:t>
            </w:r>
          </w:p>
        </w:tc>
        <w:tc>
          <w:tcPr>
            <w:tcW w:w="395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CCTACGGGNGGCWGCAG</w:t>
            </w:r>
          </w:p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GACTACHVGGGTATCTAATCC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100" w:type="dxa"/>
              <w:left w:w="28" w:type="dxa"/>
              <w:bottom w:w="100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pStyle w:val="Sinespaciado"/>
              <w:jc w:val="left"/>
              <w:rPr>
                <w:rFonts w:ascii="Arial" w:hAnsi="Arial" w:cs="Arial"/>
                <w:noProof/>
                <w:sz w:val="16"/>
                <w:szCs w:val="16"/>
                <w:lang w:eastAsia="es-CO"/>
              </w:rPr>
            </w:pPr>
            <w:r w:rsidRPr="00333D3A">
              <w:rPr>
                <w:rFonts w:ascii="Arial" w:hAnsi="Arial" w:cs="Arial"/>
                <w:noProof/>
                <w:sz w:val="16"/>
                <w:szCs w:val="16"/>
                <w:lang w:eastAsia="es-CO"/>
              </w:rPr>
              <w:t>[7]</w:t>
            </w:r>
          </w:p>
        </w:tc>
      </w:tr>
    </w:tbl>
    <w:p w:rsidR="0016228A" w:rsidRPr="00333D3A" w:rsidRDefault="0016228A" w:rsidP="0016228A">
      <w:pPr>
        <w:tabs>
          <w:tab w:val="left" w:pos="284"/>
        </w:tabs>
        <w:spacing w:before="360" w:line="240" w:lineRule="auto"/>
        <w:jc w:val="left"/>
        <w:rPr>
          <w:noProof/>
        </w:rPr>
      </w:pPr>
      <w:r w:rsidRPr="00333D3A">
        <w:rPr>
          <w:b/>
          <w:noProof/>
        </w:rPr>
        <w:t>References</w:t>
      </w:r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Mejía R, Vicuña Y, Broncano N et al (2013) A novel, multi-parallel, real-time polymerase chain reaction approach for eight gastrointestinal parasites provides improved diagnostic capabilities to resource-limited at-risk populations. Am J Trop Med Hyg 88(6):1041-1047. </w:t>
      </w:r>
      <w:hyperlink r:id="rId5" w:history="1">
        <w:r w:rsidRPr="00333D3A">
          <w:rPr>
            <w:noProof/>
          </w:rPr>
          <w:t>https://doi:10.4269/ajtmh.12-0726</w:t>
        </w:r>
      </w:hyperlink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Hamzah Z, Petmitr S, Mungthin M, Leelayoova S, Chavalitshewinkoon-Petmitr P (2006) Differential detection of Entamoeba histolytica, Entamoeba dispar, and Entamoeba moshkovs.kii by a single-round PCR assay. J Clin Microbiol 44(9):3196-3200. </w:t>
      </w:r>
      <w:hyperlink r:id="rId6" w:history="1">
        <w:r w:rsidRPr="00333D3A">
          <w:rPr>
            <w:noProof/>
          </w:rPr>
          <w:t>https://doi:10.1128/JCM.00778-06</w:t>
        </w:r>
      </w:hyperlink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Xiao L, Morgan UM, Limor J, Escalante A, Arrowood M, Shulaw W, Thompson RC, Fayer R, Lal AA. Genetic diversity within Cryptosporidium parvum and related </w:t>
      </w:r>
      <w:r w:rsidRPr="00333D3A">
        <w:rPr>
          <w:noProof/>
        </w:rPr>
        <w:lastRenderedPageBreak/>
        <w:t>Cryptosporidium species. Appl Environ Microbiol. 1999 Aug;65(8):3386-91. doi: 10.1128/AEM.65.8.3386-3391.1999</w:t>
      </w:r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>Burnet JB, Ogorzaly L, Tissier A, Penny C, Cauchie HM (2013) Novel quantitative TaqMan real-time PCR assays for detection of Cryptosporidium at the genus level and genotyping of major human and cattle-infecting species. J Appl Microbiol  114(4):1211-22. https://doi.org/10.1111/jam.12103</w:t>
      </w:r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Stensvold CR, Ahmed UN, Andersen LO, Nielsen HV (2012) Development and evaluation of a genus-specific, probe-based, internal-process-controlled real-time PCR assay for sensitive and specific detection of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spp. J Clin Microbiol 50(6):1847-1851. https://doi.org/10.1128/JCM.00007-12</w:t>
      </w:r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Menu E, Mary C, Toga I, Raoult D, Ranque S, Bittar F (2018) Evaluation of two DNA extraction methods for the PCR-based detection of eukaryotic enteric pathogens in fecal samples. BMC Res Notes 11(1):206. </w:t>
      </w:r>
      <w:hyperlink r:id="rId7" w:history="1">
        <w:r w:rsidRPr="00333D3A">
          <w:rPr>
            <w:noProof/>
          </w:rPr>
          <w:t>https://doi.org/10.1186/s13104-018-3300-2</w:t>
        </w:r>
      </w:hyperlink>
    </w:p>
    <w:p w:rsidR="0016228A" w:rsidRPr="00333D3A" w:rsidRDefault="0016228A" w:rsidP="0016228A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ind w:left="284" w:hanging="284"/>
        <w:contextualSpacing w:val="0"/>
        <w:jc w:val="left"/>
        <w:rPr>
          <w:noProof/>
        </w:rPr>
      </w:pPr>
      <w:r w:rsidRPr="00333D3A">
        <w:rPr>
          <w:noProof/>
        </w:rPr>
        <w:t xml:space="preserve">Herlemann DP, Labrenz M, Jürgens K, Bertilsson S, Waniek JJ, Andersson AF (2011) Transitions in bacterial communities along the 2000 km salinity gradient of the Baltic Sea. ISME J 5(10):1571-9. </w:t>
      </w:r>
      <w:hyperlink r:id="rId8" w:history="1">
        <w:r w:rsidRPr="00333D3A">
          <w:rPr>
            <w:noProof/>
          </w:rPr>
          <w:t>https://doi:10.1038/ismej.2011.41</w:t>
        </w:r>
      </w:hyperlink>
      <w:r w:rsidRPr="00333D3A">
        <w:rPr>
          <w:noProof/>
        </w:rPr>
        <w:br w:type="page"/>
      </w:r>
    </w:p>
    <w:p w:rsidR="0016228A" w:rsidRPr="00333D3A" w:rsidRDefault="0016228A" w:rsidP="0016228A">
      <w:pPr>
        <w:shd w:val="clear" w:color="auto" w:fill="F2F2F2" w:themeFill="background1" w:themeFillShade="F2"/>
        <w:spacing w:before="240" w:line="240" w:lineRule="auto"/>
        <w:jc w:val="left"/>
        <w:rPr>
          <w:b/>
          <w:noProof/>
        </w:rPr>
      </w:pPr>
      <w:r w:rsidRPr="00333D3A">
        <w:rPr>
          <w:b/>
          <w:noProof/>
        </w:rPr>
        <w:lastRenderedPageBreak/>
        <w:t>Supplementary table S2. Mean values of intestinal bacterial richness and diversity indices</w:t>
      </w:r>
    </w:p>
    <w:p w:rsidR="0016228A" w:rsidRPr="00333D3A" w:rsidRDefault="0016228A" w:rsidP="0016228A">
      <w:pPr>
        <w:shd w:val="clear" w:color="auto" w:fill="F2F2F2" w:themeFill="background1" w:themeFillShade="F2"/>
        <w:spacing w:after="360" w:line="240" w:lineRule="auto"/>
        <w:jc w:val="left"/>
        <w:rPr>
          <w:noProof/>
        </w:rPr>
      </w:pPr>
      <w:r w:rsidRPr="00333D3A">
        <w:rPr>
          <w:noProof/>
        </w:rPr>
        <w:t xml:space="preserve">Means and standard deviation.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C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All control subjects.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P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All spondyloarthritis patients (SpA patients).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C -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Control subjects without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C +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Control subjects with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P -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SpA-patients without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</w:t>
      </w:r>
      <w:r w:rsidRPr="00333D3A">
        <w:rPr>
          <w:b/>
          <w:noProof/>
        </w:rPr>
        <w:t>(</w:t>
      </w:r>
      <w:r w:rsidRPr="00333D3A">
        <w:rPr>
          <w:b/>
          <w:i/>
          <w:noProof/>
        </w:rPr>
        <w:t>P +</w:t>
      </w:r>
      <w:r w:rsidRPr="00333D3A">
        <w:rPr>
          <w:b/>
          <w:noProof/>
        </w:rPr>
        <w:t>):</w:t>
      </w:r>
      <w:r w:rsidRPr="00333D3A">
        <w:rPr>
          <w:noProof/>
        </w:rPr>
        <w:t xml:space="preserve"> SpA-patients with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</w:t>
      </w:r>
      <w:r w:rsidRPr="00333D3A">
        <w:rPr>
          <w:b/>
          <w:noProof/>
        </w:rPr>
        <w:t>Low</w:t>
      </w:r>
      <w:r w:rsidRPr="00333D3A">
        <w:rPr>
          <w:noProof/>
        </w:rPr>
        <w:t xml:space="preserve">: less disability according BASDAI or BASFI scores (values &lt; 4). </w:t>
      </w:r>
      <w:r w:rsidRPr="00333D3A">
        <w:rPr>
          <w:b/>
          <w:noProof/>
        </w:rPr>
        <w:t>High:</w:t>
      </w:r>
      <w:r w:rsidRPr="00333D3A">
        <w:rPr>
          <w:noProof/>
        </w:rPr>
        <w:t xml:space="preserve"> more disability according BASDAI or BASFI scores (values ≥ 4).</w:t>
      </w:r>
    </w:p>
    <w:tbl>
      <w:tblPr>
        <w:tblW w:w="931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8500" w:type="dxa"/>
            <w:gridSpan w:val="10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b/>
                <w:noProof/>
                <w:sz w:val="16"/>
                <w:szCs w:val="16"/>
              </w:rPr>
              <w:t>Mean values of intestinal bacterial richness and diversity indices</w:t>
            </w:r>
          </w:p>
        </w:tc>
      </w:tr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5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b/>
                <w:noProof/>
                <w:sz w:val="16"/>
                <w:szCs w:val="16"/>
              </w:rPr>
              <w:t>Control Subjects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b/>
                <w:noProof/>
                <w:sz w:val="16"/>
                <w:szCs w:val="16"/>
              </w:rPr>
              <w:t>SpA-Patients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BASDAI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BASFI</w:t>
            </w:r>
          </w:p>
        </w:tc>
      </w:tr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Index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C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C-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C+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P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P-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i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i/>
                <w:noProof/>
                <w:sz w:val="16"/>
                <w:szCs w:val="16"/>
              </w:rPr>
              <w:t>P+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Low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High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Low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High</w:t>
            </w:r>
          </w:p>
        </w:tc>
      </w:tr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Chao1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338 ± 91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US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266 ± 73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384 ± 70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270 ± 61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270 ± 70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270 ± 57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273 ± 77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270 ± 58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282 ± 63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265 ± 62</w:t>
            </w:r>
          </w:p>
        </w:tc>
      </w:tr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Shannon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7.7 ± 0.5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US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7.4 ± 0.4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7.9 ± 0.5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0.3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0.4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0.3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7.2 ± 0.3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0.4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03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7.3 ± 0.4</w:t>
            </w:r>
          </w:p>
        </w:tc>
      </w:tr>
      <w:tr w:rsidR="0016228A" w:rsidRPr="00333D3A" w:rsidTr="00564B76">
        <w:trPr>
          <w:trHeight w:val="227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b/>
                <w:bCs/>
                <w:noProof/>
                <w:sz w:val="16"/>
                <w:szCs w:val="16"/>
              </w:rPr>
              <w:t>Faith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19.2 ± 4.5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US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15.6 ± 3.2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21.4 ± 3.9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18.9 ± 4.6</w:t>
            </w:r>
          </w:p>
        </w:tc>
        <w:tc>
          <w:tcPr>
            <w:tcW w:w="85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19.2 ± 6.2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18.8 ± 3.6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20.6 ± 4.2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18.6 ± 4.7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20.4 ± 5.1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right"/>
              <w:rPr>
                <w:rFonts w:eastAsia="Times New Roman"/>
                <w:noProof/>
                <w:sz w:val="16"/>
                <w:szCs w:val="16"/>
              </w:rPr>
            </w:pPr>
            <w:r w:rsidRPr="00333D3A">
              <w:rPr>
                <w:rFonts w:eastAsia="Times New Roman"/>
                <w:noProof/>
                <w:sz w:val="16"/>
                <w:szCs w:val="16"/>
              </w:rPr>
              <w:t>18.4 ± 4.3</w:t>
            </w:r>
          </w:p>
        </w:tc>
      </w:tr>
    </w:tbl>
    <w:p w:rsidR="0016228A" w:rsidRPr="00333D3A" w:rsidRDefault="0016228A" w:rsidP="0016228A">
      <w:pPr>
        <w:suppressLineNumbers/>
        <w:jc w:val="left"/>
        <w:rPr>
          <w:b/>
          <w:noProof/>
          <w:sz w:val="20"/>
        </w:rPr>
      </w:pPr>
      <w:r w:rsidRPr="00333D3A">
        <w:rPr>
          <w:b/>
          <w:noProof/>
          <w:sz w:val="20"/>
        </w:rPr>
        <w:br w:type="page"/>
      </w:r>
    </w:p>
    <w:p w:rsidR="0016228A" w:rsidRPr="00333D3A" w:rsidRDefault="0016228A" w:rsidP="0016228A">
      <w:pPr>
        <w:shd w:val="clear" w:color="auto" w:fill="F2F2F2" w:themeFill="background1" w:themeFillShade="F2"/>
        <w:spacing w:before="120" w:line="240" w:lineRule="auto"/>
        <w:jc w:val="left"/>
        <w:rPr>
          <w:b/>
          <w:bCs/>
          <w:noProof/>
        </w:rPr>
      </w:pPr>
      <w:r w:rsidRPr="00333D3A">
        <w:rPr>
          <w:b/>
          <w:noProof/>
        </w:rPr>
        <w:lastRenderedPageBreak/>
        <w:t xml:space="preserve">Supplementary figure S1. </w:t>
      </w:r>
      <w:r w:rsidRPr="00333D3A">
        <w:rPr>
          <w:b/>
          <w:bCs/>
          <w:noProof/>
        </w:rPr>
        <w:t xml:space="preserve">Taxonomic characterization for gut microbiome in SpA-patients and control individuals, colonized and not colonized by </w:t>
      </w:r>
      <w:r w:rsidRPr="00333D3A">
        <w:rPr>
          <w:b/>
          <w:bCs/>
          <w:i/>
          <w:noProof/>
        </w:rPr>
        <w:t>Blastocystis</w:t>
      </w:r>
      <w:r w:rsidRPr="00333D3A">
        <w:rPr>
          <w:b/>
          <w:bCs/>
          <w:noProof/>
        </w:rPr>
        <w:t xml:space="preserve"> </w:t>
      </w:r>
    </w:p>
    <w:p w:rsidR="0016228A" w:rsidRPr="00333D3A" w:rsidRDefault="0016228A" w:rsidP="0016228A">
      <w:pPr>
        <w:shd w:val="clear" w:color="auto" w:fill="F2F2F2" w:themeFill="background1" w:themeFillShade="F2"/>
        <w:spacing w:before="120" w:after="240" w:line="240" w:lineRule="auto"/>
        <w:rPr>
          <w:noProof/>
        </w:rPr>
      </w:pPr>
      <w:r w:rsidRPr="00333D3A">
        <w:rPr>
          <w:noProof/>
        </w:rPr>
        <w:t>Panels</w:t>
      </w:r>
      <w:r w:rsidRPr="00333D3A">
        <w:rPr>
          <w:b/>
          <w:noProof/>
        </w:rPr>
        <w:t xml:space="preserve"> a, b </w:t>
      </w:r>
      <w:r w:rsidRPr="00333D3A">
        <w:rPr>
          <w:noProof/>
        </w:rPr>
        <w:t>and</w:t>
      </w:r>
      <w:r w:rsidRPr="00333D3A">
        <w:rPr>
          <w:b/>
          <w:noProof/>
        </w:rPr>
        <w:t xml:space="preserve"> c </w:t>
      </w:r>
      <w:r w:rsidRPr="00333D3A">
        <w:rPr>
          <w:noProof/>
        </w:rPr>
        <w:t xml:space="preserve">show the average relative frequency at order, class and phylum level, respectively. Taxa with relative frequency greater than 0.5% are shown. </w:t>
      </w:r>
      <w:r w:rsidRPr="00333D3A">
        <w:rPr>
          <w:b/>
          <w:i/>
          <w:noProof/>
        </w:rPr>
        <w:t>C-</w:t>
      </w:r>
      <w:r w:rsidRPr="00333D3A">
        <w:rPr>
          <w:noProof/>
        </w:rPr>
        <w:t xml:space="preserve">: Control subjects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free (n=5). </w:t>
      </w:r>
      <w:r w:rsidRPr="00333D3A">
        <w:rPr>
          <w:b/>
          <w:i/>
          <w:noProof/>
        </w:rPr>
        <w:t>C+</w:t>
      </w:r>
      <w:r w:rsidRPr="00333D3A">
        <w:rPr>
          <w:noProof/>
        </w:rPr>
        <w:t xml:space="preserve">: Control subjects colonized by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(n=8). </w:t>
      </w:r>
      <w:r w:rsidRPr="00333D3A">
        <w:rPr>
          <w:b/>
          <w:i/>
          <w:noProof/>
        </w:rPr>
        <w:t>P-</w:t>
      </w:r>
      <w:r w:rsidRPr="00333D3A">
        <w:rPr>
          <w:noProof/>
        </w:rPr>
        <w:t xml:space="preserve">: SpA-patients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free. (n=13). </w:t>
      </w:r>
      <w:r w:rsidRPr="00333D3A">
        <w:rPr>
          <w:b/>
          <w:i/>
          <w:noProof/>
        </w:rPr>
        <w:t>P+</w:t>
      </w:r>
      <w:r w:rsidRPr="00333D3A">
        <w:rPr>
          <w:noProof/>
        </w:rPr>
        <w:t xml:space="preserve">: SpA-patients colonized by </w:t>
      </w:r>
      <w:r w:rsidRPr="00333D3A">
        <w:rPr>
          <w:i/>
          <w:noProof/>
        </w:rPr>
        <w:t>Blastocystis</w:t>
      </w:r>
      <w:r w:rsidRPr="00333D3A">
        <w:rPr>
          <w:noProof/>
        </w:rPr>
        <w:t xml:space="preserve"> (n=23).</w:t>
      </w:r>
    </w:p>
    <w:tbl>
      <w:tblPr>
        <w:tblStyle w:val="Tablaconcuadrcula"/>
        <w:tblW w:w="0" w:type="auto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9678"/>
      </w:tblGrid>
      <w:tr w:rsidR="0016228A" w:rsidRPr="00333D3A" w:rsidTr="00564B76">
        <w:tc>
          <w:tcPr>
            <w:tcW w:w="9678" w:type="dxa"/>
          </w:tcPr>
          <w:p w:rsidR="0016228A" w:rsidRPr="00333D3A" w:rsidRDefault="0016228A" w:rsidP="0016228A">
            <w:pPr>
              <w:spacing w:before="240"/>
              <w:jc w:val="center"/>
              <w:rPr>
                <w:b/>
                <w:noProof/>
                <w:sz w:val="20"/>
              </w:rPr>
            </w:pPr>
            <w:r w:rsidRPr="00333D3A">
              <w:rPr>
                <w:b/>
                <w:noProof/>
                <w:sz w:val="20"/>
                <w:lang w:eastAsia="en-US"/>
              </w:rPr>
              <w:drawing>
                <wp:inline distT="0" distB="0" distL="0" distR="0" wp14:anchorId="17CE1EF6" wp14:editId="59867C9C">
                  <wp:extent cx="2505402" cy="6178550"/>
                  <wp:effectExtent l="0" t="0" r="9525" b="0"/>
                  <wp:docPr id="6" name="Imagen 6" descr="C:\Users\chaparrojacqueline\Downloads\fig_s1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haparrojacqueline\Downloads\fig_s1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3253" cy="6197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6228A" w:rsidRPr="00333D3A" w:rsidRDefault="0016228A" w:rsidP="0016228A">
      <w:pPr>
        <w:shd w:val="clear" w:color="auto" w:fill="F2F2F2" w:themeFill="background1" w:themeFillShade="F2"/>
        <w:spacing w:before="360" w:after="240" w:line="240" w:lineRule="auto"/>
        <w:jc w:val="left"/>
        <w:rPr>
          <w:b/>
          <w:noProof/>
          <w:szCs w:val="20"/>
        </w:rPr>
      </w:pPr>
      <w:r w:rsidRPr="00333D3A">
        <w:rPr>
          <w:b/>
          <w:noProof/>
          <w:szCs w:val="20"/>
        </w:rPr>
        <w:lastRenderedPageBreak/>
        <w:t>Supplementary table S3. Comparisons of mean relative abundance of microbial classes significantly different between individuals.</w:t>
      </w:r>
    </w:p>
    <w:p w:rsidR="0016228A" w:rsidRPr="00333D3A" w:rsidRDefault="0016228A" w:rsidP="0016228A">
      <w:pPr>
        <w:shd w:val="clear" w:color="auto" w:fill="F2F2F2" w:themeFill="background1" w:themeFillShade="F2"/>
        <w:spacing w:before="120" w:after="360" w:line="240" w:lineRule="auto"/>
        <w:jc w:val="left"/>
        <w:rPr>
          <w:noProof/>
          <w:sz w:val="32"/>
        </w:rPr>
      </w:pPr>
      <w:r w:rsidRPr="00333D3A">
        <w:rPr>
          <w:noProof/>
          <w:szCs w:val="20"/>
        </w:rPr>
        <w:t xml:space="preserve">Taxa relative abundances were compared between subgroups and </w:t>
      </w:r>
      <w:r w:rsidRPr="00333D3A">
        <w:rPr>
          <w:i/>
          <w:noProof/>
          <w:szCs w:val="20"/>
        </w:rPr>
        <w:t>p</w:t>
      </w:r>
      <w:r w:rsidRPr="00333D3A">
        <w:rPr>
          <w:noProof/>
          <w:szCs w:val="20"/>
        </w:rPr>
        <w:t>-values significantly different are shown in bold. Statistical significance was obtained by White’s non-parametric t-test and Benjamini</w:t>
      </w:r>
      <w:r w:rsidRPr="00333D3A">
        <w:rPr>
          <w:noProof/>
          <w:szCs w:val="20"/>
        </w:rPr>
        <w:sym w:font="Symbol" w:char="F02D"/>
      </w:r>
      <w:r w:rsidRPr="00333D3A">
        <w:rPr>
          <w:noProof/>
          <w:szCs w:val="20"/>
        </w:rPr>
        <w:t xml:space="preserve">Hochberg FDR correction (only taxa with </w:t>
      </w:r>
      <w:r w:rsidRPr="00333D3A">
        <w:rPr>
          <w:i/>
          <w:noProof/>
          <w:szCs w:val="20"/>
        </w:rPr>
        <w:t>p</w:t>
      </w:r>
      <w:r w:rsidRPr="00333D3A">
        <w:rPr>
          <w:noProof/>
          <w:szCs w:val="20"/>
        </w:rPr>
        <w:t xml:space="preserve">-value &lt;0.05 and a DBM&gt;0.3% are shown). </w:t>
      </w:r>
      <w:r w:rsidRPr="00333D3A">
        <w:rPr>
          <w:b/>
          <w:i/>
          <w:noProof/>
          <w:szCs w:val="20"/>
        </w:rPr>
        <w:t>C-</w:t>
      </w:r>
      <w:r w:rsidRPr="00333D3A">
        <w:rPr>
          <w:noProof/>
          <w:szCs w:val="20"/>
        </w:rPr>
        <w:t xml:space="preserve">: Controls without </w:t>
      </w:r>
      <w:r w:rsidRPr="00333D3A">
        <w:rPr>
          <w:i/>
          <w:noProof/>
          <w:szCs w:val="20"/>
        </w:rPr>
        <w:t>Blastocystis</w:t>
      </w:r>
      <w:r w:rsidRPr="00333D3A">
        <w:rPr>
          <w:noProof/>
          <w:szCs w:val="20"/>
        </w:rPr>
        <w:t xml:space="preserve"> </w:t>
      </w:r>
      <w:r w:rsidRPr="00333D3A">
        <w:rPr>
          <w:b/>
          <w:i/>
          <w:noProof/>
          <w:szCs w:val="20"/>
        </w:rPr>
        <w:t>C+</w:t>
      </w:r>
      <w:r w:rsidRPr="00333D3A">
        <w:rPr>
          <w:noProof/>
          <w:szCs w:val="20"/>
        </w:rPr>
        <w:t xml:space="preserve">: Controls with </w:t>
      </w:r>
      <w:r w:rsidRPr="00333D3A">
        <w:rPr>
          <w:i/>
          <w:noProof/>
          <w:szCs w:val="20"/>
        </w:rPr>
        <w:t>Blastocystis</w:t>
      </w:r>
      <w:r w:rsidRPr="00333D3A">
        <w:rPr>
          <w:noProof/>
          <w:szCs w:val="20"/>
        </w:rPr>
        <w:t xml:space="preserve"> </w:t>
      </w:r>
      <w:r w:rsidRPr="00333D3A">
        <w:rPr>
          <w:b/>
          <w:i/>
          <w:noProof/>
          <w:szCs w:val="20"/>
        </w:rPr>
        <w:t>P-</w:t>
      </w:r>
      <w:r w:rsidRPr="00333D3A">
        <w:rPr>
          <w:noProof/>
          <w:szCs w:val="20"/>
        </w:rPr>
        <w:t xml:space="preserve">: Patients without </w:t>
      </w:r>
      <w:r w:rsidRPr="00333D3A">
        <w:rPr>
          <w:i/>
          <w:noProof/>
          <w:szCs w:val="20"/>
        </w:rPr>
        <w:t>Blastocystis</w:t>
      </w:r>
      <w:r w:rsidRPr="00333D3A">
        <w:rPr>
          <w:noProof/>
          <w:szCs w:val="20"/>
        </w:rPr>
        <w:t xml:space="preserve"> </w:t>
      </w:r>
      <w:r w:rsidRPr="00333D3A">
        <w:rPr>
          <w:b/>
          <w:i/>
          <w:noProof/>
          <w:szCs w:val="20"/>
        </w:rPr>
        <w:t>P+</w:t>
      </w:r>
      <w:r w:rsidRPr="00333D3A">
        <w:rPr>
          <w:noProof/>
          <w:szCs w:val="20"/>
        </w:rPr>
        <w:t xml:space="preserve">: Patients with </w:t>
      </w:r>
      <w:r w:rsidRPr="00333D3A">
        <w:rPr>
          <w:i/>
          <w:noProof/>
          <w:szCs w:val="20"/>
        </w:rPr>
        <w:t>Blastocystis</w:t>
      </w:r>
    </w:p>
    <w:tbl>
      <w:tblPr>
        <w:tblW w:w="845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366"/>
        <w:gridCol w:w="2551"/>
        <w:gridCol w:w="1134"/>
        <w:gridCol w:w="1134"/>
        <w:gridCol w:w="1134"/>
        <w:gridCol w:w="1134"/>
      </w:tblGrid>
      <w:tr w:rsidR="0016228A" w:rsidRPr="00333D3A" w:rsidTr="00564B76">
        <w:trPr>
          <w:trHeight w:val="283"/>
          <w:jc w:val="center"/>
        </w:trPr>
        <w:tc>
          <w:tcPr>
            <w:tcW w:w="1366" w:type="dxa"/>
            <w:tcBorders>
              <w:top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</w:p>
        </w:tc>
        <w:tc>
          <w:tcPr>
            <w:tcW w:w="4536" w:type="dxa"/>
            <w:gridSpan w:val="4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center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i/>
                <w:noProof/>
                <w:sz w:val="18"/>
                <w:szCs w:val="18"/>
              </w:rPr>
              <w:t>p</w:t>
            </w: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-value</w:t>
            </w:r>
          </w:p>
        </w:tc>
      </w:tr>
      <w:tr w:rsidR="0016228A" w:rsidRPr="00333D3A" w:rsidTr="00564B76">
        <w:trPr>
          <w:trHeight w:val="283"/>
          <w:jc w:val="center"/>
        </w:trPr>
        <w:tc>
          <w:tcPr>
            <w:tcW w:w="136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Hierarchy</w:t>
            </w: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Taxa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b/>
                <w:i/>
                <w:noProof/>
                <w:sz w:val="18"/>
              </w:rPr>
            </w:pPr>
            <w:r w:rsidRPr="00333D3A">
              <w:rPr>
                <w:b/>
                <w:i/>
                <w:noProof/>
                <w:sz w:val="18"/>
              </w:rPr>
              <w:t xml:space="preserve">C- </w:t>
            </w:r>
            <w:r w:rsidRPr="00333D3A">
              <w:rPr>
                <w:b/>
                <w:noProof/>
                <w:sz w:val="18"/>
              </w:rPr>
              <w:t>vs</w:t>
            </w:r>
            <w:r w:rsidRPr="00333D3A">
              <w:rPr>
                <w:b/>
                <w:i/>
                <w:noProof/>
                <w:sz w:val="18"/>
              </w:rPr>
              <w:t xml:space="preserve"> C+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b/>
                <w:i/>
                <w:noProof/>
                <w:sz w:val="18"/>
              </w:rPr>
            </w:pPr>
            <w:r w:rsidRPr="00333D3A">
              <w:rPr>
                <w:b/>
                <w:i/>
                <w:noProof/>
                <w:sz w:val="18"/>
              </w:rPr>
              <w:t xml:space="preserve">P- </w:t>
            </w:r>
            <w:r w:rsidRPr="00333D3A">
              <w:rPr>
                <w:b/>
                <w:noProof/>
                <w:sz w:val="18"/>
              </w:rPr>
              <w:t>vs</w:t>
            </w:r>
            <w:r w:rsidRPr="00333D3A">
              <w:rPr>
                <w:b/>
                <w:i/>
                <w:noProof/>
                <w:sz w:val="18"/>
              </w:rPr>
              <w:t xml:space="preserve"> P+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b/>
                <w:i/>
                <w:noProof/>
                <w:sz w:val="18"/>
              </w:rPr>
            </w:pPr>
            <w:r w:rsidRPr="00333D3A">
              <w:rPr>
                <w:b/>
                <w:i/>
                <w:noProof/>
                <w:sz w:val="18"/>
              </w:rPr>
              <w:t xml:space="preserve">C- </w:t>
            </w:r>
            <w:r w:rsidRPr="00333D3A">
              <w:rPr>
                <w:b/>
                <w:noProof/>
                <w:sz w:val="18"/>
              </w:rPr>
              <w:t>vs</w:t>
            </w:r>
            <w:r w:rsidRPr="00333D3A">
              <w:rPr>
                <w:b/>
                <w:i/>
                <w:noProof/>
                <w:sz w:val="18"/>
              </w:rPr>
              <w:t xml:space="preserve"> P-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b/>
                <w:i/>
                <w:noProof/>
                <w:sz w:val="18"/>
              </w:rPr>
            </w:pPr>
            <w:r w:rsidRPr="00333D3A">
              <w:rPr>
                <w:b/>
                <w:i/>
                <w:noProof/>
                <w:sz w:val="18"/>
              </w:rPr>
              <w:t xml:space="preserve">C+ </w:t>
            </w:r>
            <w:r w:rsidRPr="00333D3A">
              <w:rPr>
                <w:b/>
                <w:noProof/>
                <w:sz w:val="18"/>
              </w:rPr>
              <w:t>vs</w:t>
            </w:r>
            <w:r w:rsidRPr="00333D3A">
              <w:rPr>
                <w:b/>
                <w:i/>
                <w:noProof/>
                <w:sz w:val="18"/>
              </w:rPr>
              <w:t xml:space="preserve"> P+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 w:val="restart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2551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c_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Bacilli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0.923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0.030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0.033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0.607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o_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Lactobacillales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0.721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0.030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0.013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0.582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f_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Lactobacillaceae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0.255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0.040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0.076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0.159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g_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Lactobacillus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0.227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0.040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0.063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0.234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 xml:space="preserve">s_Lactobacillus 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ruminis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0.324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0.040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0.084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0.368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 w:val="restart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551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p_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Proteobacteria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0.131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0.403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0.726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0.030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c_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Gammaproteobacteria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0.676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0.383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0.935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0.010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f_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Succinivibrionaceae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0.981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0.562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0.556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0.010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g_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Succinivibrio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0.545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1.075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0.596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0.010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 w:val="restart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f_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Clostridiaceae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0.773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0.020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0.173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0.259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g_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Clostridium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0.790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0.010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0.168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0.259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 w:val="restart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4</w:t>
            </w:r>
          </w:p>
        </w:tc>
        <w:tc>
          <w:tcPr>
            <w:tcW w:w="2551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g_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Catenibacterium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0.050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0.164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0.019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0.453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vMerge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s_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Catenibacterium</w:t>
            </w:r>
            <w:r w:rsidRPr="00333D3A">
              <w:rPr>
                <w:rFonts w:eastAsia="Times New Roman"/>
                <w:noProof/>
                <w:sz w:val="18"/>
                <w:szCs w:val="18"/>
              </w:rPr>
              <w:t xml:space="preserve"> 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mitsuokai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0.041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0.174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0.013</w:t>
            </w:r>
          </w:p>
        </w:tc>
        <w:tc>
          <w:tcPr>
            <w:tcW w:w="11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0.473</w:t>
            </w:r>
          </w:p>
        </w:tc>
      </w:tr>
      <w:tr w:rsidR="0016228A" w:rsidRPr="00333D3A" w:rsidTr="00564B76">
        <w:trPr>
          <w:jc w:val="center"/>
        </w:trPr>
        <w:tc>
          <w:tcPr>
            <w:tcW w:w="1366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2551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i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f_</w:t>
            </w:r>
            <w:r w:rsidRPr="00333D3A">
              <w:rPr>
                <w:rFonts w:eastAsia="Times New Roman"/>
                <w:i/>
                <w:noProof/>
                <w:sz w:val="18"/>
                <w:szCs w:val="18"/>
              </w:rPr>
              <w:t>Veillonellaceae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b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b/>
                <w:noProof/>
                <w:sz w:val="18"/>
                <w:szCs w:val="18"/>
              </w:rPr>
              <w:t>0.050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0.652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r w:rsidRPr="00333D3A">
              <w:rPr>
                <w:rFonts w:eastAsia="Times New Roman"/>
                <w:noProof/>
                <w:sz w:val="18"/>
                <w:szCs w:val="18"/>
              </w:rPr>
              <w:t>0.075</w:t>
            </w:r>
          </w:p>
        </w:tc>
        <w:tc>
          <w:tcPr>
            <w:tcW w:w="1134" w:type="dxa"/>
            <w:shd w:val="clear" w:color="auto" w:fill="auto"/>
            <w:tcMar>
              <w:top w:w="57" w:type="dxa"/>
              <w:left w:w="28" w:type="dxa"/>
              <w:bottom w:w="28" w:type="dxa"/>
              <w:right w:w="28" w:type="dxa"/>
            </w:tcMar>
          </w:tcPr>
          <w:p w:rsidR="0016228A" w:rsidRPr="00333D3A" w:rsidRDefault="0016228A" w:rsidP="00564B76">
            <w:pPr>
              <w:spacing w:after="0" w:line="240" w:lineRule="auto"/>
              <w:jc w:val="left"/>
              <w:rPr>
                <w:rFonts w:eastAsia="Times New Roman"/>
                <w:noProof/>
                <w:sz w:val="18"/>
                <w:szCs w:val="18"/>
              </w:rPr>
            </w:pPr>
            <w:bookmarkStart w:id="1" w:name="_heading=h.7uray9ytda0s" w:colFirst="0" w:colLast="0"/>
            <w:bookmarkEnd w:id="1"/>
            <w:r w:rsidRPr="00333D3A">
              <w:rPr>
                <w:rFonts w:eastAsia="Times New Roman"/>
                <w:noProof/>
                <w:sz w:val="18"/>
                <w:szCs w:val="18"/>
              </w:rPr>
              <w:t>0.751</w:t>
            </w:r>
          </w:p>
        </w:tc>
      </w:tr>
    </w:tbl>
    <w:p w:rsidR="00F61159" w:rsidRDefault="0016228A"/>
    <w:sectPr w:rsidR="00F61159" w:rsidSect="00A1578D">
      <w:footerReference w:type="default" r:id="rId10"/>
      <w:pgSz w:w="12240" w:h="15840"/>
      <w:pgMar w:top="1418" w:right="1134" w:bottom="1134" w:left="1418" w:header="709" w:footer="709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1431507"/>
      <w:docPartObj>
        <w:docPartGallery w:val="Page Numbers (Bottom of Page)"/>
        <w:docPartUnique/>
      </w:docPartObj>
    </w:sdtPr>
    <w:sdtEndPr/>
    <w:sdtContent>
      <w:p w:rsidR="00AA1A36" w:rsidRDefault="0016228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6228A">
          <w:rPr>
            <w:noProof/>
            <w:lang w:val="es-ES"/>
          </w:rPr>
          <w:t>1</w:t>
        </w:r>
        <w:r>
          <w:fldChar w:fldCharType="end"/>
        </w:r>
      </w:p>
    </w:sdtContent>
  </w:sdt>
  <w:p w:rsidR="00AA1A36" w:rsidRPr="008406E3" w:rsidRDefault="0016228A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93D48"/>
    <w:multiLevelType w:val="hybridMultilevel"/>
    <w:tmpl w:val="B8367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28A"/>
    <w:rsid w:val="00056F14"/>
    <w:rsid w:val="0016228A"/>
    <w:rsid w:val="00F2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C3C27"/>
  <w15:chartTrackingRefBased/>
  <w15:docId w15:val="{4A85E209-1663-4597-A0E7-F97AF941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28A"/>
    <w:pPr>
      <w:spacing w:after="120" w:line="480" w:lineRule="auto"/>
      <w:jc w:val="both"/>
    </w:pPr>
    <w:rPr>
      <w:rFonts w:ascii="Arial" w:eastAsia="Arial" w:hAnsi="Arial" w:cs="Arial"/>
      <w:sz w:val="24"/>
      <w:szCs w:val="24"/>
      <w:lang w:val="en-U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6228A"/>
    <w:pPr>
      <w:ind w:left="720"/>
      <w:contextualSpacing/>
    </w:pPr>
  </w:style>
  <w:style w:type="table" w:styleId="Tablaconcuadrcula">
    <w:name w:val="Table Grid"/>
    <w:basedOn w:val="Tablanormal"/>
    <w:uiPriority w:val="39"/>
    <w:rsid w:val="0016228A"/>
    <w:pPr>
      <w:spacing w:after="0" w:line="240" w:lineRule="auto"/>
      <w:jc w:val="both"/>
    </w:pPr>
    <w:rPr>
      <w:rFonts w:ascii="Arial" w:eastAsia="Arial" w:hAnsi="Arial" w:cs="Arial"/>
      <w:sz w:val="24"/>
      <w:szCs w:val="24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1622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228A"/>
    <w:rPr>
      <w:rFonts w:ascii="Arial" w:eastAsia="Arial" w:hAnsi="Arial" w:cs="Arial"/>
      <w:sz w:val="24"/>
      <w:szCs w:val="24"/>
      <w:lang w:val="en-US" w:eastAsia="es-CO"/>
    </w:rPr>
  </w:style>
  <w:style w:type="paragraph" w:styleId="Sinespaciado">
    <w:name w:val="No Spacing"/>
    <w:uiPriority w:val="1"/>
    <w:qFormat/>
    <w:rsid w:val="0016228A"/>
    <w:pPr>
      <w:spacing w:after="0" w:line="240" w:lineRule="auto"/>
      <w:jc w:val="both"/>
    </w:pPr>
    <w:rPr>
      <w:rFonts w:asciiTheme="majorHAnsi" w:hAnsiTheme="majorHAnsi" w:cstheme="majorBidi"/>
      <w:sz w:val="24"/>
      <w:szCs w:val="24"/>
      <w:lang w:val="en-US" w:bidi="en-US"/>
    </w:rPr>
  </w:style>
  <w:style w:type="character" w:styleId="Nmerodelnea">
    <w:name w:val="line number"/>
    <w:basedOn w:val="Fuentedeprrafopredeter"/>
    <w:uiPriority w:val="99"/>
    <w:semiHidden/>
    <w:unhideWhenUsed/>
    <w:rsid w:val="00162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:10.1038/ismej.2011.4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86/s13104-018-3300-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:10.1128/JCM.00778-0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i:10.4269/ajtmh.12-0726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Alfonso Nieto Clavijo</dc:creator>
  <cp:keywords/>
  <dc:description/>
  <cp:lastModifiedBy>Carlos Alfonso Nieto Clavijo</cp:lastModifiedBy>
  <cp:revision>1</cp:revision>
  <dcterms:created xsi:type="dcterms:W3CDTF">2023-03-29T20:09:00Z</dcterms:created>
  <dcterms:modified xsi:type="dcterms:W3CDTF">2023-03-29T20:11:00Z</dcterms:modified>
</cp:coreProperties>
</file>