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default" w:ascii="Times New Roman" w:hAnsi="Times New Roman" w:cs="Times New Roman"/>
          <w:b w:val="0"/>
          <w:i w:val="0"/>
          <w:iCs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/>
          <w:sz w:val="32"/>
          <w:szCs w:val="32"/>
        </w:rPr>
        <w:t>Supplementary Material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jc w:val="left"/>
        <w:textAlignment w:val="auto"/>
        <w:rPr>
          <w:rFonts w:hint="default" w:ascii="Times New Roman" w:hAnsi="Times New Roman" w:cs="Times New Roman" w:eastAsiaTheme="minorEastAsia"/>
          <w:b/>
          <w:bCs/>
          <w:kern w:val="0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Table S1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The association between AIP and the markers of T2D </w:t>
      </w:r>
      <w:r>
        <w:rPr>
          <w:rFonts w:hint="default" w:ascii="Times New Roman" w:hAnsi="Times New Roman" w:cs="Times New Roman"/>
          <w:b/>
          <w:bCs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  <w:t xml:space="preserve"> risk markers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kern w:val="0"/>
          <w:sz w:val="24"/>
          <w:szCs w:val="24"/>
        </w:rPr>
        <w:t>(sensitivity analysis)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43"/>
        <w:gridCol w:w="1963"/>
        <w:gridCol w:w="1762"/>
        <w:gridCol w:w="1788"/>
        <w:gridCol w:w="1850"/>
        <w:gridCol w:w="1962"/>
        <w:gridCol w:w="1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Outcomes</w:t>
            </w:r>
          </w:p>
        </w:tc>
        <w:tc>
          <w:tcPr>
            <w:tcW w:w="932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β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/>
              </w:rPr>
              <w:t xml:space="preserve"> (95% CI)</w:t>
            </w:r>
          </w:p>
        </w:tc>
        <w:tc>
          <w:tcPr>
            <w:tcW w:w="113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/>
                <w:iCs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 xml:space="preserve"> for trend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43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96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Per SD increase</w:t>
            </w:r>
          </w:p>
        </w:tc>
        <w:tc>
          <w:tcPr>
            <w:tcW w:w="17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 xml:space="preserve"> (−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1.01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, −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0.30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-0.30, -0.09)</w:t>
            </w:r>
          </w:p>
        </w:tc>
        <w:tc>
          <w:tcPr>
            <w:tcW w:w="18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Q3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-0.09, 0.13)</w:t>
            </w:r>
          </w:p>
        </w:tc>
        <w:tc>
          <w:tcPr>
            <w:tcW w:w="19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Q4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0.13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0.86)</w:t>
            </w:r>
          </w:p>
        </w:tc>
        <w:tc>
          <w:tcPr>
            <w:tcW w:w="1138" w:type="dxa"/>
            <w:vMerge w:val="continue"/>
            <w:tcBorders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4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FBG</w:t>
            </w:r>
          </w:p>
        </w:tc>
        <w:tc>
          <w:tcPr>
            <w:tcW w:w="196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0.10 (0.03, 0.17)</w:t>
            </w:r>
          </w:p>
        </w:tc>
        <w:tc>
          <w:tcPr>
            <w:tcW w:w="17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Reference</w:t>
            </w:r>
          </w:p>
        </w:tc>
        <w:tc>
          <w:tcPr>
            <w:tcW w:w="17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-0.00 (-0.05, 0.04)</w:t>
            </w:r>
          </w:p>
        </w:tc>
        <w:tc>
          <w:tcPr>
            <w:tcW w:w="18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0.02 (-0.02, 0.07)</w:t>
            </w:r>
          </w:p>
        </w:tc>
        <w:tc>
          <w:tcPr>
            <w:tcW w:w="19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0.07 (0.02, 0.13)</w:t>
            </w:r>
          </w:p>
        </w:tc>
        <w:tc>
          <w:tcPr>
            <w:tcW w:w="11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4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A1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C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0.10 (0.06, 0.15)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Reference</w:t>
            </w:r>
          </w:p>
        </w:tc>
        <w:tc>
          <w:tcPr>
            <w:tcW w:w="17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0.03 (0.01, 0.06)</w:t>
            </w:r>
          </w:p>
        </w:tc>
        <w:tc>
          <w:tcPr>
            <w:tcW w:w="18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0.05 (0.02, 0.07)</w:t>
            </w:r>
          </w:p>
        </w:tc>
        <w:tc>
          <w:tcPr>
            <w:tcW w:w="19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0.08 (0.04, 0.11)</w:t>
            </w:r>
          </w:p>
        </w:tc>
        <w:tc>
          <w:tcPr>
            <w:tcW w:w="11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4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FSI</w:t>
            </w:r>
          </w:p>
        </w:tc>
        <w:tc>
          <w:tcPr>
            <w:tcW w:w="196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42.38 (36.69, 48.07)</w:t>
            </w:r>
          </w:p>
        </w:tc>
        <w:tc>
          <w:tcPr>
            <w:tcW w:w="17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Reference</w:t>
            </w:r>
          </w:p>
        </w:tc>
        <w:tc>
          <w:tcPr>
            <w:tcW w:w="17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4.30 (1.31, 7.29)</w:t>
            </w:r>
          </w:p>
        </w:tc>
        <w:tc>
          <w:tcPr>
            <w:tcW w:w="18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12.87 (9.39, 16.35)</w:t>
            </w:r>
          </w:p>
        </w:tc>
        <w:tc>
          <w:tcPr>
            <w:tcW w:w="19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31.29 (26.84, 35.74)</w:t>
            </w:r>
          </w:p>
        </w:tc>
        <w:tc>
          <w:tcPr>
            <w:tcW w:w="11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4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HOMA-IR</w:t>
            </w:r>
          </w:p>
        </w:tc>
        <w:tc>
          <w:tcPr>
            <w:tcW w:w="196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1.53 (1.31, 1.76)</w:t>
            </w:r>
          </w:p>
        </w:tc>
        <w:tc>
          <w:tcPr>
            <w:tcW w:w="17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Reference</w:t>
            </w:r>
          </w:p>
        </w:tc>
        <w:tc>
          <w:tcPr>
            <w:tcW w:w="17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0.12 (-0.00, 0.24)</w:t>
            </w:r>
          </w:p>
        </w:tc>
        <w:tc>
          <w:tcPr>
            <w:tcW w:w="18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0.44 (0.30, 0.58)</w:t>
            </w:r>
          </w:p>
        </w:tc>
        <w:tc>
          <w:tcPr>
            <w:tcW w:w="19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1.13 (0.95, 1.31)</w:t>
            </w:r>
          </w:p>
        </w:tc>
        <w:tc>
          <w:tcPr>
            <w:tcW w:w="11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&lt;0.0001</w:t>
            </w:r>
          </w:p>
        </w:tc>
      </w:tr>
    </w:tbl>
    <w:p>
      <w:pPr>
        <w:spacing w:line="0" w:lineRule="atLeast"/>
        <w:rPr>
          <w:rFonts w:hint="default" w:ascii="Times New Roman" w:hAnsi="Times New Roman" w:eastAsia="Times New Roman Uni" w:cs="Times New Roman"/>
          <w:kern w:val="0"/>
          <w:sz w:val="21"/>
          <w:szCs w:val="21"/>
        </w:rPr>
      </w:pPr>
      <w:r>
        <w:rPr>
          <w:rFonts w:hint="default" w:ascii="Times New Roman" w:hAnsi="Times New Roman" w:eastAsia="Times New Roman Uni" w:cs="Times New Roman"/>
          <w:kern w:val="0"/>
          <w:sz w:val="21"/>
          <w:szCs w:val="21"/>
        </w:rPr>
        <w:t>CI</w:t>
      </w:r>
      <w:r>
        <w:rPr>
          <w:rFonts w:hint="default" w:ascii="Times New Roman" w:hAnsi="Times New Roman" w:eastAsia="Times New Roman Uni" w:cs="Times New Roman"/>
          <w:kern w:val="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Times New Roman Uni" w:cs="Times New Roman"/>
          <w:kern w:val="0"/>
          <w:sz w:val="21"/>
          <w:szCs w:val="21"/>
        </w:rPr>
        <w:t>confidence intervals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Autospacing="0" w:line="240" w:lineRule="auto"/>
        <w:jc w:val="left"/>
        <w:textAlignment w:val="auto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SD, standard deviation.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Autospacing="0" w:line="240" w:lineRule="auto"/>
        <w:jc w:val="left"/>
        <w:textAlignment w:val="auto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Adjusted for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 xml:space="preserve">age (continuous),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 xml:space="preserve">gender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 xml:space="preserve">(categorical), race (categorical),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education level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(categorical)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moking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(categorical)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alcohol consumption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(categorical)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V/M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PA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(categorical)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lang w:val="en-US" w:eastAsia="zh-CN" w:bidi="ar"/>
        </w:rPr>
        <w:t xml:space="preserve">BMI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 xml:space="preserve">(continuous),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WC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 xml:space="preserve"> (continuous), SBP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(continuous)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</w:rPr>
        <w:t xml:space="preserve">, 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DBP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(continuous)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lang w:val="en-US" w:eastAsia="zh-CN" w:bidi="ar"/>
        </w:rPr>
        <w:t xml:space="preserve">TC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(continuous)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ALT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(continuous)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Cr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(continuous)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, UA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(continuous)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γ-GGT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(continuous)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lang w:val="en-US" w:eastAsia="zh-CN" w:bidi="ar"/>
        </w:rPr>
        <w:t xml:space="preserve">HB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(continuous).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Autospacing="0" w:line="240" w:lineRule="auto"/>
        <w:jc w:val="left"/>
        <w:textAlignment w:val="auto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Times New Roman" w:hAnsi="Times New Roman" w:eastAsia="Times New Roman Uni" w:cs="Times New Roman"/>
          <w:kern w:val="0"/>
          <w:sz w:val="21"/>
          <w:szCs w:val="21"/>
          <w:lang w:val="en-US" w:eastAsia="zh-CN"/>
        </w:rPr>
        <w:t>1,858</w:t>
      </w:r>
      <w:r>
        <w:rPr>
          <w:rFonts w:hint="default" w:ascii="Times New Roman" w:hAnsi="Times New Roman" w:eastAsia="Times New Roman Uni" w:cs="Times New Roman"/>
          <w:kern w:val="0"/>
          <w:sz w:val="21"/>
          <w:szCs w:val="21"/>
        </w:rPr>
        <w:t xml:space="preserve"> participants with </w:t>
      </w:r>
      <w:r>
        <w:rPr>
          <w:rFonts w:hint="default" w:ascii="Times New Roman" w:hAnsi="Times New Roman" w:eastAsia="Times New Roman Uni" w:cs="Times New Roman"/>
          <w:kern w:val="0"/>
          <w:sz w:val="21"/>
          <w:szCs w:val="21"/>
          <w:lang w:val="en-US" w:eastAsia="zh-CN"/>
        </w:rPr>
        <w:t>diabetes</w:t>
      </w:r>
      <w:r>
        <w:rPr>
          <w:rFonts w:hint="default" w:ascii="Times New Roman" w:hAnsi="Times New Roman" w:eastAsia="Times New Roman Uni" w:cs="Times New Roman"/>
          <w:kern w:val="0"/>
          <w:sz w:val="21"/>
          <w:szCs w:val="21"/>
        </w:rPr>
        <w:t xml:space="preserve"> were excluded.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0"/>
          <w:sz w:val="21"/>
          <w:szCs w:val="21"/>
          <w:highlight w:val="none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highlight w:val="none"/>
        </w:rPr>
        <w:t>Table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highlight w:val="none"/>
          <w:lang w:val="en-US" w:eastAsia="zh-CN"/>
        </w:rPr>
        <w:t xml:space="preserve"> S2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highlight w:val="none"/>
        </w:rPr>
        <w:t xml:space="preserve"> Subgroup analysis of the associations between 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highlight w:val="none"/>
          <w:lang w:val="en-US" w:eastAsia="zh-CN"/>
        </w:rPr>
        <w:t>AIP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highlight w:val="none"/>
        </w:rPr>
        <w:t xml:space="preserve"> and 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highlight w:val="none"/>
          <w:lang w:val="en-US" w:eastAsia="zh-CN"/>
        </w:rPr>
        <w:t>T2D.</w:t>
      </w:r>
    </w:p>
    <w:tbl>
      <w:tblPr>
        <w:tblStyle w:val="4"/>
        <w:tblW w:w="13351" w:type="dxa"/>
        <w:tblInd w:w="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830"/>
        <w:gridCol w:w="1823"/>
        <w:gridCol w:w="1700"/>
        <w:gridCol w:w="1650"/>
        <w:gridCol w:w="1762"/>
        <w:gridCol w:w="1163"/>
        <w:gridCol w:w="12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Merge w:val="restart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AIP</w:t>
            </w:r>
          </w:p>
        </w:tc>
        <w:tc>
          <w:tcPr>
            <w:tcW w:w="1830" w:type="dxa"/>
            <w:vMerge w:val="restart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Total</w:t>
            </w:r>
          </w:p>
        </w:tc>
        <w:tc>
          <w:tcPr>
            <w:tcW w:w="6935" w:type="dxa"/>
            <w:gridSpan w:val="4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i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i w:val="0"/>
                <w:iCs/>
                <w:kern w:val="0"/>
                <w:sz w:val="21"/>
                <w:szCs w:val="21"/>
                <w:highlight w:val="none"/>
              </w:rPr>
              <w:t>OR(95%CI)</w:t>
            </w:r>
          </w:p>
        </w:tc>
        <w:tc>
          <w:tcPr>
            <w:tcW w:w="1163" w:type="dxa"/>
            <w:vMerge w:val="restart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i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i/>
                <w:iCs/>
                <w:kern w:val="0"/>
                <w:sz w:val="21"/>
                <w:szCs w:val="21"/>
                <w:highlight w:val="none"/>
              </w:rPr>
              <w:t>P</w:t>
            </w: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 xml:space="preserve"> for</w:t>
            </w:r>
            <w:r>
              <w:rPr>
                <w:rFonts w:hint="eastAsia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trend</w:t>
            </w:r>
          </w:p>
        </w:tc>
        <w:tc>
          <w:tcPr>
            <w:tcW w:w="1225" w:type="dxa"/>
            <w:vMerge w:val="restart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i/>
                <w:iCs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i/>
                <w:iCs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Times New Roman Uni" w:cs="Times New Roman"/>
                <w:i w:val="0"/>
                <w:iCs w:val="0"/>
                <w:kern w:val="0"/>
                <w:sz w:val="21"/>
                <w:szCs w:val="21"/>
                <w:highlight w:val="none"/>
              </w:rPr>
              <w:t>for interaction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3" w:hRule="atLeast"/>
        </w:trPr>
        <w:tc>
          <w:tcPr>
            <w:tcW w:w="2198" w:type="dxa"/>
            <w:vMerge w:val="continue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23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 xml:space="preserve"> (−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1.01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, −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0.30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-0.30, -0.09)</w:t>
            </w:r>
          </w:p>
        </w:tc>
        <w:tc>
          <w:tcPr>
            <w:tcW w:w="165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Q3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-0.09, 0.13)</w:t>
            </w:r>
          </w:p>
        </w:tc>
        <w:tc>
          <w:tcPr>
            <w:tcW w:w="1762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Q4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0.13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0.86)</w:t>
            </w:r>
          </w:p>
        </w:tc>
        <w:tc>
          <w:tcPr>
            <w:tcW w:w="1163" w:type="dxa"/>
            <w:vMerge w:val="continue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25" w:type="dxa"/>
            <w:vMerge w:val="continue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Gender</w:t>
            </w:r>
          </w:p>
        </w:tc>
        <w:tc>
          <w:tcPr>
            <w:tcW w:w="1830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23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00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25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spacing w:line="0" w:lineRule="atLeast"/>
              <w:ind w:firstLine="210" w:firstLineChars="100"/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Male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4.78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3.12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7.32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82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1.31(0.8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65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1.08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, 2.2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7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93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2.10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4.09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16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3" w:hRule="atLeast"/>
        </w:trPr>
        <w:tc>
          <w:tcPr>
            <w:tcW w:w="2198" w:type="dxa"/>
            <w:vAlign w:val="center"/>
          </w:tcPr>
          <w:p>
            <w:pPr>
              <w:spacing w:line="0" w:lineRule="atLeast"/>
              <w:ind w:firstLine="210" w:firstLineChars="100"/>
              <w:rPr>
                <w:rFonts w:hint="default" w:ascii="Times New Roman" w:hAnsi="Times New Roman" w:eastAsia="Times New Roman Uni" w:cs="Times New Roman"/>
                <w:b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Female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10.94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6.79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, 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7.62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82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(1.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, 3.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3.59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(2.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55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5.04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7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6.15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4.21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9.00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16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Age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0.3322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spacing w:line="0" w:lineRule="atLeast"/>
              <w:ind w:firstLine="210" w:firstLineChars="100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Young age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6.74 (3.00, 15.17)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1.48 (0.58, 3.77)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1.69 (0.77, 3.75)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3.82 (1.93, 7.57)</w:t>
            </w:r>
          </w:p>
        </w:tc>
        <w:tc>
          <w:tcPr>
            <w:tcW w:w="11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Middle age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8.27 (5.08, 13.44)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1.80 (1.19, 2.73)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2.43 (1.71, 3.46)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4.75 (3.18, 7.10)</w:t>
            </w:r>
          </w:p>
        </w:tc>
        <w:tc>
          <w:tcPr>
            <w:tcW w:w="11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Old age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4.77 (2.97, 7.66)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1.80 (1.15, 2.80)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2.55 (1.67, 3.90)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3.25 (2.26, 4.67)</w:t>
            </w:r>
          </w:p>
        </w:tc>
        <w:tc>
          <w:tcPr>
            <w:tcW w:w="11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Race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82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6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Mexican American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12.77 (4.81, 33.90)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1.72 (0.74, 3.99)</w:t>
            </w:r>
          </w:p>
        </w:tc>
        <w:tc>
          <w:tcPr>
            <w:tcW w:w="165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2.32 (1.02, 5.25)</w:t>
            </w:r>
          </w:p>
        </w:tc>
        <w:tc>
          <w:tcPr>
            <w:tcW w:w="17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5.79 (2.28, 14.69)</w:t>
            </w:r>
          </w:p>
        </w:tc>
        <w:tc>
          <w:tcPr>
            <w:tcW w:w="116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Other Hispanic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4.38 (1.61, 11.93)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1.04 (0.47, 2.34)</w:t>
            </w:r>
          </w:p>
        </w:tc>
        <w:tc>
          <w:tcPr>
            <w:tcW w:w="165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1.46 (0.68, 3.12)</w:t>
            </w:r>
          </w:p>
        </w:tc>
        <w:tc>
          <w:tcPr>
            <w:tcW w:w="17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2.50 (1.14, 5.44)</w:t>
            </w:r>
          </w:p>
        </w:tc>
        <w:tc>
          <w:tcPr>
            <w:tcW w:w="116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57</w:t>
            </w:r>
          </w:p>
        </w:tc>
        <w:tc>
          <w:tcPr>
            <w:tcW w:w="122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7.58 (4.78, 12.02)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2.06 (1.34, 3.17)</w:t>
            </w:r>
          </w:p>
        </w:tc>
        <w:tc>
          <w:tcPr>
            <w:tcW w:w="165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2.69 (1.81, 4.00)</w:t>
            </w:r>
          </w:p>
        </w:tc>
        <w:tc>
          <w:tcPr>
            <w:tcW w:w="17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4.82 (3.24, 7.17)</w:t>
            </w:r>
          </w:p>
        </w:tc>
        <w:tc>
          <w:tcPr>
            <w:tcW w:w="116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Non-Hispanic Black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5.13 (3.14, 8.40)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1.70 (1.17, 2.46)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2.64 (1.72, 4.03)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3.00 (2.09, 4.32)</w:t>
            </w:r>
          </w:p>
        </w:tc>
        <w:tc>
          <w:tcPr>
            <w:tcW w:w="11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Other Race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6.15 (2.70, 14.02)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0.93 (0.45, 1.91)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1.87 (1.01, 3.47)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3.16 (1.71, 5.82)</w:t>
            </w:r>
          </w:p>
        </w:tc>
        <w:tc>
          <w:tcPr>
            <w:tcW w:w="11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Education levels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&lt;high school 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6.33 (3.27, 12.25)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1.12 (0.59, 2.12)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2.63 (1.38, 5.00)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3.31 (1.88, 5.84)</w:t>
            </w:r>
          </w:p>
        </w:tc>
        <w:tc>
          <w:tcPr>
            <w:tcW w:w="11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=high school 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8.84 (4.65, 16.80)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2.33 (1.35, 4.01)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2.22 (1.32, 3.76)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5.54 (3.34, 9.20)</w:t>
            </w:r>
          </w:p>
        </w:tc>
        <w:tc>
          <w:tcPr>
            <w:tcW w:w="11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&gt;high school </w:t>
            </w:r>
          </w:p>
        </w:tc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6.85 (4.46, 10.54)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1.80 (1.31, 2.50)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2.43 (1.74, 3.40)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4.25 (3.06, 5.89)</w:t>
            </w:r>
          </w:p>
        </w:tc>
        <w:tc>
          <w:tcPr>
            <w:tcW w:w="11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Smoking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0.3878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Current smoker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7.95 (3.49, 18.09)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1.17 (0.52, 2.67)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1.77 (0.91, 3.45)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3.76 (1.97, 7.19)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Former smoker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8.52 (4.27, 17.03)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1.96 (1.17, 3.31)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2.30 (1.43, 3.67)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5.06 (2.88, 8.89)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Non-smoker 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6.30 (4.47, 8.89)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1.82 (1.27, 2.61)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2.73 (2.00, 3.73)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4.00 (3.00, 5.33)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Alcohol consumption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0.9712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7.72 (4.63, 12.87)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1.84 (1.26, 2.70)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2.62 (1.74, 3.94)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4.61 (3.06, 6.95)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6.90 (4.66, 10.22)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1.72 (1.19, 2.48)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2.33 (1.69, 3.20)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4.18 (3.07, 5.70)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V/MPA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0.6315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6.74 (4.71, 9.65)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1.87 (1.43, 2.44)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2.58 (1.94, 3.42)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4.27 (3.24, 5.61)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8.41 (5.02, 14.09)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1.53 (0.86, 2.72)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2.09 (1.28, 3.43)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4.52 (2.91, 7.02)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General obesity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0.5491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Normal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7.37 (3.42, 15.93)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1.85 (1.22, 2.82)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2.73 (1.58, 4.70)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4.23 (2.37, 7.55)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ind w:firstLine="210" w:firstLineChars="10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Overweight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7.54 (4.34, 13.09)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1.36 (0.88, 2.11)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2.49 (1.61, 3.85)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4.00 (2.65, 6.04)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ind w:firstLine="210" w:firstLineChars="10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Obesity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2.03 (1.27, 3.23)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1.92 (1.23, 3.00)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2.28 (1.48, 3.51)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4.40 (2.98, 6.49)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Abdominal obesity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0.2748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6.20 (3.38, 11.36)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1.49 (0.98, 2.28)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2.67 (1.73, 4.13)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3.58 (2.24, 5.72)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8.16 (5.69, 11.71)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1.91 (1.38, 2.64)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2.51 (1.85, 3.41)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4.87 (3.59, 6.60)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0.6700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1830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7.20 (4.03, 12.87)</w:t>
            </w:r>
          </w:p>
        </w:tc>
        <w:tc>
          <w:tcPr>
            <w:tcW w:w="182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1.57 (1.04, 2.38)</w:t>
            </w:r>
          </w:p>
        </w:tc>
        <w:tc>
          <w:tcPr>
            <w:tcW w:w="165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2.05 (1.35, 3.13)</w:t>
            </w:r>
          </w:p>
        </w:tc>
        <w:tc>
          <w:tcPr>
            <w:tcW w:w="1762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4.16 (2.67, 6.48)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98" w:type="dxa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1830" w:type="dxa"/>
            <w:tcBorders>
              <w:bottom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6.67 (4.69, 9.49)</w:t>
            </w:r>
          </w:p>
        </w:tc>
        <w:tc>
          <w:tcPr>
            <w:tcW w:w="1823" w:type="dxa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700" w:type="dxa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1.84 (1.34, 2.54)</w:t>
            </w:r>
          </w:p>
        </w:tc>
        <w:tc>
          <w:tcPr>
            <w:tcW w:w="1650" w:type="dxa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2.62 (1.92, 3.58)</w:t>
            </w:r>
          </w:p>
        </w:tc>
        <w:tc>
          <w:tcPr>
            <w:tcW w:w="1762" w:type="dxa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4.23 (3.25, 5.52)</w:t>
            </w:r>
          </w:p>
        </w:tc>
        <w:tc>
          <w:tcPr>
            <w:tcW w:w="1163" w:type="dxa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225" w:type="dxa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 New Roman Uni" w:cs="Times New Roman"/>
          <w:kern w:val="0"/>
          <w:sz w:val="21"/>
          <w:szCs w:val="21"/>
          <w:highlight w:val="none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 w:eastAsiaTheme="minorEastAsia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kern w:val="0"/>
          <w:sz w:val="24"/>
          <w:szCs w:val="24"/>
          <w:highlight w:val="none"/>
        </w:rPr>
        <w:t>Table</w:t>
      </w:r>
      <w:r>
        <w:rPr>
          <w:rFonts w:hint="default" w:ascii="Times New Roman" w:hAnsi="Times New Roman" w:cs="Times New Roman" w:eastAsiaTheme="minorEastAsia"/>
          <w:b/>
          <w:bCs/>
          <w:kern w:val="0"/>
          <w:sz w:val="24"/>
          <w:szCs w:val="24"/>
          <w:highlight w:val="none"/>
          <w:lang w:val="en-US" w:eastAsia="zh-CN"/>
        </w:rPr>
        <w:t xml:space="preserve"> S3</w:t>
      </w:r>
      <w:r>
        <w:rPr>
          <w:rFonts w:hint="default" w:ascii="Times New Roman" w:hAnsi="Times New Roman" w:cs="Times New Roman" w:eastAsiaTheme="minorEastAsia"/>
          <w:b/>
          <w:bCs/>
          <w:kern w:val="0"/>
          <w:sz w:val="24"/>
          <w:szCs w:val="24"/>
          <w:highlight w:val="none"/>
        </w:rPr>
        <w:t xml:space="preserve"> Subgroup analysis of the associations between </w:t>
      </w:r>
      <w:r>
        <w:rPr>
          <w:rFonts w:hint="default" w:ascii="Times New Roman" w:hAnsi="Times New Roman" w:cs="Times New Roman" w:eastAsiaTheme="minorEastAsia"/>
          <w:b/>
          <w:bCs/>
          <w:kern w:val="0"/>
          <w:sz w:val="24"/>
          <w:szCs w:val="24"/>
          <w:highlight w:val="none"/>
          <w:lang w:val="en-US" w:eastAsia="zh-CN"/>
        </w:rPr>
        <w:t>AIP</w:t>
      </w:r>
      <w:r>
        <w:rPr>
          <w:rFonts w:hint="default" w:ascii="Times New Roman" w:hAnsi="Times New Roman" w:cs="Times New Roman" w:eastAsiaTheme="minorEastAsia"/>
          <w:b/>
          <w:bCs/>
          <w:kern w:val="0"/>
          <w:sz w:val="24"/>
          <w:szCs w:val="24"/>
          <w:highlight w:val="none"/>
        </w:rPr>
        <w:t xml:space="preserve"> and </w:t>
      </w:r>
      <w:r>
        <w:rPr>
          <w:rFonts w:hint="default" w:ascii="Times New Roman" w:hAnsi="Times New Roman" w:cs="Times New Roman" w:eastAsiaTheme="minorEastAsia"/>
          <w:b/>
          <w:bCs/>
          <w:kern w:val="0"/>
          <w:sz w:val="24"/>
          <w:szCs w:val="24"/>
          <w:highlight w:val="none"/>
          <w:lang w:val="en-US" w:eastAsia="zh-CN"/>
        </w:rPr>
        <w:t>IR.</w:t>
      </w:r>
    </w:p>
    <w:tbl>
      <w:tblPr>
        <w:tblStyle w:val="4"/>
        <w:tblW w:w="13363" w:type="dxa"/>
        <w:tblInd w:w="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1932"/>
        <w:gridCol w:w="1790"/>
        <w:gridCol w:w="1678"/>
        <w:gridCol w:w="1641"/>
        <w:gridCol w:w="1763"/>
        <w:gridCol w:w="1190"/>
        <w:gridCol w:w="11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vMerge w:val="restart"/>
            <w:tcBorders>
              <w:top w:val="single" w:color="000000" w:themeColor="text1" w:sz="8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AIP</w:t>
            </w:r>
          </w:p>
        </w:tc>
        <w:tc>
          <w:tcPr>
            <w:tcW w:w="1932" w:type="dxa"/>
            <w:vMerge w:val="restart"/>
            <w:tcBorders>
              <w:top w:val="single" w:color="000000" w:themeColor="text1" w:sz="8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Total</w:t>
            </w:r>
          </w:p>
        </w:tc>
        <w:tc>
          <w:tcPr>
            <w:tcW w:w="6872" w:type="dxa"/>
            <w:gridSpan w:val="4"/>
            <w:tcBorders>
              <w:top w:val="single" w:color="000000" w:themeColor="text1" w:sz="8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i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i w:val="0"/>
                <w:iCs/>
                <w:kern w:val="0"/>
                <w:sz w:val="21"/>
                <w:szCs w:val="21"/>
                <w:highlight w:val="none"/>
              </w:rPr>
              <w:t>OR(95%CI)</w:t>
            </w:r>
          </w:p>
        </w:tc>
        <w:tc>
          <w:tcPr>
            <w:tcW w:w="1190" w:type="dxa"/>
            <w:vMerge w:val="restart"/>
            <w:tcBorders>
              <w:top w:val="single" w:color="000000" w:themeColor="text1" w:sz="8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i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i/>
                <w:iCs/>
                <w:kern w:val="0"/>
                <w:sz w:val="21"/>
                <w:szCs w:val="21"/>
                <w:highlight w:val="none"/>
              </w:rPr>
              <w:t>P</w:t>
            </w: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 xml:space="preserve"> for trend</w:t>
            </w:r>
          </w:p>
        </w:tc>
        <w:tc>
          <w:tcPr>
            <w:tcW w:w="1163" w:type="dxa"/>
            <w:vMerge w:val="restart"/>
            <w:tcBorders>
              <w:top w:val="single" w:color="000000" w:themeColor="text1" w:sz="8" w:space="0"/>
              <w:bottom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i/>
                <w:iCs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i/>
                <w:iCs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Times New Roman Uni" w:cs="Times New Roman"/>
                <w:i w:val="0"/>
                <w:iCs w:val="0"/>
                <w:kern w:val="0"/>
                <w:sz w:val="21"/>
                <w:szCs w:val="21"/>
                <w:highlight w:val="none"/>
              </w:rPr>
              <w:t>for interaction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vMerge w:val="continue"/>
            <w:tcBorders>
              <w:top w:val="single" w:color="000000" w:themeColor="text1" w:sz="4" w:space="0"/>
              <w:bottom w:val="single" w:color="000000" w:themeColor="text1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32" w:type="dxa"/>
            <w:vMerge w:val="continue"/>
            <w:tcBorders>
              <w:top w:val="single" w:color="000000" w:themeColor="text1" w:sz="4" w:space="0"/>
              <w:bottom w:val="single" w:color="000000" w:themeColor="text1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90" w:type="dxa"/>
            <w:tcBorders>
              <w:top w:val="single" w:color="000000" w:themeColor="text1" w:sz="4" w:space="0"/>
              <w:bottom w:val="single" w:color="000000" w:themeColor="text1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 xml:space="preserve"> (−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1.01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, −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0.30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)</w:t>
            </w:r>
          </w:p>
        </w:tc>
        <w:tc>
          <w:tcPr>
            <w:tcW w:w="1678" w:type="dxa"/>
            <w:tcBorders>
              <w:top w:val="single" w:color="000000" w:themeColor="text1" w:sz="4" w:space="0"/>
              <w:bottom w:val="single" w:color="000000" w:themeColor="text1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 xml:space="preserve"> 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-0.30, -0.09)</w:t>
            </w:r>
          </w:p>
        </w:tc>
        <w:tc>
          <w:tcPr>
            <w:tcW w:w="1641" w:type="dxa"/>
            <w:tcBorders>
              <w:top w:val="single" w:color="000000" w:themeColor="text1" w:sz="4" w:space="0"/>
              <w:bottom w:val="single" w:color="000000" w:themeColor="text1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Q3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-0.09, 0.13)</w:t>
            </w:r>
          </w:p>
        </w:tc>
        <w:tc>
          <w:tcPr>
            <w:tcW w:w="1763" w:type="dxa"/>
            <w:tcBorders>
              <w:top w:val="single" w:color="000000" w:themeColor="text1" w:sz="4" w:space="0"/>
              <w:bottom w:val="single" w:color="000000" w:themeColor="text1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Q4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0.13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0.86)</w:t>
            </w:r>
          </w:p>
        </w:tc>
        <w:tc>
          <w:tcPr>
            <w:tcW w:w="1190" w:type="dxa"/>
            <w:vMerge w:val="continue"/>
            <w:tcBorders>
              <w:top w:val="single" w:color="000000" w:themeColor="text1" w:sz="4" w:space="0"/>
              <w:bottom w:val="single" w:color="000000" w:themeColor="text1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63" w:type="dxa"/>
            <w:vMerge w:val="continue"/>
            <w:tcBorders>
              <w:top w:val="single" w:color="000000" w:themeColor="text1" w:sz="4" w:space="0"/>
              <w:bottom w:val="single" w:color="000000" w:themeColor="text1" w:sz="4" w:space="0"/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Gender</w:t>
            </w:r>
          </w:p>
        </w:tc>
        <w:tc>
          <w:tcPr>
            <w:tcW w:w="1932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90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8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41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3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0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ind w:firstLine="210" w:firstLineChars="100"/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Male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9.39 (6.39, 13.82)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1.57 (1.14, 2.17)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2.82 (2.14, 3.72)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4.86 (3.61, 6.56)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ind w:firstLine="210" w:firstLineChars="100"/>
              <w:rPr>
                <w:rFonts w:hint="default" w:ascii="Times New Roman" w:hAnsi="Times New Roman" w:eastAsia="Times New Roman Uni" w:cs="Times New Roman"/>
                <w:b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Female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17.03 (11.21, 25.86)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2.58 (1.90, 3.52)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3.99 (2.96, 5.38)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8.44 (6.15, 11.58)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Age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0.2360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ind w:firstLine="210" w:firstLineChars="100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  <w:t>Young age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11.43 (7.04, 18.54)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1.76 (1.19, 2.61)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3.55 (2.42, 5.23)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5.60 (3.86, 8.12)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Middle age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14.50 (9.22, 22.81)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2.69 (1.84, 3.93)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3.88 (2.88, 5.23)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8.06 (5.69, 11.41)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Old age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9.96 (5.43, 18.27)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1.76 (1.05, 2.94)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2.82 (1.74, 4.56)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5.32 (3.24, 8.73)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Race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0.2214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Mexican American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20.96 (10.49, 41.87)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3.45 (1.59, 7.50)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5.47(2.76,10.84)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11.84(5.63,24.91)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Other Hispanic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6.63 (3.40, 12.92)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2.56 (1.45, 4.54)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2.13 (1.32, 3.43)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5.00 (2.91, 8.57)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11.23 (7.25, 17.38)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1.90 (1.35, 2.68)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3.39 (2.53, 4.54)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5.83 (4.13, 8.23)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Non-Hispanic Black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15.37 (8.30, 28.45)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2.02 (1.37, 2.95)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3.94 (2.65, 5.88)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6.69 (4.18, 10.69)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Other Race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19.49 (9.65, 39.36)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2.70 (1.31, 5.58)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3.71 (1.99, 6.91)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9.74 (5.21, 18.20)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Education levels, n(%)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0.5716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&lt;high school 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13.03 (6.73, 25.20)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1.68 (1.01, 2.80)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3.16 (1.80, 5.56)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6.12 (3.68, 10.18)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=high school 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8.31 (4.84, 14.26)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2.13 (1.26, 3.60)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3.28 (2.10, 5.14)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5.00 (3.23, 7.73)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&gt;high school 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14.26 (8.98, 22.64)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2.20 (1.57, 3.08)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3.61 (2.56, 5.08)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7.19 (4.99, 10.38)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Smoking, n (%)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0.0130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Current smoker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7.54 (3.81, 14.93)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2.82 (1.29, 6.18) 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4.22 (2.08, 8.54) 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5.66 (2.78, 11.54) </w:t>
            </w:r>
          </w:p>
        </w:tc>
        <w:tc>
          <w:tcPr>
            <w:tcW w:w="1190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Former smoker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8.27 (4.65, 14.71) 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1.40 (0.90, 2.18) 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2.31 (1.63, 3.28) 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4.36 (2.81, 6.75) </w:t>
            </w: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10" w:firstLine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Non-smoker 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17.98 (11.74, 27.55) 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2.38 (1.83, 3.09) 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4.00 (3.00, 5.33)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8.56 (6.12, 11.96)</w:t>
            </w: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Alcohol consumption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90" w:type="dxa"/>
            <w:tcBorders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0.6598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11.58 (7.67, 17.49) 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2.06 (1.44, 2.96)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3.72 (2.71, 5.10)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5.89 (4.32, 8.04)</w:t>
            </w: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12.74 (8.50, 19.10) 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2.12 (1.57, 2.86) 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3.37 (2.50, 4.54)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6.69 (4.87, 9.20)</w:t>
            </w: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V/MPA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0.4247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11.27 (8.03, 15.83)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2.04 (1.46, 2.86)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3.07 (2.35, 4.01)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6.10 (4.61, 8.07)</w:t>
            </w: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14.09 (8.22, 24.14)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2.19 (1.50, 3.20)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4.23 (2.85, 6.27)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7.01 (4.57, 10.76)</w:t>
            </w: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General obesity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0.6880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Normal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10.34 (5.15, 20.78)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2.44 (1.43, 4.16) 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3.95 (2.30, 6.76) 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5.37 (2.93, 9.84)</w:t>
            </w: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ind w:firstLine="210" w:firstLine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Overweight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12.45 (7.79, 19.89)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1.95 (1.32, 2.90)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3.04 (2.18, 4.22)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6.41 (4.44, 9.25)</w:t>
            </w: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ind w:firstLine="210" w:firstLine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Obesity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12.34 (7.29, 20.87) 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2.05 (1.44, 2.92)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3.60 (2.59, 5.00)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6.36 (4.39, 9.22)</w:t>
            </w: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Abdominal obesity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0.6468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12.45 (7.85, 19.74) 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2.28 (1.47, 3.53)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4.02 (2.68, 6.04)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6.58 (4.40, 9.82)</w:t>
            </w: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13.88 (9.18, 20.99) 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2.03 (1.49, 2.76)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3.34 (2.49, 4.49)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6.93 (5.04, 9.52) </w:t>
            </w: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0.3590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1932" w:type="dxa"/>
            <w:tcBorders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12.90 (8.41, 19.79)</w:t>
            </w:r>
          </w:p>
        </w:tc>
        <w:tc>
          <w:tcPr>
            <w:tcW w:w="17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1.82 (1.30, 2.53)</w:t>
            </w:r>
          </w:p>
        </w:tc>
        <w:tc>
          <w:tcPr>
            <w:tcW w:w="164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3.10 (2.34, 4.12)</w:t>
            </w:r>
          </w:p>
        </w:tc>
        <w:tc>
          <w:tcPr>
            <w:tcW w:w="17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6.33 (4.54, 8.85) </w:t>
            </w:r>
          </w:p>
        </w:tc>
        <w:tc>
          <w:tcPr>
            <w:tcW w:w="1190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206" w:type="dxa"/>
            <w:tcBorders>
              <w:bottom w:val="single" w:color="000000" w:themeColor="text1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1932" w:type="dxa"/>
            <w:tcBorders>
              <w:bottom w:val="single" w:color="000000" w:themeColor="text1" w:sz="8" w:space="0"/>
            </w:tcBorders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11.24 (7.18, 17.59)</w:t>
            </w:r>
          </w:p>
        </w:tc>
        <w:tc>
          <w:tcPr>
            <w:tcW w:w="1790" w:type="dxa"/>
            <w:tcBorders>
              <w:bottom w:val="single" w:color="000000" w:themeColor="text1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Uni" w:cs="Times New Roman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1678" w:type="dxa"/>
            <w:tcBorders>
              <w:bottom w:val="single" w:color="000000" w:themeColor="text1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2.59 (1.72, 3.92) </w:t>
            </w:r>
          </w:p>
        </w:tc>
        <w:tc>
          <w:tcPr>
            <w:tcW w:w="1641" w:type="dxa"/>
            <w:tcBorders>
              <w:bottom w:val="single" w:color="000000" w:themeColor="text1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4.08 (2.78, 6.00) </w:t>
            </w:r>
          </w:p>
        </w:tc>
        <w:tc>
          <w:tcPr>
            <w:tcW w:w="1763" w:type="dxa"/>
            <w:tcBorders>
              <w:bottom w:val="single" w:color="000000" w:themeColor="text1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6.64 (4.59, 9.60) </w:t>
            </w:r>
          </w:p>
        </w:tc>
        <w:tc>
          <w:tcPr>
            <w:tcW w:w="1190" w:type="dxa"/>
            <w:tcBorders>
              <w:bottom w:val="single" w:color="000000" w:themeColor="text1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63" w:type="dxa"/>
            <w:tcBorders>
              <w:bottom w:val="single" w:color="000000" w:themeColor="text1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eastAsia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5246370" cy="4284980"/>
            <wp:effectExtent l="0" t="0" r="11430" b="1270"/>
            <wp:docPr id="21" name="图片 21" descr="huizo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huizong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428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5246370" cy="4305300"/>
            <wp:effectExtent l="0" t="0" r="11430" b="0"/>
            <wp:docPr id="22" name="图片 22" descr="huizo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huizong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5246370" cy="2140585"/>
            <wp:effectExtent l="0" t="0" r="11430" b="12065"/>
            <wp:docPr id="23" name="图片 23" descr="huizo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huizong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>Fig. S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>1 Association between AIP and T2DM.</w:t>
      </w:r>
    </w:p>
    <w:p>
      <w:pP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A: Stratified by age; B: Stratified by sex; C: Stratified by race; D: Stratified by education level; E: Stratified by smoking; F: Stratified by alcohol consumption; G: Stratified by vigorous/moderate physical Activity; H: stratification by BMI; I: stratification by central obesity; J: stratification by hypertension.</w:t>
      </w:r>
    </w:p>
    <w:p>
      <w:pP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Adjustment factors: Adjusted for age, gender, race, education level, SBP, DBP, BMI, WC, smoking, alcohol consumption, vigorous/moderate physical activity, TC, ALT, γ-GGT, Cr, UA, and Hb. The model was not individually adjusted for age, sex, race, education level, smoking, alcohol consumption, vigorous/mod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erate physical exertion, BMI, WC, SBP, and DBP.</w:t>
      </w:r>
    </w:p>
    <w:p>
      <w:pPr>
        <w:rPr>
          <w:rFonts w:hint="default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Each line represents a smooth curve fit between variables.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46370" cy="4389755"/>
            <wp:effectExtent l="0" t="0" r="11430" b="10795"/>
            <wp:docPr id="11" name="图片 11" descr="huizo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uizong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438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5246370" cy="4344670"/>
            <wp:effectExtent l="0" t="0" r="11430" b="17780"/>
            <wp:docPr id="28" name="图片 28" descr="huizon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huizong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5246370" cy="2167255"/>
            <wp:effectExtent l="0" t="0" r="11430" b="4445"/>
            <wp:docPr id="29" name="图片 29" descr="huizon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huizong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>Fig. S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>1 Association between AIP and IR.</w:t>
      </w:r>
    </w:p>
    <w:p>
      <w:pP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A: Stratified by age; B: Stratified by sex; C: Stratified by race; D: Stratified by education level; E: Stratified by smoking; F: Stratified by alcohol consumption; G: Stratified by vigorous/moderate physical Activity; H: stratification by BMI; I: stratification by central obesity; J: stratification by hypertension.</w:t>
      </w:r>
    </w:p>
    <w:p>
      <w:pP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Adjustment factors: Adjusted for age, gender, race, education level, SBP, DBP, BMI, WC, smoking, alcohol consumption, vigorous/moderate physical activity, TC, ALT, γ-GGT, Cr, UA, and Hb. The model was not individually adjusted for age, sex, race, education level, smoking, alcohol consumption, vigorous/moderate physical exertion, BMI, WC, SBP, and DBP.</w:t>
      </w:r>
    </w:p>
    <w:p>
      <w:pPr>
        <w:rPr>
          <w:rFonts w:hint="default" w:ascii="Times New Roman" w:hAnsi="Times New Roman" w:cs="Times New Roman"/>
          <w:sz w:val="21"/>
          <w:szCs w:val="21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Each line represents a smooth curve fit between variables.</w:t>
      </w:r>
    </w:p>
    <w:sectPr>
      <w:pgSz w:w="11906" w:h="16838"/>
      <w:pgMar w:top="1440" w:right="1800" w:bottom="1440" w:left="1800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Uni">
    <w:altName w:val="宋体"/>
    <w:panose1 w:val="00000000000000000000"/>
    <w:charset w:val="86"/>
    <w:family w:val="roman"/>
    <w:pitch w:val="default"/>
    <w:sig w:usb0="00000000" w:usb1="00000000" w:usb2="0000003E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mZmU5NmQzNmM1OTZiMWMyMzE3YTU2NzNlOGI2OWMifQ=="/>
  </w:docVars>
  <w:rsids>
    <w:rsidRoot w:val="206B1BE5"/>
    <w:rsid w:val="1D880AB9"/>
    <w:rsid w:val="206B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Supplementary Material"/>
    <w:basedOn w:val="2"/>
    <w:next w:val="2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1094</Words>
  <Characters>6195</Characters>
  <Lines>0</Lines>
  <Paragraphs>0</Paragraphs>
  <TotalTime>1</TotalTime>
  <ScaleCrop>false</ScaleCrop>
  <LinksUpToDate>false</LinksUpToDate>
  <CharactersWithSpaces>6840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2023-04-10T09:09:00Z</dcterms:created>
  <dc:creator>逍遥竹</dc:creator>
  <cp:lastModifiedBy>逍遥竹</cp:lastModifiedBy>
  <dcterms:modified xsi:type="dcterms:W3CDTF">2023-04-10T09:43:27Z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6ECF1954A96B4397881673B5222E9ED5</vt:lpwstr>
  </property>
</Properties>
</file>