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C2E15" w14:textId="77777777" w:rsidR="002E2E03" w:rsidRPr="006E0130" w:rsidRDefault="002E2E03" w:rsidP="002E2E03">
      <w:pPr>
        <w:rPr>
          <w:rFonts w:ascii="Times New Roman" w:hAnsi="Times New Roman" w:cs="Times New Roman"/>
          <w:sz w:val="24"/>
          <w:szCs w:val="24"/>
        </w:rPr>
      </w:pPr>
      <w:bookmarkStart w:id="0" w:name="_Hlk32238190"/>
      <w:r w:rsidRPr="006E0130">
        <w:rPr>
          <w:rFonts w:ascii="Times New Roman" w:hAnsi="Times New Roman" w:cs="Times New Roman"/>
          <w:sz w:val="24"/>
          <w:szCs w:val="24"/>
        </w:rPr>
        <w:t>S</w:t>
      </w:r>
      <w:r w:rsidRPr="006E0130">
        <w:rPr>
          <w:rFonts w:ascii="Times New Roman" w:hAnsi="Times New Roman" w:cs="Times New Roman" w:hint="eastAsia"/>
          <w:sz w:val="24"/>
          <w:szCs w:val="24"/>
        </w:rPr>
        <w:t>upplementary</w:t>
      </w:r>
      <w:r w:rsidRPr="006E0130">
        <w:rPr>
          <w:rFonts w:ascii="Times New Roman" w:hAnsi="Times New Roman" w:cs="Times New Roman"/>
          <w:sz w:val="24"/>
          <w:szCs w:val="24"/>
        </w:rPr>
        <w:t xml:space="preserve"> </w:t>
      </w:r>
      <w:r w:rsidRPr="006E0130">
        <w:rPr>
          <w:rFonts w:ascii="Times New Roman" w:hAnsi="Times New Roman" w:cs="Times New Roman" w:hint="eastAsia"/>
          <w:sz w:val="24"/>
          <w:szCs w:val="24"/>
        </w:rPr>
        <w:t>materials</w:t>
      </w:r>
    </w:p>
    <w:p w14:paraId="4630E68C" w14:textId="77777777" w:rsidR="002E2E03" w:rsidRPr="006E0130" w:rsidRDefault="002E2E03" w:rsidP="002E2E03">
      <w:pPr>
        <w:rPr>
          <w:rFonts w:ascii="Times New Roman" w:hAnsi="Times New Roman" w:cs="Times New Roman"/>
          <w:sz w:val="24"/>
          <w:szCs w:val="24"/>
        </w:rPr>
      </w:pPr>
      <w:r w:rsidRPr="006E0130">
        <w:rPr>
          <w:rFonts w:ascii="Times New Roman" w:hAnsi="Times New Roman" w:cs="Times New Roman"/>
          <w:sz w:val="24"/>
          <w:szCs w:val="24"/>
        </w:rPr>
        <w:t>Table S1: The sequences of the plasmids and agomir/antagomir</w:t>
      </w:r>
    </w:p>
    <w:p w14:paraId="5D0959B5" w14:textId="77777777" w:rsidR="002E2E03" w:rsidRPr="006E0130" w:rsidRDefault="002E2E03" w:rsidP="002E2E03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 w:rsidRPr="006E0130">
        <w:rPr>
          <w:rFonts w:ascii="Times New Roman" w:hAnsi="Times New Roman" w:cs="Times New Roman"/>
          <w:sz w:val="24"/>
          <w:szCs w:val="24"/>
        </w:rPr>
        <w:t>Table S2: The primer sequences</w:t>
      </w:r>
    </w:p>
    <w:p w14:paraId="4AC34E38" w14:textId="77777777" w:rsidR="002E2E03" w:rsidRPr="006E0130" w:rsidRDefault="002E2E03" w:rsidP="002E2E03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 w:rsidRPr="006E0130">
        <w:rPr>
          <w:rFonts w:ascii="Times New Roman" w:hAnsi="Times New Roman" w:cs="Times New Roman"/>
          <w:sz w:val="24"/>
          <w:szCs w:val="24"/>
        </w:rPr>
        <w:t>Table S3:</w:t>
      </w:r>
      <w:r w:rsidRPr="006E0130">
        <w:t xml:space="preserve"> </w:t>
      </w:r>
      <w:r w:rsidRPr="006E0130">
        <w:rPr>
          <w:rFonts w:ascii="Times New Roman" w:hAnsi="Times New Roman" w:cs="Times New Roman"/>
          <w:sz w:val="24"/>
          <w:szCs w:val="24"/>
        </w:rPr>
        <w:t>Relationship of RUNX1 expression with pathologic parameters of tumor</w:t>
      </w:r>
    </w:p>
    <w:p w14:paraId="419C8F8A" w14:textId="77777777" w:rsidR="002E2E03" w:rsidRPr="006E0130" w:rsidRDefault="002E2E03" w:rsidP="002E2E03">
      <w:pPr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6E0130">
        <w:rPr>
          <w:rFonts w:ascii="Times New Roman" w:hAnsi="Times New Roman" w:cs="Times New Roman"/>
          <w:sz w:val="24"/>
          <w:szCs w:val="24"/>
        </w:rPr>
        <w:t>Table S4:</w:t>
      </w:r>
      <w:r w:rsidRPr="006E0130">
        <w:rPr>
          <w:rFonts w:ascii="Times New Roman" w:eastAsia="宋体" w:hAnsi="Times New Roman" w:cs="Times New Roman"/>
          <w:kern w:val="0"/>
          <w:sz w:val="24"/>
          <w:szCs w:val="24"/>
        </w:rPr>
        <w:t xml:space="preserve"> Report of prediction on </w:t>
      </w:r>
      <w:hyperlink r:id="rId6" w:history="1">
        <w:r w:rsidRPr="006E0130">
          <w:rPr>
            <w:rFonts w:ascii="Times New Roman" w:eastAsia="宋体" w:hAnsi="Times New Roman" w:cs="Times New Roman"/>
            <w:kern w:val="0"/>
            <w:sz w:val="24"/>
            <w:szCs w:val="24"/>
          </w:rPr>
          <w:t>upstream</w:t>
        </w:r>
      </w:hyperlink>
      <w:r w:rsidRPr="006E0130">
        <w:rPr>
          <w:rFonts w:ascii="Times New Roman" w:eastAsia="宋体" w:hAnsi="Times New Roman" w:cs="Times New Roman"/>
          <w:kern w:val="0"/>
          <w:sz w:val="24"/>
          <w:szCs w:val="24"/>
        </w:rPr>
        <w:t xml:space="preserve"> miRNA to RUNX1</w:t>
      </w:r>
    </w:p>
    <w:p w14:paraId="2E3B68C4" w14:textId="77777777" w:rsidR="002E2E03" w:rsidRPr="006E0130" w:rsidRDefault="002E2E03" w:rsidP="002E2E03">
      <w:pPr>
        <w:rPr>
          <w:rFonts w:ascii="Times New Roman" w:hAnsi="Times New Roman" w:cs="Times New Roman"/>
          <w:sz w:val="24"/>
          <w:szCs w:val="24"/>
        </w:rPr>
      </w:pPr>
      <w:r w:rsidRPr="006E0130">
        <w:rPr>
          <w:rFonts w:ascii="Times New Roman" w:hAnsi="Times New Roman" w:cs="Times New Roman" w:hint="eastAsia"/>
          <w:sz w:val="24"/>
          <w:szCs w:val="24"/>
        </w:rPr>
        <w:t>Figure</w:t>
      </w:r>
      <w:r w:rsidRPr="006E0130">
        <w:rPr>
          <w:rFonts w:ascii="Times New Roman" w:hAnsi="Times New Roman" w:cs="Times New Roman"/>
          <w:sz w:val="24"/>
          <w:szCs w:val="24"/>
        </w:rPr>
        <w:t xml:space="preserve"> S</w:t>
      </w:r>
      <w:r w:rsidRPr="006E0130">
        <w:rPr>
          <w:rFonts w:ascii="Times New Roman" w:hAnsi="Times New Roman" w:cs="Times New Roman" w:hint="eastAsia"/>
          <w:sz w:val="24"/>
          <w:szCs w:val="24"/>
        </w:rPr>
        <w:t>1:</w:t>
      </w:r>
      <w:r w:rsidRPr="006E0130">
        <w:t xml:space="preserve"> </w:t>
      </w:r>
      <w:r w:rsidRPr="006E0130">
        <w:rPr>
          <w:rFonts w:ascii="Times New Roman" w:hAnsi="Times New Roman" w:cs="Times New Roman"/>
          <w:sz w:val="24"/>
          <w:szCs w:val="24"/>
        </w:rPr>
        <w:t>Transfection efficiency of mir-302a-3p and RUNX1</w:t>
      </w:r>
    </w:p>
    <w:p w14:paraId="382EF38E" w14:textId="77777777" w:rsidR="002E2E03" w:rsidRPr="006E0130" w:rsidRDefault="002E2E03" w:rsidP="002E2E03">
      <w:pPr>
        <w:rPr>
          <w:rFonts w:ascii="Times New Roman" w:hAnsi="Times New Roman" w:cs="Times New Roman"/>
          <w:sz w:val="24"/>
          <w:szCs w:val="24"/>
        </w:rPr>
      </w:pPr>
      <w:r w:rsidRPr="006E0130">
        <w:rPr>
          <w:rFonts w:ascii="Times New Roman" w:hAnsi="Times New Roman" w:cs="Times New Roman" w:hint="eastAsia"/>
          <w:sz w:val="24"/>
          <w:szCs w:val="24"/>
        </w:rPr>
        <w:t>Figure</w:t>
      </w:r>
      <w:r w:rsidRPr="006E0130">
        <w:rPr>
          <w:rFonts w:ascii="Times New Roman" w:hAnsi="Times New Roman" w:cs="Times New Roman"/>
          <w:sz w:val="24"/>
          <w:szCs w:val="24"/>
        </w:rPr>
        <w:t xml:space="preserve"> S2</w:t>
      </w:r>
      <w:r w:rsidRPr="006E0130">
        <w:rPr>
          <w:rFonts w:ascii="Times New Roman" w:hAnsi="Times New Roman" w:cs="Times New Roman" w:hint="eastAsia"/>
          <w:sz w:val="24"/>
          <w:szCs w:val="24"/>
        </w:rPr>
        <w:t>:</w:t>
      </w:r>
      <w:r w:rsidRPr="006E0130">
        <w:t xml:space="preserve"> </w:t>
      </w:r>
      <w:r w:rsidRPr="006E0130">
        <w:rPr>
          <w:rFonts w:ascii="Times New Roman" w:hAnsi="Times New Roman" w:cs="Times New Roman"/>
          <w:sz w:val="24"/>
          <w:szCs w:val="24"/>
        </w:rPr>
        <w:t xml:space="preserve">The biological behavior of miR-302a-3p can be rescued by </w:t>
      </w:r>
      <w:r w:rsidRPr="006E0130">
        <w:rPr>
          <w:rFonts w:ascii="Times New Roman" w:hAnsi="Times New Roman" w:cs="Times New Roman"/>
          <w:sz w:val="24"/>
          <w:szCs w:val="24"/>
          <w:shd w:val="clear" w:color="auto" w:fill="FFFFFF"/>
        </w:rPr>
        <w:t>simultaneous overexpression of RUNX1</w:t>
      </w:r>
    </w:p>
    <w:p w14:paraId="7C426BF1" w14:textId="77777777" w:rsidR="002E2E03" w:rsidRPr="006E0130" w:rsidRDefault="002E2E03" w:rsidP="002E2E03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130">
        <w:rPr>
          <w:rFonts w:ascii="Times New Roman" w:hAnsi="Times New Roman" w:cs="Times New Roman" w:hint="eastAsia"/>
          <w:sz w:val="24"/>
          <w:szCs w:val="24"/>
        </w:rPr>
        <w:t>Figure</w:t>
      </w:r>
      <w:r w:rsidRPr="006E0130">
        <w:rPr>
          <w:rFonts w:ascii="Times New Roman" w:hAnsi="Times New Roman" w:cs="Times New Roman"/>
          <w:sz w:val="24"/>
          <w:szCs w:val="24"/>
        </w:rPr>
        <w:t xml:space="preserve"> S3</w:t>
      </w:r>
      <w:r w:rsidRPr="006E0130">
        <w:rPr>
          <w:rFonts w:ascii="Times New Roman" w:hAnsi="Times New Roman" w:cs="Times New Roman" w:hint="eastAsia"/>
          <w:sz w:val="24"/>
          <w:szCs w:val="24"/>
        </w:rPr>
        <w:t>:</w:t>
      </w:r>
      <w:r w:rsidRPr="006E0130">
        <w:t xml:space="preserve"> </w:t>
      </w:r>
      <w:r w:rsidRPr="006E0130">
        <w:rPr>
          <w:rFonts w:ascii="Times New Roman" w:hAnsi="Times New Roman" w:cs="Times New Roman"/>
          <w:sz w:val="24"/>
          <w:szCs w:val="24"/>
        </w:rPr>
        <w:t xml:space="preserve">(A) and(B) </w:t>
      </w:r>
      <w:r w:rsidRPr="006E0130">
        <w:rPr>
          <w:rFonts w:ascii="Times New Roman" w:hAnsi="Times New Roman" w:cs="Times New Roman"/>
          <w:sz w:val="24"/>
          <w:szCs w:val="24"/>
          <w:shd w:val="clear" w:color="auto" w:fill="FFFFFF"/>
        </w:rPr>
        <w:t>The endogenous expression levels of miR-302a-3p and RUNX1 in both cell lines compared to normal endometrial cells.</w:t>
      </w:r>
      <w:r w:rsidRPr="006E0130">
        <w:t xml:space="preserve"> </w:t>
      </w:r>
      <w:r w:rsidRPr="006E0130">
        <w:rPr>
          <w:rFonts w:ascii="Times New Roman" w:hAnsi="Times New Roman" w:cs="Times New Roman"/>
          <w:sz w:val="24"/>
          <w:szCs w:val="24"/>
        </w:rPr>
        <w:t>(C) and(D)</w:t>
      </w:r>
      <w:r w:rsidRPr="006E013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Knockdown of miR-302a-3p and overexpression of RUNX1 in normal endometrium cells.</w:t>
      </w:r>
    </w:p>
    <w:bookmarkEnd w:id="0"/>
    <w:p w14:paraId="1B340932" w14:textId="77777777" w:rsidR="002E2E03" w:rsidRPr="006E0130" w:rsidRDefault="002E2E03" w:rsidP="002E2E03">
      <w:pPr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6E0130">
        <w:rPr>
          <w:rFonts w:ascii="Times New Roman" w:hAnsi="Times New Roman" w:cs="Times New Roman" w:hint="eastAsia"/>
          <w:sz w:val="24"/>
          <w:szCs w:val="24"/>
        </w:rPr>
        <w:t>Figure</w:t>
      </w:r>
      <w:r w:rsidRPr="006E0130">
        <w:rPr>
          <w:rFonts w:ascii="Times New Roman" w:hAnsi="Times New Roman" w:cs="Times New Roman"/>
          <w:sz w:val="24"/>
          <w:szCs w:val="24"/>
        </w:rPr>
        <w:t xml:space="preserve"> S4</w:t>
      </w:r>
      <w:r w:rsidRPr="006E0130">
        <w:rPr>
          <w:rFonts w:ascii="Times New Roman" w:hAnsi="Times New Roman" w:cs="Times New Roman" w:hint="eastAsia"/>
          <w:sz w:val="24"/>
          <w:szCs w:val="24"/>
        </w:rPr>
        <w:t>:</w:t>
      </w:r>
      <w:r w:rsidRPr="006E0130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6E013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The Venn diagram for the result of </w:t>
      </w:r>
      <w:hyperlink r:id="rId7" w:history="1">
        <w:r w:rsidRPr="006E0130">
          <w:rPr>
            <w:rFonts w:ascii="Times New Roman" w:eastAsia="宋体" w:hAnsi="Times New Roman" w:cs="Times New Roman"/>
            <w:kern w:val="0"/>
            <w:sz w:val="24"/>
            <w:szCs w:val="24"/>
          </w:rPr>
          <w:t>upstream</w:t>
        </w:r>
      </w:hyperlink>
      <w:r w:rsidRPr="006E0130">
        <w:rPr>
          <w:rFonts w:ascii="Times New Roman" w:eastAsia="宋体" w:hAnsi="Times New Roman" w:cs="Times New Roman"/>
          <w:kern w:val="0"/>
          <w:sz w:val="24"/>
          <w:szCs w:val="24"/>
        </w:rPr>
        <w:t xml:space="preserve"> miRNA to RUNX1</w:t>
      </w:r>
    </w:p>
    <w:p w14:paraId="36517465" w14:textId="77777777" w:rsidR="002E2E03" w:rsidRPr="006E0130" w:rsidRDefault="002E2E03" w:rsidP="002E2E03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780B9E9" w14:textId="77777777" w:rsidR="00E76E0E" w:rsidRDefault="00000000"/>
    <w:sectPr w:rsidR="00E76E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CF005F" w14:textId="77777777" w:rsidR="00B502AC" w:rsidRDefault="00B502AC" w:rsidP="002E2E03">
      <w:r>
        <w:separator/>
      </w:r>
    </w:p>
  </w:endnote>
  <w:endnote w:type="continuationSeparator" w:id="0">
    <w:p w14:paraId="2F66BE4A" w14:textId="77777777" w:rsidR="00B502AC" w:rsidRDefault="00B502AC" w:rsidP="002E2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85B1F6" w14:textId="77777777" w:rsidR="00B502AC" w:rsidRDefault="00B502AC" w:rsidP="002E2E03">
      <w:r>
        <w:separator/>
      </w:r>
    </w:p>
  </w:footnote>
  <w:footnote w:type="continuationSeparator" w:id="0">
    <w:p w14:paraId="59EB0556" w14:textId="77777777" w:rsidR="00B502AC" w:rsidRDefault="00B502AC" w:rsidP="002E2E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6B8"/>
    <w:rsid w:val="002E2E03"/>
    <w:rsid w:val="006866B8"/>
    <w:rsid w:val="00715290"/>
    <w:rsid w:val="00B502AC"/>
    <w:rsid w:val="00FA2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B514FF65-350A-4432-B0C7-0A980BE21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2E0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2E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E2E0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E2E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E2E0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app:ds:upstrea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app:ds:upstrea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667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TerryWang</dc:creator>
  <cp:keywords/>
  <dc:description/>
  <cp:lastModifiedBy>TerryWang</cp:lastModifiedBy>
  <cp:revision>2</cp:revision>
  <dcterms:created xsi:type="dcterms:W3CDTF">2022-08-25T16:07:00Z</dcterms:created>
  <dcterms:modified xsi:type="dcterms:W3CDTF">2022-08-25T16:08:00Z</dcterms:modified>
</cp:coreProperties>
</file>