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8ABE3" w14:textId="77777777" w:rsidR="00E12272" w:rsidRPr="006B4AEE" w:rsidRDefault="00E12272" w:rsidP="00E122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4AEE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3A470E63" w14:textId="77777777" w:rsidR="00E12272" w:rsidRPr="006B4AEE" w:rsidRDefault="00E12272" w:rsidP="00E1227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>Table S1: The relationship of CASC2 expression with pathological parameters</w:t>
      </w:r>
    </w:p>
    <w:p w14:paraId="52FFCD85" w14:textId="77777777" w:rsidR="00E12272" w:rsidRPr="006B4AEE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>Table S2: The sequences of the plasmids and mimics/inhibitors</w:t>
      </w:r>
    </w:p>
    <w:p w14:paraId="3A7C5430" w14:textId="77777777" w:rsidR="00E12272" w:rsidRPr="006B4AEE" w:rsidRDefault="00E12272" w:rsidP="00E1227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>Table S3: The primer sequences</w:t>
      </w:r>
    </w:p>
    <w:p w14:paraId="4EB68C5B" w14:textId="77777777" w:rsidR="00E12272" w:rsidRPr="006B4AEE" w:rsidRDefault="00E12272" w:rsidP="00E1227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>Table S4: The antibodies</w:t>
      </w:r>
    </w:p>
    <w:p w14:paraId="4C334D82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</w:p>
    <w:p w14:paraId="673154E2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 xml:space="preserve">Figure S1: The relationship between CASC2 expression and grade or stage in the TCGA database. </w:t>
      </w:r>
    </w:p>
    <w:p w14:paraId="6A924814" w14:textId="77777777" w:rsidR="00E12272" w:rsidRPr="006B4AEE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9E09DE">
        <w:rPr>
          <w:rFonts w:ascii="Times New Roman" w:hAnsi="Times New Roman" w:cs="Times New Roman"/>
          <w:sz w:val="24"/>
          <w:szCs w:val="24"/>
        </w:rPr>
        <w:t>(A) The relationship between CASC2 expression and grade in the TCGA database. (B) The relationship between CASC2 expression and stage in the TCGA database.</w:t>
      </w:r>
    </w:p>
    <w:p w14:paraId="08E40947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</w:p>
    <w:p w14:paraId="2F448C63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>Figure S2: Fluorescent Photo of CASC2 Virus Transfection Efficiency</w:t>
      </w:r>
    </w:p>
    <w:p w14:paraId="73CA7027" w14:textId="77777777" w:rsidR="00E12272" w:rsidRPr="006B4AEE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9E09DE">
        <w:rPr>
          <w:rFonts w:ascii="Times New Roman" w:hAnsi="Times New Roman" w:cs="Times New Roman"/>
          <w:sz w:val="24"/>
          <w:szCs w:val="24"/>
        </w:rPr>
        <w:t>(A) Fluorescent Photo of CASC2 Virus Transfection Efficiency of Ishikawa cells. (B) Fluorescent Photo of CASC2 Virus Transfection Efficiency of HEC-1A cells</w:t>
      </w:r>
    </w:p>
    <w:p w14:paraId="383D7F3B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</w:p>
    <w:p w14:paraId="2A46C60A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>Figure S3: Expression and survival prognosis of mir-103-3p, mir-107, PLAG1, IGF2 in TCGA database in endometrial cancer. Expression of IGF2 protein in CPTAC database in endometrial cancer</w:t>
      </w:r>
    </w:p>
    <w:p w14:paraId="78282BAC" w14:textId="77777777" w:rsidR="00E12272" w:rsidRPr="009E09DE" w:rsidRDefault="00E12272" w:rsidP="00E1227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09DE">
        <w:rPr>
          <w:rFonts w:ascii="Times New Roman" w:hAnsi="Times New Roman" w:cs="Times New Roman"/>
          <w:sz w:val="24"/>
          <w:szCs w:val="24"/>
          <w:shd w:val="clear" w:color="auto" w:fill="FFFFFF"/>
        </w:rPr>
        <w:t>(A) Expression and survival prognosis of mir-103-3p. (B) Expression and survival prognosis of mir-107. (C) Expression and survival prognosis of PLAG1, IGF2 and expression of IGF2 protein in CPTAC database.</w:t>
      </w:r>
    </w:p>
    <w:p w14:paraId="38204E9C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</w:p>
    <w:p w14:paraId="4A748A84" w14:textId="77777777" w:rsidR="00E12272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6B4AEE">
        <w:rPr>
          <w:rFonts w:ascii="Times New Roman" w:hAnsi="Times New Roman" w:cs="Times New Roman"/>
          <w:sz w:val="24"/>
          <w:szCs w:val="24"/>
        </w:rPr>
        <w:t>Figure S4: Verification of transfection efficiency of mir-103a-3p / mir-107 mimics and mir-103a-3p / mir-107 inhibitors by RT-PCR</w:t>
      </w:r>
    </w:p>
    <w:p w14:paraId="73F2CD9B" w14:textId="77777777" w:rsidR="00E12272" w:rsidRPr="006B4AEE" w:rsidRDefault="00E12272" w:rsidP="00E12272">
      <w:pPr>
        <w:rPr>
          <w:rFonts w:ascii="Times New Roman" w:hAnsi="Times New Roman" w:cs="Times New Roman"/>
          <w:sz w:val="24"/>
          <w:szCs w:val="24"/>
        </w:rPr>
      </w:pPr>
      <w:r w:rsidRPr="009E09DE">
        <w:rPr>
          <w:rFonts w:ascii="Times New Roman" w:hAnsi="Times New Roman" w:cs="Times New Roman"/>
          <w:sz w:val="24"/>
          <w:szCs w:val="24"/>
        </w:rPr>
        <w:t>(A) transfection efficiency of mir-103a-3p mimics and inhibitors by RT-PCR (B) transfection efficiency of mir-103a-3p mimics and inhibitors by RT-PCR</w:t>
      </w:r>
    </w:p>
    <w:p w14:paraId="44C6A37A" w14:textId="77777777" w:rsidR="00E12272" w:rsidRPr="006B4AEE" w:rsidRDefault="00E12272" w:rsidP="00E12272">
      <w:pPr>
        <w:rPr>
          <w:rFonts w:ascii="Times New Roman" w:hAnsi="Times New Roman" w:cs="Times New Roman"/>
        </w:rPr>
      </w:pPr>
    </w:p>
    <w:p w14:paraId="277A6AD8" w14:textId="77777777" w:rsidR="00E1715D" w:rsidRDefault="00E12272"/>
    <w:sectPr w:rsidR="00E17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72"/>
    <w:rsid w:val="001942F0"/>
    <w:rsid w:val="002C0857"/>
    <w:rsid w:val="003F01F8"/>
    <w:rsid w:val="00884728"/>
    <w:rsid w:val="008E2845"/>
    <w:rsid w:val="00D00B5E"/>
    <w:rsid w:val="00E12272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B186"/>
  <w15:chartTrackingRefBased/>
  <w15:docId w15:val="{EBBDE7DF-8B46-4244-95B0-FBB67C43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7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>Springer Nature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2023-04-12T15:01:00Z</dcterms:created>
  <dcterms:modified xsi:type="dcterms:W3CDTF">2023-04-12T15:01:00Z</dcterms:modified>
</cp:coreProperties>
</file>