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07B08" w14:textId="77777777" w:rsidR="000B762C" w:rsidRDefault="000B762C" w:rsidP="000B762C">
      <w:pPr>
        <w:pStyle w:val="Heading1"/>
        <w:spacing w:before="0" w:after="0"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SUPPLEMENTARY FILE</w:t>
      </w:r>
    </w:p>
    <w:tbl>
      <w:tblPr>
        <w:tblW w:w="9210" w:type="dxa"/>
        <w:tblInd w:w="20" w:type="dxa"/>
        <w:tblBorders>
          <w:insideH w:val="nil"/>
          <w:insideV w:val="nil"/>
        </w:tblBorders>
        <w:tblLayout w:type="fixed"/>
        <w:tblLook w:val="0600" w:firstRow="0" w:lastRow="0" w:firstColumn="0" w:lastColumn="0" w:noHBand="1" w:noVBand="1"/>
      </w:tblPr>
      <w:tblGrid>
        <w:gridCol w:w="1050"/>
        <w:gridCol w:w="3210"/>
        <w:gridCol w:w="2565"/>
        <w:gridCol w:w="2385"/>
      </w:tblGrid>
      <w:tr w:rsidR="000B762C" w14:paraId="6D501056" w14:textId="77777777" w:rsidTr="000B762C">
        <w:trPr>
          <w:trHeight w:val="141"/>
        </w:trPr>
        <w:tc>
          <w:tcPr>
            <w:tcW w:w="9210" w:type="dxa"/>
            <w:gridSpan w:val="4"/>
            <w:tcBorders>
              <w:top w:val="nil"/>
              <w:left w:val="nil"/>
              <w:bottom w:val="single" w:sz="8" w:space="0" w:color="000000"/>
              <w:right w:val="nil"/>
            </w:tcBorders>
            <w:tcMar>
              <w:top w:w="100" w:type="dxa"/>
              <w:left w:w="100" w:type="dxa"/>
              <w:bottom w:w="100" w:type="dxa"/>
              <w:right w:w="100" w:type="dxa"/>
            </w:tcMar>
            <w:hideMark/>
          </w:tcPr>
          <w:p w14:paraId="622CD764" w14:textId="77777777" w:rsidR="000B762C" w:rsidRDefault="000B762C">
            <w:pPr>
              <w:spacing w:after="0" w:line="360" w:lineRule="auto"/>
              <w:ind w:right="10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Table S.1. Techniques used for the analysis of chemical components in tested samples</w:t>
            </w:r>
          </w:p>
        </w:tc>
      </w:tr>
      <w:tr w:rsidR="000B762C" w14:paraId="6D6B4D16" w14:textId="77777777" w:rsidTr="000B762C">
        <w:trPr>
          <w:trHeight w:val="20"/>
        </w:trPr>
        <w:tc>
          <w:tcPr>
            <w:tcW w:w="1050" w:type="dxa"/>
            <w:vMerge w:val="restart"/>
            <w:tcBorders>
              <w:top w:val="nil"/>
              <w:left w:val="single" w:sz="4" w:space="0" w:color="auto"/>
              <w:bottom w:val="single" w:sz="8" w:space="0" w:color="000000"/>
              <w:right w:val="single" w:sz="8" w:space="0" w:color="000000"/>
            </w:tcBorders>
            <w:tcMar>
              <w:top w:w="100" w:type="dxa"/>
              <w:left w:w="100" w:type="dxa"/>
              <w:bottom w:w="100" w:type="dxa"/>
              <w:right w:w="100" w:type="dxa"/>
            </w:tcMar>
            <w:hideMark/>
          </w:tcPr>
          <w:p w14:paraId="338F9A7F" w14:textId="77777777" w:rsidR="000B762C" w:rsidRDefault="000B762C">
            <w:pPr>
              <w:spacing w:after="0" w:line="360" w:lineRule="auto"/>
              <w:ind w:right="10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Sr. No.</w:t>
            </w:r>
          </w:p>
        </w:tc>
        <w:tc>
          <w:tcPr>
            <w:tcW w:w="3210" w:type="dxa"/>
            <w:vMerge w:val="restart"/>
            <w:tcBorders>
              <w:top w:val="nil"/>
              <w:left w:val="nil"/>
              <w:bottom w:val="single" w:sz="8" w:space="0" w:color="000000"/>
              <w:right w:val="single" w:sz="8" w:space="0" w:color="000000"/>
            </w:tcBorders>
            <w:tcMar>
              <w:top w:w="100" w:type="dxa"/>
              <w:left w:w="100" w:type="dxa"/>
              <w:bottom w:w="100" w:type="dxa"/>
              <w:right w:w="100" w:type="dxa"/>
            </w:tcMar>
            <w:hideMark/>
          </w:tcPr>
          <w:p w14:paraId="2726B94E" w14:textId="77777777" w:rsidR="000B762C" w:rsidRDefault="000B762C">
            <w:pPr>
              <w:spacing w:after="0" w:line="360" w:lineRule="auto"/>
              <w:ind w:right="10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Analyte</w:t>
            </w:r>
          </w:p>
        </w:tc>
        <w:tc>
          <w:tcPr>
            <w:tcW w:w="4950" w:type="dxa"/>
            <w:gridSpan w:val="2"/>
            <w:tcBorders>
              <w:top w:val="nil"/>
              <w:left w:val="nil"/>
              <w:bottom w:val="single" w:sz="8" w:space="0" w:color="000000"/>
              <w:right w:val="single" w:sz="8" w:space="0" w:color="000000"/>
            </w:tcBorders>
            <w:tcMar>
              <w:top w:w="100" w:type="dxa"/>
              <w:left w:w="100" w:type="dxa"/>
              <w:bottom w:w="100" w:type="dxa"/>
              <w:right w:w="100" w:type="dxa"/>
            </w:tcMar>
            <w:hideMark/>
          </w:tcPr>
          <w:p w14:paraId="139F9D89" w14:textId="77777777" w:rsidR="000B762C" w:rsidRDefault="000B762C">
            <w:pPr>
              <w:spacing w:after="0" w:line="360" w:lineRule="auto"/>
              <w:ind w:right="10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Techniques</w:t>
            </w:r>
          </w:p>
        </w:tc>
      </w:tr>
      <w:tr w:rsidR="000B762C" w14:paraId="30C2FE1B" w14:textId="77777777" w:rsidTr="000B762C">
        <w:trPr>
          <w:trHeight w:val="20"/>
        </w:trPr>
        <w:tc>
          <w:tcPr>
            <w:tcW w:w="9210" w:type="dxa"/>
            <w:vMerge/>
            <w:tcBorders>
              <w:top w:val="nil"/>
              <w:left w:val="single" w:sz="4" w:space="0" w:color="auto"/>
              <w:bottom w:val="single" w:sz="8" w:space="0" w:color="000000"/>
              <w:right w:val="single" w:sz="8" w:space="0" w:color="000000"/>
            </w:tcBorders>
            <w:vAlign w:val="center"/>
            <w:hideMark/>
          </w:tcPr>
          <w:p w14:paraId="4879274C" w14:textId="77777777" w:rsidR="000B762C" w:rsidRDefault="000B762C">
            <w:pPr>
              <w:spacing w:after="0"/>
              <w:rPr>
                <w:rFonts w:ascii="Times New Roman" w:eastAsia="Times New Roman" w:hAnsi="Times New Roman" w:cs="Times New Roman"/>
                <w:b/>
                <w:color w:val="000000" w:themeColor="text1"/>
                <w:sz w:val="20"/>
                <w:szCs w:val="20"/>
              </w:rPr>
            </w:pPr>
          </w:p>
        </w:tc>
        <w:tc>
          <w:tcPr>
            <w:tcW w:w="3210" w:type="dxa"/>
            <w:vMerge/>
            <w:tcBorders>
              <w:top w:val="nil"/>
              <w:left w:val="nil"/>
              <w:bottom w:val="single" w:sz="8" w:space="0" w:color="000000"/>
              <w:right w:val="single" w:sz="8" w:space="0" w:color="000000"/>
            </w:tcBorders>
            <w:vAlign w:val="center"/>
            <w:hideMark/>
          </w:tcPr>
          <w:p w14:paraId="6AE5746F" w14:textId="77777777" w:rsidR="000B762C" w:rsidRDefault="000B762C">
            <w:pPr>
              <w:spacing w:after="0"/>
              <w:rPr>
                <w:rFonts w:ascii="Times New Roman" w:eastAsia="Times New Roman" w:hAnsi="Times New Roman" w:cs="Times New Roman"/>
                <w:b/>
                <w:color w:val="000000" w:themeColor="text1"/>
                <w:sz w:val="20"/>
                <w:szCs w:val="20"/>
              </w:rPr>
            </w:pPr>
          </w:p>
        </w:tc>
        <w:tc>
          <w:tcPr>
            <w:tcW w:w="25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B0C0C1" w14:textId="77777777" w:rsidR="000B762C" w:rsidRDefault="000B762C">
            <w:pPr>
              <w:spacing w:after="0" w:line="360" w:lineRule="auto"/>
              <w:ind w:right="100"/>
              <w:jc w:val="both"/>
              <w:rPr>
                <w:rFonts w:ascii="Times New Roman" w:eastAsia="Times New Roman" w:hAnsi="Times New Roman" w:cs="Times New Roman"/>
                <w:b/>
                <w:color w:val="000000" w:themeColor="text1"/>
                <w:sz w:val="20"/>
                <w:szCs w:val="20"/>
              </w:rPr>
            </w:pPr>
            <w:proofErr w:type="spellStart"/>
            <w:r>
              <w:rPr>
                <w:rFonts w:ascii="Times New Roman" w:eastAsia="Times New Roman" w:hAnsi="Times New Roman" w:cs="Times New Roman"/>
                <w:b/>
                <w:color w:val="000000" w:themeColor="text1"/>
                <w:sz w:val="20"/>
                <w:szCs w:val="20"/>
              </w:rPr>
              <w:t>Labstat</w:t>
            </w:r>
            <w:proofErr w:type="spellEnd"/>
            <w:r>
              <w:rPr>
                <w:rFonts w:ascii="Times New Roman" w:eastAsia="Times New Roman" w:hAnsi="Times New Roman" w:cs="Times New Roman"/>
                <w:b/>
                <w:color w:val="000000" w:themeColor="text1"/>
                <w:sz w:val="20"/>
                <w:szCs w:val="20"/>
              </w:rPr>
              <w:t xml:space="preserve"> International</w:t>
            </w:r>
          </w:p>
        </w:tc>
        <w:tc>
          <w:tcPr>
            <w:tcW w:w="2385" w:type="dxa"/>
            <w:tcBorders>
              <w:top w:val="nil"/>
              <w:left w:val="nil"/>
              <w:bottom w:val="single" w:sz="8" w:space="0" w:color="000000"/>
              <w:right w:val="single" w:sz="8" w:space="0" w:color="000000"/>
            </w:tcBorders>
            <w:tcMar>
              <w:top w:w="100" w:type="dxa"/>
              <w:left w:w="100" w:type="dxa"/>
              <w:bottom w:w="100" w:type="dxa"/>
              <w:right w:w="100" w:type="dxa"/>
            </w:tcMar>
            <w:hideMark/>
          </w:tcPr>
          <w:p w14:paraId="3ADFA4D3" w14:textId="77777777" w:rsidR="000B762C" w:rsidRDefault="000B762C">
            <w:pPr>
              <w:spacing w:after="0" w:line="360" w:lineRule="auto"/>
              <w:ind w:right="10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Enthalpy Analytical</w:t>
            </w:r>
          </w:p>
        </w:tc>
      </w:tr>
      <w:tr w:rsidR="000B762C" w14:paraId="6E0CDF9D" w14:textId="77777777" w:rsidTr="000B762C">
        <w:trPr>
          <w:trHeight w:val="14"/>
        </w:trPr>
        <w:tc>
          <w:tcPr>
            <w:tcW w:w="10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39B2847"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p>
        </w:tc>
        <w:tc>
          <w:tcPr>
            <w:tcW w:w="3210" w:type="dxa"/>
            <w:tcBorders>
              <w:top w:val="nil"/>
              <w:left w:val="nil"/>
              <w:bottom w:val="single" w:sz="8" w:space="0" w:color="000000"/>
              <w:right w:val="single" w:sz="8" w:space="0" w:color="000000"/>
            </w:tcBorders>
            <w:tcMar>
              <w:top w:w="100" w:type="dxa"/>
              <w:left w:w="40" w:type="dxa"/>
              <w:bottom w:w="100" w:type="dxa"/>
              <w:right w:w="40" w:type="dxa"/>
            </w:tcMar>
            <w:hideMark/>
          </w:tcPr>
          <w:p w14:paraId="3264F6CC"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Nitrosamines</w:t>
            </w:r>
          </w:p>
        </w:tc>
        <w:tc>
          <w:tcPr>
            <w:tcW w:w="2565" w:type="dxa"/>
            <w:tcBorders>
              <w:top w:val="nil"/>
              <w:left w:val="nil"/>
              <w:bottom w:val="single" w:sz="8" w:space="0" w:color="000000"/>
              <w:right w:val="single" w:sz="8" w:space="0" w:color="000000"/>
            </w:tcBorders>
            <w:tcMar>
              <w:top w:w="100" w:type="dxa"/>
              <w:left w:w="40" w:type="dxa"/>
              <w:bottom w:w="100" w:type="dxa"/>
              <w:right w:w="40" w:type="dxa"/>
            </w:tcMar>
            <w:hideMark/>
          </w:tcPr>
          <w:p w14:paraId="665CC321"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c>
          <w:tcPr>
            <w:tcW w:w="2385" w:type="dxa"/>
            <w:tcBorders>
              <w:top w:val="nil"/>
              <w:left w:val="nil"/>
              <w:bottom w:val="single" w:sz="8" w:space="0" w:color="000000"/>
              <w:right w:val="single" w:sz="8" w:space="0" w:color="000000"/>
            </w:tcBorders>
            <w:tcMar>
              <w:top w:w="100" w:type="dxa"/>
              <w:left w:w="40" w:type="dxa"/>
              <w:bottom w:w="100" w:type="dxa"/>
              <w:right w:w="40" w:type="dxa"/>
            </w:tcMar>
            <w:hideMark/>
          </w:tcPr>
          <w:p w14:paraId="0FB6ACB9"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r>
      <w:tr w:rsidR="000B762C" w14:paraId="095EFD6F" w14:textId="77777777" w:rsidTr="000B762C">
        <w:trPr>
          <w:trHeight w:val="125"/>
        </w:trPr>
        <w:tc>
          <w:tcPr>
            <w:tcW w:w="10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EEB82E4"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c>
          <w:tcPr>
            <w:tcW w:w="3210" w:type="dxa"/>
            <w:tcBorders>
              <w:top w:val="nil"/>
              <w:left w:val="nil"/>
              <w:bottom w:val="single" w:sz="8" w:space="0" w:color="000000"/>
              <w:right w:val="single" w:sz="8" w:space="0" w:color="000000"/>
            </w:tcBorders>
            <w:tcMar>
              <w:top w:w="100" w:type="dxa"/>
              <w:left w:w="40" w:type="dxa"/>
              <w:bottom w:w="100" w:type="dxa"/>
              <w:right w:w="40" w:type="dxa"/>
            </w:tcMar>
            <w:hideMark/>
          </w:tcPr>
          <w:p w14:paraId="2C096495"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Tobacco Specific Nitrosamines</w:t>
            </w:r>
          </w:p>
        </w:tc>
        <w:tc>
          <w:tcPr>
            <w:tcW w:w="2565" w:type="dxa"/>
            <w:tcBorders>
              <w:top w:val="nil"/>
              <w:left w:val="nil"/>
              <w:bottom w:val="single" w:sz="8" w:space="0" w:color="000000"/>
              <w:right w:val="single" w:sz="8" w:space="0" w:color="000000"/>
            </w:tcBorders>
            <w:tcMar>
              <w:top w:w="100" w:type="dxa"/>
              <w:left w:w="40" w:type="dxa"/>
              <w:bottom w:w="100" w:type="dxa"/>
              <w:right w:w="40" w:type="dxa"/>
            </w:tcMar>
            <w:hideMark/>
          </w:tcPr>
          <w:p w14:paraId="7F64766D"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GC-TEA</w:t>
            </w:r>
          </w:p>
        </w:tc>
        <w:tc>
          <w:tcPr>
            <w:tcW w:w="2385" w:type="dxa"/>
            <w:tcBorders>
              <w:top w:val="nil"/>
              <w:left w:val="nil"/>
              <w:bottom w:val="single" w:sz="8" w:space="0" w:color="000000"/>
              <w:right w:val="single" w:sz="8" w:space="0" w:color="000000"/>
            </w:tcBorders>
            <w:tcMar>
              <w:top w:w="100" w:type="dxa"/>
              <w:left w:w="40" w:type="dxa"/>
              <w:bottom w:w="100" w:type="dxa"/>
              <w:right w:w="40" w:type="dxa"/>
            </w:tcMar>
            <w:hideMark/>
          </w:tcPr>
          <w:p w14:paraId="4C202CAE"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GC/MS/MS.</w:t>
            </w:r>
          </w:p>
        </w:tc>
      </w:tr>
      <w:tr w:rsidR="000B762C" w14:paraId="693F8486" w14:textId="77777777" w:rsidTr="000B762C">
        <w:trPr>
          <w:trHeight w:val="14"/>
        </w:trPr>
        <w:tc>
          <w:tcPr>
            <w:tcW w:w="10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C2D4638"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c>
          <w:tcPr>
            <w:tcW w:w="3210" w:type="dxa"/>
            <w:tcBorders>
              <w:top w:val="nil"/>
              <w:left w:val="nil"/>
              <w:bottom w:val="single" w:sz="8" w:space="0" w:color="000000"/>
              <w:right w:val="single" w:sz="8" w:space="0" w:color="000000"/>
            </w:tcBorders>
            <w:tcMar>
              <w:top w:w="100" w:type="dxa"/>
              <w:left w:w="40" w:type="dxa"/>
              <w:bottom w:w="100" w:type="dxa"/>
              <w:right w:w="40" w:type="dxa"/>
            </w:tcMar>
            <w:hideMark/>
          </w:tcPr>
          <w:p w14:paraId="0FEBA358"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Volatile Nitrosamines and</w:t>
            </w:r>
          </w:p>
          <w:p w14:paraId="5DE62801"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N-Nitroso Alkanolamines</w:t>
            </w:r>
          </w:p>
        </w:tc>
        <w:tc>
          <w:tcPr>
            <w:tcW w:w="2565" w:type="dxa"/>
            <w:tcBorders>
              <w:top w:val="nil"/>
              <w:left w:val="nil"/>
              <w:bottom w:val="single" w:sz="8" w:space="0" w:color="000000"/>
              <w:right w:val="single" w:sz="8" w:space="0" w:color="000000"/>
            </w:tcBorders>
            <w:tcMar>
              <w:top w:w="100" w:type="dxa"/>
              <w:left w:w="40" w:type="dxa"/>
              <w:bottom w:w="100" w:type="dxa"/>
              <w:right w:w="40" w:type="dxa"/>
            </w:tcMar>
            <w:hideMark/>
          </w:tcPr>
          <w:p w14:paraId="6199A1AD"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LC-MS/MS</w:t>
            </w:r>
          </w:p>
        </w:tc>
        <w:tc>
          <w:tcPr>
            <w:tcW w:w="2385" w:type="dxa"/>
            <w:tcBorders>
              <w:top w:val="nil"/>
              <w:left w:val="nil"/>
              <w:bottom w:val="single" w:sz="8" w:space="0" w:color="000000"/>
              <w:right w:val="single" w:sz="8" w:space="0" w:color="000000"/>
            </w:tcBorders>
            <w:tcMar>
              <w:top w:w="100" w:type="dxa"/>
              <w:left w:w="40" w:type="dxa"/>
              <w:bottom w:w="100" w:type="dxa"/>
              <w:right w:w="40" w:type="dxa"/>
            </w:tcMar>
            <w:hideMark/>
          </w:tcPr>
          <w:p w14:paraId="5DDC5897"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GC-TEA</w:t>
            </w:r>
          </w:p>
        </w:tc>
      </w:tr>
      <w:tr w:rsidR="000B762C" w14:paraId="5B620F86" w14:textId="77777777" w:rsidTr="000B762C">
        <w:trPr>
          <w:trHeight w:val="14"/>
        </w:trPr>
        <w:tc>
          <w:tcPr>
            <w:tcW w:w="10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4CC098E"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c>
          <w:tcPr>
            <w:tcW w:w="3210" w:type="dxa"/>
            <w:tcBorders>
              <w:top w:val="nil"/>
              <w:left w:val="nil"/>
              <w:bottom w:val="single" w:sz="8" w:space="0" w:color="000000"/>
              <w:right w:val="single" w:sz="8" w:space="0" w:color="000000"/>
            </w:tcBorders>
            <w:tcMar>
              <w:top w:w="100" w:type="dxa"/>
              <w:left w:w="40" w:type="dxa"/>
              <w:bottom w:w="100" w:type="dxa"/>
              <w:right w:w="40" w:type="dxa"/>
            </w:tcMar>
            <w:hideMark/>
          </w:tcPr>
          <w:p w14:paraId="6297769C"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w:t>
            </w:r>
            <w:proofErr w:type="spellStart"/>
            <w:r>
              <w:rPr>
                <w:rFonts w:ascii="Times New Roman" w:eastAsia="Times New Roman" w:hAnsi="Times New Roman" w:cs="Times New Roman"/>
                <w:color w:val="000000" w:themeColor="text1"/>
                <w:sz w:val="20"/>
                <w:szCs w:val="20"/>
              </w:rPr>
              <w:t>nitrososarcosine</w:t>
            </w:r>
            <w:proofErr w:type="spellEnd"/>
          </w:p>
        </w:tc>
        <w:tc>
          <w:tcPr>
            <w:tcW w:w="2565" w:type="dxa"/>
            <w:tcBorders>
              <w:top w:val="nil"/>
              <w:left w:val="nil"/>
              <w:bottom w:val="single" w:sz="8" w:space="0" w:color="000000"/>
              <w:right w:val="single" w:sz="8" w:space="0" w:color="000000"/>
            </w:tcBorders>
            <w:tcMar>
              <w:top w:w="100" w:type="dxa"/>
              <w:left w:w="40" w:type="dxa"/>
              <w:bottom w:w="100" w:type="dxa"/>
              <w:right w:w="40" w:type="dxa"/>
            </w:tcMar>
            <w:hideMark/>
          </w:tcPr>
          <w:p w14:paraId="67AE1955"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GC-MS</w:t>
            </w:r>
          </w:p>
        </w:tc>
        <w:tc>
          <w:tcPr>
            <w:tcW w:w="2385" w:type="dxa"/>
            <w:tcBorders>
              <w:top w:val="nil"/>
              <w:left w:val="nil"/>
              <w:bottom w:val="single" w:sz="8" w:space="0" w:color="000000"/>
              <w:right w:val="single" w:sz="8" w:space="0" w:color="000000"/>
            </w:tcBorders>
            <w:tcMar>
              <w:top w:w="100" w:type="dxa"/>
              <w:left w:w="40" w:type="dxa"/>
              <w:bottom w:w="100" w:type="dxa"/>
              <w:right w:w="40" w:type="dxa"/>
            </w:tcMar>
            <w:hideMark/>
          </w:tcPr>
          <w:p w14:paraId="1D0EC9D7"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GC-MS</w:t>
            </w:r>
          </w:p>
        </w:tc>
      </w:tr>
      <w:tr w:rsidR="000B762C" w14:paraId="0AF50B4F" w14:textId="77777777" w:rsidTr="000B762C">
        <w:trPr>
          <w:trHeight w:val="14"/>
        </w:trPr>
        <w:tc>
          <w:tcPr>
            <w:tcW w:w="10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BFA8063"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p>
        </w:tc>
        <w:tc>
          <w:tcPr>
            <w:tcW w:w="3210" w:type="dxa"/>
            <w:tcBorders>
              <w:top w:val="nil"/>
              <w:left w:val="nil"/>
              <w:bottom w:val="single" w:sz="8" w:space="0" w:color="000000"/>
              <w:right w:val="single" w:sz="8" w:space="0" w:color="000000"/>
            </w:tcBorders>
            <w:tcMar>
              <w:top w:w="100" w:type="dxa"/>
              <w:left w:w="40" w:type="dxa"/>
              <w:bottom w:w="100" w:type="dxa"/>
              <w:right w:w="40" w:type="dxa"/>
            </w:tcMar>
            <w:hideMark/>
          </w:tcPr>
          <w:p w14:paraId="341C47B5"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PAH</w:t>
            </w:r>
          </w:p>
        </w:tc>
        <w:tc>
          <w:tcPr>
            <w:tcW w:w="2565" w:type="dxa"/>
            <w:tcBorders>
              <w:top w:val="nil"/>
              <w:left w:val="nil"/>
              <w:bottom w:val="single" w:sz="8" w:space="0" w:color="000000"/>
              <w:right w:val="single" w:sz="8" w:space="0" w:color="000000"/>
            </w:tcBorders>
            <w:tcMar>
              <w:top w:w="100" w:type="dxa"/>
              <w:left w:w="40" w:type="dxa"/>
              <w:bottom w:w="100" w:type="dxa"/>
              <w:right w:w="40" w:type="dxa"/>
            </w:tcMar>
            <w:hideMark/>
          </w:tcPr>
          <w:p w14:paraId="3BF7BA41"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GC-MS (SIM)</w:t>
            </w:r>
          </w:p>
        </w:tc>
        <w:tc>
          <w:tcPr>
            <w:tcW w:w="2385" w:type="dxa"/>
            <w:tcBorders>
              <w:top w:val="nil"/>
              <w:left w:val="nil"/>
              <w:bottom w:val="single" w:sz="8" w:space="0" w:color="000000"/>
              <w:right w:val="single" w:sz="8" w:space="0" w:color="000000"/>
            </w:tcBorders>
            <w:tcMar>
              <w:top w:w="100" w:type="dxa"/>
              <w:left w:w="40" w:type="dxa"/>
              <w:bottom w:w="100" w:type="dxa"/>
              <w:right w:w="40" w:type="dxa"/>
            </w:tcMar>
            <w:hideMark/>
          </w:tcPr>
          <w:p w14:paraId="29B11EBD" w14:textId="77777777" w:rsidR="000B762C" w:rsidRDefault="000B762C">
            <w:pPr>
              <w:spacing w:after="0" w:line="360" w:lineRule="auto"/>
              <w:ind w:right="10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GC-MS</w:t>
            </w:r>
          </w:p>
        </w:tc>
      </w:tr>
    </w:tbl>
    <w:p w14:paraId="75BF9696" w14:textId="77777777" w:rsidR="000B762C" w:rsidRDefault="000B762C" w:rsidP="000B762C"/>
    <w:p w14:paraId="5200DDDF" w14:textId="77777777" w:rsidR="000B762C" w:rsidRDefault="000B762C" w:rsidP="000B762C">
      <w:r>
        <w:br w:type="page"/>
      </w:r>
    </w:p>
    <w:tbl>
      <w:tblPr>
        <w:tblW w:w="9750" w:type="dxa"/>
        <w:tblInd w:w="30" w:type="dxa"/>
        <w:tblBorders>
          <w:insideH w:val="nil"/>
          <w:insideV w:val="nil"/>
        </w:tblBorders>
        <w:tblLayout w:type="fixed"/>
        <w:tblLook w:val="0600" w:firstRow="0" w:lastRow="0" w:firstColumn="0" w:lastColumn="0" w:noHBand="1" w:noVBand="1"/>
      </w:tblPr>
      <w:tblGrid>
        <w:gridCol w:w="1350"/>
        <w:gridCol w:w="4408"/>
        <w:gridCol w:w="3992"/>
      </w:tblGrid>
      <w:tr w:rsidR="000B762C" w14:paraId="408C05A5" w14:textId="77777777" w:rsidTr="000B762C">
        <w:trPr>
          <w:trHeight w:val="12"/>
        </w:trPr>
        <w:tc>
          <w:tcPr>
            <w:tcW w:w="9750" w:type="dxa"/>
            <w:gridSpan w:val="3"/>
            <w:tcBorders>
              <w:top w:val="nil"/>
              <w:left w:val="nil"/>
              <w:bottom w:val="single" w:sz="8" w:space="0" w:color="000000"/>
              <w:right w:val="nil"/>
            </w:tcBorders>
            <w:tcMar>
              <w:top w:w="100" w:type="dxa"/>
              <w:left w:w="100" w:type="dxa"/>
              <w:bottom w:w="100" w:type="dxa"/>
              <w:right w:w="100" w:type="dxa"/>
            </w:tcMar>
            <w:hideMark/>
          </w:tcPr>
          <w:p w14:paraId="064C84B7" w14:textId="77777777" w:rsidR="000B762C" w:rsidRDefault="000B762C">
            <w:pPr>
              <w:spacing w:after="0" w:line="360" w:lineRule="auto"/>
              <w:ind w:right="4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lastRenderedPageBreak/>
              <w:t>Table S.2. Technical procedures followed to assess the chemical components</w:t>
            </w:r>
          </w:p>
        </w:tc>
      </w:tr>
      <w:tr w:rsidR="000B762C" w14:paraId="2DD77D3E" w14:textId="77777777" w:rsidTr="000B762C">
        <w:trPr>
          <w:trHeight w:val="14"/>
        </w:trPr>
        <w:tc>
          <w:tcPr>
            <w:tcW w:w="13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56C16860" w14:textId="77777777" w:rsidR="000B762C" w:rsidRDefault="000B762C">
            <w:pPr>
              <w:spacing w:after="0" w:line="36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Constituent</w:t>
            </w:r>
          </w:p>
        </w:tc>
        <w:tc>
          <w:tcPr>
            <w:tcW w:w="4408" w:type="dxa"/>
            <w:tcBorders>
              <w:top w:val="nil"/>
              <w:left w:val="nil"/>
              <w:bottom w:val="single" w:sz="8" w:space="0" w:color="000000"/>
              <w:right w:val="single" w:sz="8" w:space="0" w:color="000000"/>
            </w:tcBorders>
            <w:tcMar>
              <w:top w:w="100" w:type="dxa"/>
              <w:left w:w="100" w:type="dxa"/>
              <w:bottom w:w="100" w:type="dxa"/>
              <w:right w:w="100" w:type="dxa"/>
            </w:tcMar>
            <w:hideMark/>
          </w:tcPr>
          <w:p w14:paraId="54CE181F" w14:textId="77777777" w:rsidR="000B762C" w:rsidRDefault="000B762C">
            <w:pPr>
              <w:spacing w:after="0" w:line="36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Lab A</w:t>
            </w:r>
          </w:p>
        </w:tc>
        <w:tc>
          <w:tcPr>
            <w:tcW w:w="3992" w:type="dxa"/>
            <w:tcBorders>
              <w:top w:val="nil"/>
              <w:left w:val="nil"/>
              <w:bottom w:val="single" w:sz="8" w:space="0" w:color="000000"/>
              <w:right w:val="single" w:sz="8" w:space="0" w:color="000000"/>
            </w:tcBorders>
            <w:tcMar>
              <w:top w:w="100" w:type="dxa"/>
              <w:left w:w="100" w:type="dxa"/>
              <w:bottom w:w="100" w:type="dxa"/>
              <w:right w:w="100" w:type="dxa"/>
            </w:tcMar>
            <w:hideMark/>
          </w:tcPr>
          <w:p w14:paraId="018030A9" w14:textId="77777777" w:rsidR="000B762C" w:rsidRDefault="000B762C">
            <w:pPr>
              <w:spacing w:after="0" w:line="36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Lab B</w:t>
            </w:r>
          </w:p>
        </w:tc>
      </w:tr>
      <w:tr w:rsidR="000B762C" w14:paraId="00C5DEAF" w14:textId="77777777" w:rsidTr="000B762C">
        <w:trPr>
          <w:trHeight w:val="1790"/>
        </w:trPr>
        <w:tc>
          <w:tcPr>
            <w:tcW w:w="13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EEC6FB1" w14:textId="77777777" w:rsidR="000B762C" w:rsidRDefault="000B762C">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Volatile Nitrosamines</w:t>
            </w:r>
          </w:p>
        </w:tc>
        <w:tc>
          <w:tcPr>
            <w:tcW w:w="4408" w:type="dxa"/>
            <w:tcBorders>
              <w:top w:val="nil"/>
              <w:left w:val="nil"/>
              <w:bottom w:val="single" w:sz="8" w:space="0" w:color="000000"/>
              <w:right w:val="single" w:sz="8" w:space="0" w:color="000000"/>
            </w:tcBorders>
            <w:tcMar>
              <w:top w:w="100" w:type="dxa"/>
              <w:left w:w="100" w:type="dxa"/>
              <w:bottom w:w="100" w:type="dxa"/>
              <w:right w:w="100" w:type="dxa"/>
            </w:tcMar>
            <w:hideMark/>
          </w:tcPr>
          <w:p w14:paraId="0F85B92D"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A sample of tobacco product (1.5g) was spiked with an internal standard mixture </w:t>
            </w:r>
            <w:proofErr w:type="gramStart"/>
            <w:r>
              <w:rPr>
                <w:rFonts w:ascii="Times New Roman" w:eastAsia="Times New Roman" w:hAnsi="Times New Roman" w:cs="Times New Roman"/>
                <w:color w:val="000000" w:themeColor="text1"/>
                <w:sz w:val="20"/>
                <w:szCs w:val="20"/>
              </w:rPr>
              <w:t>solution, and</w:t>
            </w:r>
            <w:proofErr w:type="gramEnd"/>
            <w:r>
              <w:rPr>
                <w:rFonts w:ascii="Times New Roman" w:eastAsia="Times New Roman" w:hAnsi="Times New Roman" w:cs="Times New Roman"/>
                <w:color w:val="000000" w:themeColor="text1"/>
                <w:sz w:val="20"/>
                <w:szCs w:val="20"/>
              </w:rPr>
              <w:t xml:space="preserve"> extracted with 50mL of distilled water. A portion of the aqueous extract was centrifuged, </w:t>
            </w:r>
            <w:proofErr w:type="gramStart"/>
            <w:r>
              <w:rPr>
                <w:rFonts w:ascii="Times New Roman" w:eastAsia="Times New Roman" w:hAnsi="Times New Roman" w:cs="Times New Roman"/>
                <w:color w:val="000000" w:themeColor="text1"/>
                <w:sz w:val="20"/>
                <w:szCs w:val="20"/>
              </w:rPr>
              <w:t>filtered</w:t>
            </w:r>
            <w:proofErr w:type="gramEnd"/>
            <w:r>
              <w:rPr>
                <w:rFonts w:ascii="Times New Roman" w:eastAsia="Times New Roman" w:hAnsi="Times New Roman" w:cs="Times New Roman"/>
                <w:color w:val="000000" w:themeColor="text1"/>
                <w:sz w:val="20"/>
                <w:szCs w:val="20"/>
              </w:rPr>
              <w:t xml:space="preserve"> and acidified using ammonium </w:t>
            </w:r>
            <w:proofErr w:type="spellStart"/>
            <w:r>
              <w:rPr>
                <w:rFonts w:ascii="Times New Roman" w:eastAsia="Times New Roman" w:hAnsi="Times New Roman" w:cs="Times New Roman"/>
                <w:color w:val="000000" w:themeColor="text1"/>
                <w:sz w:val="20"/>
                <w:szCs w:val="20"/>
              </w:rPr>
              <w:t>sulphamate</w:t>
            </w:r>
            <w:proofErr w:type="spellEnd"/>
            <w:r>
              <w:rPr>
                <w:rFonts w:ascii="Times New Roman" w:eastAsia="Times New Roman" w:hAnsi="Times New Roman" w:cs="Times New Roman"/>
                <w:color w:val="000000" w:themeColor="text1"/>
                <w:sz w:val="20"/>
                <w:szCs w:val="20"/>
              </w:rPr>
              <w:t>/</w:t>
            </w:r>
            <w:proofErr w:type="spellStart"/>
            <w:r>
              <w:rPr>
                <w:rFonts w:ascii="Times New Roman" w:eastAsia="Times New Roman" w:hAnsi="Times New Roman" w:cs="Times New Roman"/>
                <w:color w:val="000000" w:themeColor="text1"/>
                <w:sz w:val="20"/>
                <w:szCs w:val="20"/>
              </w:rPr>
              <w:t>sulphuric</w:t>
            </w:r>
            <w:proofErr w:type="spellEnd"/>
            <w:r>
              <w:rPr>
                <w:rFonts w:ascii="Times New Roman" w:eastAsia="Times New Roman" w:hAnsi="Times New Roman" w:cs="Times New Roman"/>
                <w:color w:val="000000" w:themeColor="text1"/>
                <w:sz w:val="20"/>
                <w:szCs w:val="20"/>
              </w:rPr>
              <w:t xml:space="preserve"> acid and then saturated with ammonium sulphate. The extract was then passed through a </w:t>
            </w:r>
            <w:proofErr w:type="spellStart"/>
            <w:r>
              <w:rPr>
                <w:rFonts w:ascii="Times New Roman" w:eastAsia="Times New Roman" w:hAnsi="Times New Roman" w:cs="Times New Roman"/>
                <w:color w:val="000000" w:themeColor="text1"/>
                <w:sz w:val="20"/>
                <w:szCs w:val="20"/>
              </w:rPr>
              <w:t>ChemElut</w:t>
            </w:r>
            <w:proofErr w:type="spellEnd"/>
            <w:r>
              <w:rPr>
                <w:rFonts w:ascii="Times New Roman" w:eastAsia="Times New Roman" w:hAnsi="Times New Roman" w:cs="Times New Roman"/>
                <w:color w:val="000000" w:themeColor="text1"/>
                <w:sz w:val="20"/>
                <w:szCs w:val="20"/>
              </w:rPr>
              <w:t xml:space="preserve">® cartridge using ethyl </w:t>
            </w:r>
            <w:proofErr w:type="spellStart"/>
            <w:r>
              <w:rPr>
                <w:rFonts w:ascii="Times New Roman" w:eastAsia="Times New Roman" w:hAnsi="Times New Roman" w:cs="Times New Roman"/>
                <w:color w:val="000000" w:themeColor="text1"/>
                <w:sz w:val="20"/>
                <w:szCs w:val="20"/>
              </w:rPr>
              <w:t>formate</w:t>
            </w:r>
            <w:proofErr w:type="spellEnd"/>
            <w:r>
              <w:rPr>
                <w:rFonts w:ascii="Times New Roman" w:eastAsia="Times New Roman" w:hAnsi="Times New Roman" w:cs="Times New Roman"/>
                <w:color w:val="000000" w:themeColor="text1"/>
                <w:sz w:val="20"/>
                <w:szCs w:val="20"/>
              </w:rPr>
              <w:t xml:space="preserve"> containing 2% ethanol. The eluate was evaporated to approx. 0.8mL and then was diluted with 1% formic acid solution. The nitrosamines were then determined by liquid chromatography- APCI+-tandem mass spectrometry detection. The mass detector was operated under multiple reaction monitoring (MRM) mode.</w:t>
            </w:r>
          </w:p>
        </w:tc>
        <w:tc>
          <w:tcPr>
            <w:tcW w:w="3992" w:type="dxa"/>
            <w:tcBorders>
              <w:top w:val="nil"/>
              <w:left w:val="nil"/>
              <w:bottom w:val="single" w:sz="8" w:space="0" w:color="000000"/>
              <w:right w:val="single" w:sz="8" w:space="0" w:color="000000"/>
            </w:tcBorders>
            <w:tcMar>
              <w:top w:w="100" w:type="dxa"/>
              <w:left w:w="100" w:type="dxa"/>
              <w:bottom w:w="100" w:type="dxa"/>
              <w:right w:w="100" w:type="dxa"/>
            </w:tcMar>
            <w:hideMark/>
          </w:tcPr>
          <w:p w14:paraId="181DA34E" w14:textId="77777777" w:rsidR="000B762C" w:rsidRDefault="000B762C">
            <w:pPr>
              <w:spacing w:after="0" w:line="360" w:lineRule="auto"/>
              <w:ind w:right="4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Tobacco aliquots were extracted in water, filtered, and solvent-exchanged for analysis by GC/MS/MS.</w:t>
            </w:r>
          </w:p>
          <w:p w14:paraId="440EA467"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r>
      <w:tr w:rsidR="000B762C" w14:paraId="295B75A7" w14:textId="77777777" w:rsidTr="000B762C">
        <w:trPr>
          <w:trHeight w:val="72"/>
        </w:trPr>
        <w:tc>
          <w:tcPr>
            <w:tcW w:w="13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1FC9C31" w14:textId="77777777" w:rsidR="000B762C" w:rsidRDefault="000B762C">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NSAR</w:t>
            </w:r>
          </w:p>
        </w:tc>
        <w:tc>
          <w:tcPr>
            <w:tcW w:w="4408" w:type="dxa"/>
            <w:tcBorders>
              <w:top w:val="nil"/>
              <w:left w:val="nil"/>
              <w:bottom w:val="single" w:sz="8" w:space="0" w:color="000000"/>
              <w:right w:val="single" w:sz="8" w:space="0" w:color="000000"/>
            </w:tcBorders>
            <w:tcMar>
              <w:top w:w="100" w:type="dxa"/>
              <w:left w:w="100" w:type="dxa"/>
              <w:bottom w:w="100" w:type="dxa"/>
              <w:right w:w="100" w:type="dxa"/>
            </w:tcMar>
            <w:hideMark/>
          </w:tcPr>
          <w:p w14:paraId="1300DB9F"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g of the ground and homogenized tobacco (from a freshly opened source) was spiked with internal standard (IS</w:t>
            </w:r>
            <w:proofErr w:type="gramStart"/>
            <w:r>
              <w:rPr>
                <w:rFonts w:ascii="Times New Roman" w:eastAsia="Times New Roman" w:hAnsi="Times New Roman" w:cs="Times New Roman"/>
                <w:color w:val="000000" w:themeColor="text1"/>
                <w:sz w:val="20"/>
                <w:szCs w:val="20"/>
              </w:rPr>
              <w:t>), and</w:t>
            </w:r>
            <w:proofErr w:type="gramEnd"/>
            <w:r>
              <w:rPr>
                <w:rFonts w:ascii="Times New Roman" w:eastAsia="Times New Roman" w:hAnsi="Times New Roman" w:cs="Times New Roman"/>
                <w:color w:val="000000" w:themeColor="text1"/>
                <w:sz w:val="20"/>
                <w:szCs w:val="20"/>
              </w:rPr>
              <w:t xml:space="preserve"> extracted with 25mL 2% formic acid solution and shaken for 45 minutes. The extraction solution </w:t>
            </w:r>
            <w:proofErr w:type="gramStart"/>
            <w:r>
              <w:rPr>
                <w:rFonts w:ascii="Times New Roman" w:eastAsia="Times New Roman" w:hAnsi="Times New Roman" w:cs="Times New Roman"/>
                <w:color w:val="000000" w:themeColor="text1"/>
                <w:sz w:val="20"/>
                <w:szCs w:val="20"/>
              </w:rPr>
              <w:t>was allowed to</w:t>
            </w:r>
            <w:proofErr w:type="gramEnd"/>
            <w:r>
              <w:rPr>
                <w:rFonts w:ascii="Times New Roman" w:eastAsia="Times New Roman" w:hAnsi="Times New Roman" w:cs="Times New Roman"/>
                <w:color w:val="000000" w:themeColor="text1"/>
                <w:sz w:val="20"/>
                <w:szCs w:val="20"/>
              </w:rPr>
              <w:t xml:space="preserve"> stand for 15min and then the supernatant was filtered through a 0.45µm syringe filter into an amber collection vial. The extract was applied to an ISOLUTE HM-N (or equivalent such as CHEM ELUTE) cartridge to perform solid phase supported liquid-liquid extraction. The cartridge was then eluted with ethyl </w:t>
            </w:r>
            <w:proofErr w:type="spellStart"/>
            <w:r>
              <w:rPr>
                <w:rFonts w:ascii="Times New Roman" w:eastAsia="Times New Roman" w:hAnsi="Times New Roman" w:cs="Times New Roman"/>
                <w:color w:val="000000" w:themeColor="text1"/>
                <w:sz w:val="20"/>
                <w:szCs w:val="20"/>
              </w:rPr>
              <w:t>formate</w:t>
            </w:r>
            <w:proofErr w:type="spellEnd"/>
            <w:r>
              <w:rPr>
                <w:rFonts w:ascii="Times New Roman" w:eastAsia="Times New Roman" w:hAnsi="Times New Roman" w:cs="Times New Roman"/>
                <w:color w:val="000000" w:themeColor="text1"/>
                <w:sz w:val="20"/>
                <w:szCs w:val="20"/>
              </w:rPr>
              <w:t>, and the eluent evaporated to dryness. This was then taken up in methanol containing 2% formic acid for analysis by LC- MS/MS.</w:t>
            </w:r>
          </w:p>
          <w:p w14:paraId="22F61D35"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A 5µL aliquot of the sample solution was injected to the LC-MS system. The analyte was separated and determined by LC-MS/MS with negative </w:t>
            </w:r>
            <w:r>
              <w:rPr>
                <w:rFonts w:ascii="Times New Roman" w:eastAsia="Times New Roman" w:hAnsi="Times New Roman" w:cs="Times New Roman"/>
                <w:color w:val="000000" w:themeColor="text1"/>
                <w:sz w:val="20"/>
                <w:szCs w:val="20"/>
              </w:rPr>
              <w:lastRenderedPageBreak/>
              <w:t>electrospray ionization (ESI) under multiple reaction mode (MRM).</w:t>
            </w:r>
          </w:p>
        </w:tc>
        <w:tc>
          <w:tcPr>
            <w:tcW w:w="3992" w:type="dxa"/>
            <w:tcBorders>
              <w:top w:val="nil"/>
              <w:left w:val="nil"/>
              <w:bottom w:val="single" w:sz="8" w:space="0" w:color="000000"/>
              <w:right w:val="single" w:sz="8" w:space="0" w:color="000000"/>
            </w:tcBorders>
            <w:tcMar>
              <w:top w:w="100" w:type="dxa"/>
              <w:left w:w="100" w:type="dxa"/>
              <w:bottom w:w="100" w:type="dxa"/>
              <w:right w:w="100" w:type="dxa"/>
            </w:tcMar>
            <w:hideMark/>
          </w:tcPr>
          <w:p w14:paraId="56CB47CE" w14:textId="77777777" w:rsidR="000B762C" w:rsidRDefault="000B762C">
            <w:pPr>
              <w:spacing w:after="0" w:line="360" w:lineRule="auto"/>
              <w:ind w:right="4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This analytical method is applicable to the determination of N-</w:t>
            </w:r>
            <w:proofErr w:type="spellStart"/>
            <w:r>
              <w:rPr>
                <w:rFonts w:ascii="Times New Roman" w:eastAsia="Times New Roman" w:hAnsi="Times New Roman" w:cs="Times New Roman"/>
                <w:color w:val="000000" w:themeColor="text1"/>
                <w:sz w:val="20"/>
                <w:szCs w:val="20"/>
              </w:rPr>
              <w:t>Nitrososarcosine</w:t>
            </w:r>
            <w:proofErr w:type="spellEnd"/>
            <w:r>
              <w:rPr>
                <w:rFonts w:ascii="Times New Roman" w:eastAsia="Times New Roman" w:hAnsi="Times New Roman" w:cs="Times New Roman"/>
                <w:color w:val="000000" w:themeColor="text1"/>
                <w:sz w:val="20"/>
                <w:szCs w:val="20"/>
              </w:rPr>
              <w:t xml:space="preserve"> (NSAR) in smokeless tobacco products within the range 25–1000 ng/g. NSAR and the added internal standard were extracted from tobacco using an aqueous solution containing 0.05% v/v H</w:t>
            </w:r>
            <w:r>
              <w:rPr>
                <w:rFonts w:ascii="Times New Roman" w:eastAsia="Times New Roman" w:hAnsi="Times New Roman" w:cs="Times New Roman"/>
                <w:color w:val="000000" w:themeColor="text1"/>
                <w:sz w:val="20"/>
                <w:szCs w:val="20"/>
                <w:vertAlign w:val="subscript"/>
              </w:rPr>
              <w:t>2</w:t>
            </w:r>
            <w:r>
              <w:rPr>
                <w:rFonts w:ascii="Times New Roman" w:eastAsia="Times New Roman" w:hAnsi="Times New Roman" w:cs="Times New Roman"/>
                <w:color w:val="000000" w:themeColor="text1"/>
                <w:sz w:val="20"/>
                <w:szCs w:val="20"/>
              </w:rPr>
              <w:t>SO</w:t>
            </w:r>
            <w:r>
              <w:rPr>
                <w:rFonts w:ascii="Times New Roman" w:eastAsia="Times New Roman" w:hAnsi="Times New Roman" w:cs="Times New Roman"/>
                <w:color w:val="000000" w:themeColor="text1"/>
                <w:sz w:val="20"/>
                <w:szCs w:val="20"/>
                <w:vertAlign w:val="subscript"/>
              </w:rPr>
              <w:t>4</w:t>
            </w:r>
            <w:r>
              <w:rPr>
                <w:rFonts w:ascii="Times New Roman" w:eastAsia="Times New Roman" w:hAnsi="Times New Roman" w:cs="Times New Roman"/>
                <w:color w:val="000000" w:themeColor="text1"/>
                <w:sz w:val="20"/>
                <w:szCs w:val="20"/>
              </w:rPr>
              <w:t xml:space="preserve"> with 1% ammonium sulfamate, sodium chloride and ethyl acetate. After mechanical shaking, the layers were allowed to </w:t>
            </w:r>
            <w:proofErr w:type="gramStart"/>
            <w:r>
              <w:rPr>
                <w:rFonts w:ascii="Times New Roman" w:eastAsia="Times New Roman" w:hAnsi="Times New Roman" w:cs="Times New Roman"/>
                <w:color w:val="000000" w:themeColor="text1"/>
                <w:sz w:val="20"/>
                <w:szCs w:val="20"/>
              </w:rPr>
              <w:t>settle</w:t>
            </w:r>
            <w:proofErr w:type="gramEnd"/>
            <w:r>
              <w:rPr>
                <w:rFonts w:ascii="Times New Roman" w:eastAsia="Times New Roman" w:hAnsi="Times New Roman" w:cs="Times New Roman"/>
                <w:color w:val="000000" w:themeColor="text1"/>
                <w:sz w:val="20"/>
                <w:szCs w:val="20"/>
              </w:rPr>
              <w:t xml:space="preserve"> and the organic layer was transferred to a clean, dry vial. The solution was evaporated to dryness and redissolved in </w:t>
            </w:r>
            <w:proofErr w:type="spellStart"/>
            <w:r>
              <w:rPr>
                <w:rFonts w:ascii="Times New Roman" w:eastAsia="Times New Roman" w:hAnsi="Times New Roman" w:cs="Times New Roman"/>
                <w:color w:val="000000" w:themeColor="text1"/>
                <w:sz w:val="20"/>
                <w:szCs w:val="20"/>
              </w:rPr>
              <w:t>EtOAc</w:t>
            </w:r>
            <w:proofErr w:type="spellEnd"/>
            <w:r>
              <w:rPr>
                <w:rFonts w:ascii="Times New Roman" w:eastAsia="Times New Roman" w:hAnsi="Times New Roman" w:cs="Times New Roman"/>
                <w:color w:val="000000" w:themeColor="text1"/>
                <w:sz w:val="20"/>
                <w:szCs w:val="20"/>
              </w:rPr>
              <w:t>. The sample was then dried with Na</w:t>
            </w:r>
            <w:r>
              <w:rPr>
                <w:rFonts w:ascii="Times New Roman" w:eastAsia="Times New Roman" w:hAnsi="Times New Roman" w:cs="Times New Roman"/>
                <w:color w:val="000000" w:themeColor="text1"/>
                <w:sz w:val="20"/>
                <w:szCs w:val="20"/>
                <w:vertAlign w:val="subscript"/>
              </w:rPr>
              <w:t>2</w:t>
            </w:r>
            <w:r>
              <w:rPr>
                <w:rFonts w:ascii="Times New Roman" w:eastAsia="Times New Roman" w:hAnsi="Times New Roman" w:cs="Times New Roman"/>
                <w:color w:val="000000" w:themeColor="text1"/>
                <w:sz w:val="20"/>
                <w:szCs w:val="20"/>
              </w:rPr>
              <w:t>SO</w:t>
            </w:r>
            <w:r>
              <w:rPr>
                <w:rFonts w:ascii="Times New Roman" w:eastAsia="Times New Roman" w:hAnsi="Times New Roman" w:cs="Times New Roman"/>
                <w:color w:val="000000" w:themeColor="text1"/>
                <w:sz w:val="20"/>
                <w:szCs w:val="20"/>
                <w:vertAlign w:val="subscript"/>
              </w:rPr>
              <w:t>4</w:t>
            </w:r>
            <w:r>
              <w:rPr>
                <w:rFonts w:ascii="Times New Roman" w:eastAsia="Times New Roman" w:hAnsi="Times New Roman" w:cs="Times New Roman"/>
                <w:color w:val="000000" w:themeColor="text1"/>
                <w:sz w:val="20"/>
                <w:szCs w:val="20"/>
              </w:rPr>
              <w:t>, filtered, derivatized with BSTFA and analyzed by GC-MS.</w:t>
            </w:r>
          </w:p>
          <w:p w14:paraId="4F8E8399"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r>
      <w:tr w:rsidR="000B762C" w14:paraId="0586B3FD" w14:textId="77777777" w:rsidTr="000B762C">
        <w:trPr>
          <w:trHeight w:val="2420"/>
        </w:trPr>
        <w:tc>
          <w:tcPr>
            <w:tcW w:w="13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4BD3ED1" w14:textId="77777777" w:rsidR="000B762C" w:rsidRDefault="000B762C">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NDELA</w:t>
            </w:r>
          </w:p>
        </w:tc>
        <w:tc>
          <w:tcPr>
            <w:tcW w:w="4408" w:type="dxa"/>
            <w:tcBorders>
              <w:top w:val="nil"/>
              <w:left w:val="nil"/>
              <w:bottom w:val="single" w:sz="8" w:space="0" w:color="000000"/>
              <w:right w:val="single" w:sz="8" w:space="0" w:color="000000"/>
            </w:tcBorders>
            <w:tcMar>
              <w:top w:w="100" w:type="dxa"/>
              <w:left w:w="100" w:type="dxa"/>
              <w:bottom w:w="100" w:type="dxa"/>
              <w:right w:w="100" w:type="dxa"/>
            </w:tcMar>
            <w:hideMark/>
          </w:tcPr>
          <w:p w14:paraId="5B1FA5C6"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 sample of tobacco product (1g) was spiked with NDELA-d8 (the internal standard</w:t>
            </w:r>
            <w:proofErr w:type="gramStart"/>
            <w:r>
              <w:rPr>
                <w:rFonts w:ascii="Times New Roman" w:eastAsia="Times New Roman" w:hAnsi="Times New Roman" w:cs="Times New Roman"/>
                <w:color w:val="000000" w:themeColor="text1"/>
                <w:sz w:val="20"/>
                <w:szCs w:val="20"/>
              </w:rPr>
              <w:t>), and</w:t>
            </w:r>
            <w:proofErr w:type="gramEnd"/>
            <w:r>
              <w:rPr>
                <w:rFonts w:ascii="Times New Roman" w:eastAsia="Times New Roman" w:hAnsi="Times New Roman" w:cs="Times New Roman"/>
                <w:color w:val="000000" w:themeColor="text1"/>
                <w:sz w:val="20"/>
                <w:szCs w:val="20"/>
              </w:rPr>
              <w:t xml:space="preserve"> extracted with 50mL of water at 40°C for 16 hours. A portion of the aqueous extract (20mL) was centrifuged, </w:t>
            </w:r>
            <w:proofErr w:type="gramStart"/>
            <w:r>
              <w:rPr>
                <w:rFonts w:ascii="Times New Roman" w:eastAsia="Times New Roman" w:hAnsi="Times New Roman" w:cs="Times New Roman"/>
                <w:color w:val="000000" w:themeColor="text1"/>
                <w:sz w:val="20"/>
                <w:szCs w:val="20"/>
              </w:rPr>
              <w:t>filtered</w:t>
            </w:r>
            <w:proofErr w:type="gramEnd"/>
            <w:r>
              <w:rPr>
                <w:rFonts w:ascii="Times New Roman" w:eastAsia="Times New Roman" w:hAnsi="Times New Roman" w:cs="Times New Roman"/>
                <w:color w:val="000000" w:themeColor="text1"/>
                <w:sz w:val="20"/>
                <w:szCs w:val="20"/>
              </w:rPr>
              <w:t xml:space="preserve"> and acidified using ammonium </w:t>
            </w:r>
            <w:proofErr w:type="spellStart"/>
            <w:r>
              <w:rPr>
                <w:rFonts w:ascii="Times New Roman" w:eastAsia="Times New Roman" w:hAnsi="Times New Roman" w:cs="Times New Roman"/>
                <w:color w:val="000000" w:themeColor="text1"/>
                <w:sz w:val="20"/>
                <w:szCs w:val="20"/>
              </w:rPr>
              <w:t>sulphamate</w:t>
            </w:r>
            <w:proofErr w:type="spellEnd"/>
            <w:r>
              <w:rPr>
                <w:rFonts w:ascii="Times New Roman" w:eastAsia="Times New Roman" w:hAnsi="Times New Roman" w:cs="Times New Roman"/>
                <w:color w:val="000000" w:themeColor="text1"/>
                <w:sz w:val="20"/>
                <w:szCs w:val="20"/>
              </w:rPr>
              <w:t>/</w:t>
            </w:r>
            <w:proofErr w:type="spellStart"/>
            <w:r>
              <w:rPr>
                <w:rFonts w:ascii="Times New Roman" w:eastAsia="Times New Roman" w:hAnsi="Times New Roman" w:cs="Times New Roman"/>
                <w:color w:val="000000" w:themeColor="text1"/>
                <w:sz w:val="20"/>
                <w:szCs w:val="20"/>
              </w:rPr>
              <w:t>sulphuric</w:t>
            </w:r>
            <w:proofErr w:type="spellEnd"/>
            <w:r>
              <w:rPr>
                <w:rFonts w:ascii="Times New Roman" w:eastAsia="Times New Roman" w:hAnsi="Times New Roman" w:cs="Times New Roman"/>
                <w:color w:val="000000" w:themeColor="text1"/>
                <w:sz w:val="20"/>
                <w:szCs w:val="20"/>
              </w:rPr>
              <w:t xml:space="preserve"> acid and then saturated with ammonium sulphate. The extract was then passed through a </w:t>
            </w:r>
            <w:proofErr w:type="spellStart"/>
            <w:r>
              <w:rPr>
                <w:rFonts w:ascii="Times New Roman" w:eastAsia="Times New Roman" w:hAnsi="Times New Roman" w:cs="Times New Roman"/>
                <w:color w:val="000000" w:themeColor="text1"/>
                <w:sz w:val="20"/>
                <w:szCs w:val="20"/>
              </w:rPr>
              <w:t>ChemElut</w:t>
            </w:r>
            <w:proofErr w:type="spellEnd"/>
            <w:r>
              <w:rPr>
                <w:rFonts w:ascii="Times New Roman" w:eastAsia="Times New Roman" w:hAnsi="Times New Roman" w:cs="Times New Roman"/>
                <w:color w:val="000000" w:themeColor="text1"/>
                <w:sz w:val="20"/>
                <w:szCs w:val="20"/>
              </w:rPr>
              <w:t xml:space="preserve">® cartridge using ethyl </w:t>
            </w:r>
            <w:proofErr w:type="spellStart"/>
            <w:r>
              <w:rPr>
                <w:rFonts w:ascii="Times New Roman" w:eastAsia="Times New Roman" w:hAnsi="Times New Roman" w:cs="Times New Roman"/>
                <w:color w:val="000000" w:themeColor="text1"/>
                <w:sz w:val="20"/>
                <w:szCs w:val="20"/>
              </w:rPr>
              <w:t>formate</w:t>
            </w:r>
            <w:proofErr w:type="spellEnd"/>
            <w:r>
              <w:rPr>
                <w:rFonts w:ascii="Times New Roman" w:eastAsia="Times New Roman" w:hAnsi="Times New Roman" w:cs="Times New Roman"/>
                <w:color w:val="000000" w:themeColor="text1"/>
                <w:sz w:val="20"/>
                <w:szCs w:val="20"/>
              </w:rPr>
              <w:t xml:space="preserve"> containing 2% ethanol as an eluent. The eluate was evaporated to approx. 1mL and then subjected to SPE clean-up (</w:t>
            </w:r>
            <w:proofErr w:type="spellStart"/>
            <w:r>
              <w:rPr>
                <w:rFonts w:ascii="Times New Roman" w:eastAsia="Times New Roman" w:hAnsi="Times New Roman" w:cs="Times New Roman"/>
                <w:color w:val="000000" w:themeColor="text1"/>
                <w:sz w:val="20"/>
                <w:szCs w:val="20"/>
              </w:rPr>
              <w:t>florisil</w:t>
            </w:r>
            <w:proofErr w:type="spellEnd"/>
            <w:r>
              <w:rPr>
                <w:rFonts w:ascii="Times New Roman" w:eastAsia="Times New Roman" w:hAnsi="Times New Roman" w:cs="Times New Roman"/>
                <w:color w:val="000000" w:themeColor="text1"/>
                <w:sz w:val="20"/>
                <w:szCs w:val="20"/>
              </w:rPr>
              <w:t xml:space="preserve">). </w:t>
            </w:r>
            <w:proofErr w:type="spellStart"/>
            <w:r>
              <w:rPr>
                <w:rFonts w:ascii="Times New Roman" w:eastAsia="Times New Roman" w:hAnsi="Times New Roman" w:cs="Times New Roman"/>
                <w:color w:val="000000" w:themeColor="text1"/>
                <w:sz w:val="20"/>
                <w:szCs w:val="20"/>
              </w:rPr>
              <w:t>Hydroxynitrosamines</w:t>
            </w:r>
            <w:proofErr w:type="spellEnd"/>
            <w:r>
              <w:rPr>
                <w:rFonts w:ascii="Times New Roman" w:eastAsia="Times New Roman" w:hAnsi="Times New Roman" w:cs="Times New Roman"/>
                <w:color w:val="000000" w:themeColor="text1"/>
                <w:sz w:val="20"/>
                <w:szCs w:val="20"/>
              </w:rPr>
              <w:t xml:space="preserve"> were eluted from the </w:t>
            </w:r>
            <w:proofErr w:type="spellStart"/>
            <w:r>
              <w:rPr>
                <w:rFonts w:ascii="Times New Roman" w:eastAsia="Times New Roman" w:hAnsi="Times New Roman" w:cs="Times New Roman"/>
                <w:color w:val="000000" w:themeColor="text1"/>
                <w:sz w:val="20"/>
                <w:szCs w:val="20"/>
              </w:rPr>
              <w:t>florisil</w:t>
            </w:r>
            <w:proofErr w:type="spellEnd"/>
            <w:r>
              <w:rPr>
                <w:rFonts w:ascii="Times New Roman" w:eastAsia="Times New Roman" w:hAnsi="Times New Roman" w:cs="Times New Roman"/>
                <w:color w:val="000000" w:themeColor="text1"/>
                <w:sz w:val="20"/>
                <w:szCs w:val="20"/>
              </w:rPr>
              <w:t xml:space="preserve"> cartridge with methanol. The sample was concentrated to near-dryness, and the residue was diluted with 0.01% formic acid solution. The </w:t>
            </w:r>
            <w:proofErr w:type="spellStart"/>
            <w:r>
              <w:rPr>
                <w:rFonts w:ascii="Times New Roman" w:eastAsia="Times New Roman" w:hAnsi="Times New Roman" w:cs="Times New Roman"/>
                <w:color w:val="000000" w:themeColor="text1"/>
                <w:sz w:val="20"/>
                <w:szCs w:val="20"/>
              </w:rPr>
              <w:t>hydroxynitrosamines</w:t>
            </w:r>
            <w:proofErr w:type="spellEnd"/>
            <w:r>
              <w:rPr>
                <w:rFonts w:ascii="Times New Roman" w:eastAsia="Times New Roman" w:hAnsi="Times New Roman" w:cs="Times New Roman"/>
                <w:color w:val="000000" w:themeColor="text1"/>
                <w:sz w:val="20"/>
                <w:szCs w:val="20"/>
              </w:rPr>
              <w:t xml:space="preserve"> were then determined by liquid chromatography-APCI+-tandem mass spectrometry detection. The mass detector was operated under multiple reaction monitoring (MRM) mode.</w:t>
            </w:r>
          </w:p>
        </w:tc>
        <w:tc>
          <w:tcPr>
            <w:tcW w:w="3992" w:type="dxa"/>
            <w:tcBorders>
              <w:top w:val="nil"/>
              <w:left w:val="nil"/>
              <w:bottom w:val="single" w:sz="8" w:space="0" w:color="000000"/>
              <w:right w:val="single" w:sz="8" w:space="0" w:color="000000"/>
            </w:tcBorders>
            <w:tcMar>
              <w:top w:w="100" w:type="dxa"/>
              <w:left w:w="100" w:type="dxa"/>
              <w:bottom w:w="100" w:type="dxa"/>
              <w:right w:w="100" w:type="dxa"/>
            </w:tcMar>
            <w:hideMark/>
          </w:tcPr>
          <w:p w14:paraId="68279291" w14:textId="77777777" w:rsidR="000B762C" w:rsidRDefault="000B762C">
            <w:pPr>
              <w:spacing w:after="0" w:line="360" w:lineRule="auto"/>
              <w:ind w:right="4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This method is applicable to the determination of NDELA in smokeless tobacco products within the range 0.4 – 10 </w:t>
            </w:r>
            <w:proofErr w:type="spellStart"/>
            <w:r>
              <w:rPr>
                <w:rFonts w:ascii="Times New Roman" w:eastAsia="Times New Roman" w:hAnsi="Times New Roman" w:cs="Times New Roman"/>
                <w:color w:val="000000" w:themeColor="text1"/>
                <w:sz w:val="20"/>
                <w:szCs w:val="20"/>
              </w:rPr>
              <w:t>μg</w:t>
            </w:r>
            <w:proofErr w:type="spellEnd"/>
            <w:r>
              <w:rPr>
                <w:rFonts w:ascii="Times New Roman" w:eastAsia="Times New Roman" w:hAnsi="Times New Roman" w:cs="Times New Roman"/>
                <w:color w:val="000000" w:themeColor="text1"/>
                <w:sz w:val="20"/>
                <w:szCs w:val="20"/>
              </w:rPr>
              <w:t>/g. NDELA was extracted from tobacco with water. After the internal standard was added, the analytes are partitioned into ethyl acetate with the assistance of sodium sulfate. The ethyl acetate extracts were reduced to ~ 5 mL, filtered and derivatized with (N, O-</w:t>
            </w:r>
            <w:proofErr w:type="spellStart"/>
            <w:r>
              <w:rPr>
                <w:rFonts w:ascii="Times New Roman" w:eastAsia="Times New Roman" w:hAnsi="Times New Roman" w:cs="Times New Roman"/>
                <w:color w:val="000000" w:themeColor="text1"/>
                <w:sz w:val="20"/>
                <w:szCs w:val="20"/>
              </w:rPr>
              <w:t>Bistrifluoroacetamide</w:t>
            </w:r>
            <w:proofErr w:type="spellEnd"/>
            <w:r>
              <w:rPr>
                <w:rFonts w:ascii="Times New Roman" w:eastAsia="Times New Roman" w:hAnsi="Times New Roman" w:cs="Times New Roman"/>
                <w:color w:val="000000" w:themeColor="text1"/>
                <w:sz w:val="20"/>
                <w:szCs w:val="20"/>
              </w:rPr>
              <w:t>) BSTFA. The sample was spiked with internal standard (NBHBA- N-nitroso-butyl-N-(4-hydroxylbutyl) amine), vortexed, filtered and derivatized with BSTFA. Samples were analyzed using a GC with a TEA (thermal energy analyzer) and typically reported on a ng/g basis.</w:t>
            </w:r>
          </w:p>
          <w:p w14:paraId="512EA542"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p>
        </w:tc>
      </w:tr>
      <w:tr w:rsidR="000B762C" w14:paraId="2F30B564" w14:textId="77777777" w:rsidTr="000B762C">
        <w:trPr>
          <w:trHeight w:val="4031"/>
        </w:trPr>
        <w:tc>
          <w:tcPr>
            <w:tcW w:w="13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BB3B0AD" w14:textId="77777777" w:rsidR="000B762C" w:rsidRDefault="000B762C">
            <w:pPr>
              <w:spacing w:after="0"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PAH</w:t>
            </w:r>
          </w:p>
        </w:tc>
        <w:tc>
          <w:tcPr>
            <w:tcW w:w="4408" w:type="dxa"/>
            <w:tcBorders>
              <w:top w:val="nil"/>
              <w:left w:val="nil"/>
              <w:bottom w:val="single" w:sz="8" w:space="0" w:color="000000"/>
              <w:right w:val="single" w:sz="8" w:space="0" w:color="000000"/>
            </w:tcBorders>
            <w:tcMar>
              <w:top w:w="100" w:type="dxa"/>
              <w:left w:w="100" w:type="dxa"/>
              <w:bottom w:w="100" w:type="dxa"/>
              <w:right w:w="100" w:type="dxa"/>
            </w:tcMar>
            <w:hideMark/>
          </w:tcPr>
          <w:p w14:paraId="578DA66D" w14:textId="77777777" w:rsidR="000B762C" w:rsidRDefault="000B762C">
            <w:pPr>
              <w:spacing w:after="0" w:line="360" w:lineRule="auto"/>
              <w:ind w:right="1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Selected PAHs were extracted from a sample of tobacco after a saponification with an alcoholic KOH solution and partitioning into iso-octane. The iso-octane extract was evaporated to 2 to 3mL on a rotary evaporator. The concentrated sample was then passed through a 3mL NH2 (200 mg) plus silica gel (750 mg) cartridge by using the </w:t>
            </w:r>
            <w:proofErr w:type="spellStart"/>
            <w:r>
              <w:rPr>
                <w:rFonts w:ascii="Times New Roman" w:eastAsia="Times New Roman" w:hAnsi="Times New Roman" w:cs="Times New Roman"/>
                <w:color w:val="000000" w:themeColor="text1"/>
                <w:sz w:val="20"/>
                <w:szCs w:val="20"/>
              </w:rPr>
              <w:t>RapidTrace</w:t>
            </w:r>
            <w:proofErr w:type="spellEnd"/>
            <w:r>
              <w:rPr>
                <w:rFonts w:ascii="Times New Roman" w:eastAsia="Times New Roman" w:hAnsi="Times New Roman" w:cs="Times New Roman"/>
                <w:color w:val="000000" w:themeColor="text1"/>
                <w:sz w:val="20"/>
                <w:szCs w:val="20"/>
              </w:rPr>
              <w:t xml:space="preserve"> SPE Workstation and PAHs retained were eluted with 13mL hexane. The solvent was evaporated to 2mL in the </w:t>
            </w:r>
            <w:proofErr w:type="spellStart"/>
            <w:r>
              <w:rPr>
                <w:rFonts w:ascii="Times New Roman" w:eastAsia="Times New Roman" w:hAnsi="Times New Roman" w:cs="Times New Roman"/>
                <w:color w:val="000000" w:themeColor="text1"/>
                <w:sz w:val="20"/>
                <w:szCs w:val="20"/>
              </w:rPr>
              <w:t>Turbovap</w:t>
            </w:r>
            <w:proofErr w:type="spellEnd"/>
            <w:r>
              <w:rPr>
                <w:rFonts w:ascii="Times New Roman" w:eastAsia="Times New Roman" w:hAnsi="Times New Roman" w:cs="Times New Roman"/>
                <w:color w:val="000000" w:themeColor="text1"/>
                <w:sz w:val="20"/>
                <w:szCs w:val="20"/>
              </w:rPr>
              <w:t xml:space="preserve"> evaporator and transferred to an autosampler vial for GCMS analysis. The mass detector was operated under Selected Ion Monitoring (SIM) mode.</w:t>
            </w:r>
          </w:p>
        </w:tc>
        <w:tc>
          <w:tcPr>
            <w:tcW w:w="3992" w:type="dxa"/>
            <w:tcBorders>
              <w:top w:val="nil"/>
              <w:left w:val="nil"/>
              <w:bottom w:val="single" w:sz="8" w:space="0" w:color="000000"/>
              <w:right w:val="single" w:sz="8" w:space="0" w:color="000000"/>
            </w:tcBorders>
            <w:tcMar>
              <w:top w:w="100" w:type="dxa"/>
              <w:left w:w="100" w:type="dxa"/>
              <w:bottom w:w="100" w:type="dxa"/>
              <w:right w:w="100" w:type="dxa"/>
            </w:tcMar>
            <w:hideMark/>
          </w:tcPr>
          <w:p w14:paraId="70368BAC" w14:textId="77777777" w:rsidR="000B762C" w:rsidRDefault="000B762C">
            <w:pPr>
              <w:spacing w:after="0" w:line="360" w:lineRule="auto"/>
              <w:ind w:right="4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The calibration range specified in the method is from 0.5 ng/ml to 100 ng/ml using GC-MS. This is equivalent to 5.0 to 1000 ng/g of sample. The PAH content of tobacco products was determined by extracting the tobacco with methanol followed by solid-phase extraction (SPE) prior to gas chromatography/mass spectrometric analysis.</w:t>
            </w:r>
          </w:p>
          <w:p w14:paraId="77992AC9" w14:textId="77777777" w:rsidR="000B762C" w:rsidRDefault="000B762C">
            <w:pPr>
              <w:spacing w:after="0"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Naphthalene by GC-MS</w:t>
            </w:r>
          </w:p>
          <w:p w14:paraId="4A0B5109" w14:textId="77777777" w:rsidR="000B762C" w:rsidRDefault="000B762C">
            <w:pPr>
              <w:spacing w:after="0" w:line="360" w:lineRule="auto"/>
              <w:ind w:right="4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0.25 g of tobacco was extracted into 15 mL of methanol. A solution of mixed internal standards was </w:t>
            </w:r>
            <w:proofErr w:type="gramStart"/>
            <w:r>
              <w:rPr>
                <w:rFonts w:ascii="Times New Roman" w:eastAsia="Times New Roman" w:hAnsi="Times New Roman" w:cs="Times New Roman"/>
                <w:color w:val="000000" w:themeColor="text1"/>
                <w:sz w:val="20"/>
                <w:szCs w:val="20"/>
              </w:rPr>
              <w:t>added</w:t>
            </w:r>
            <w:proofErr w:type="gramEnd"/>
            <w:r>
              <w:rPr>
                <w:rFonts w:ascii="Times New Roman" w:eastAsia="Times New Roman" w:hAnsi="Times New Roman" w:cs="Times New Roman"/>
                <w:color w:val="000000" w:themeColor="text1"/>
                <w:sz w:val="20"/>
                <w:szCs w:val="20"/>
              </w:rPr>
              <w:t xml:space="preserve"> and the samples were shaken for 30 minutes, followed by centrifugation if necessary. The extracts were </w:t>
            </w:r>
            <w:r>
              <w:rPr>
                <w:rFonts w:ascii="Times New Roman" w:eastAsia="Times New Roman" w:hAnsi="Times New Roman" w:cs="Times New Roman"/>
                <w:color w:val="000000" w:themeColor="text1"/>
                <w:sz w:val="20"/>
                <w:szCs w:val="20"/>
              </w:rPr>
              <w:lastRenderedPageBreak/>
              <w:t xml:space="preserve">then filtered and analyzed by GC-MS. The concentrations of the analytes were determined using an internal standard and are reported on a </w:t>
            </w:r>
            <w:proofErr w:type="spellStart"/>
            <w:r>
              <w:rPr>
                <w:rFonts w:ascii="Times New Roman" w:eastAsia="Times New Roman" w:hAnsi="Times New Roman" w:cs="Times New Roman"/>
                <w:color w:val="000000" w:themeColor="text1"/>
                <w:sz w:val="20"/>
                <w:szCs w:val="20"/>
              </w:rPr>
              <w:t>μg</w:t>
            </w:r>
            <w:proofErr w:type="spellEnd"/>
            <w:r>
              <w:rPr>
                <w:rFonts w:ascii="Times New Roman" w:eastAsia="Times New Roman" w:hAnsi="Times New Roman" w:cs="Times New Roman"/>
                <w:color w:val="000000" w:themeColor="text1"/>
                <w:sz w:val="20"/>
                <w:szCs w:val="20"/>
              </w:rPr>
              <w:t>/g basis.</w:t>
            </w:r>
          </w:p>
        </w:tc>
      </w:tr>
    </w:tbl>
    <w:p w14:paraId="7AAB7F1D" w14:textId="77777777" w:rsidR="000B762C" w:rsidRDefault="000B762C" w:rsidP="000B762C">
      <w:pPr>
        <w:spacing w:after="0" w:line="360" w:lineRule="auto"/>
        <w:jc w:val="both"/>
        <w:rPr>
          <w:rFonts w:ascii="Times New Roman" w:eastAsia="Times New Roman" w:hAnsi="Times New Roman" w:cs="Times New Roman"/>
          <w:color w:val="000000" w:themeColor="text1"/>
          <w:sz w:val="20"/>
          <w:szCs w:val="20"/>
        </w:rPr>
      </w:pPr>
    </w:p>
    <w:p w14:paraId="203867CF" w14:textId="77777777" w:rsidR="000B762C" w:rsidRDefault="000B762C" w:rsidP="000B762C">
      <w:pPr>
        <w:spacing w:line="36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br w:type="page"/>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00" w:firstRow="0" w:lastRow="0" w:firstColumn="0" w:lastColumn="0" w:noHBand="0" w:noVBand="1"/>
      </w:tblPr>
      <w:tblGrid>
        <w:gridCol w:w="788"/>
        <w:gridCol w:w="4004"/>
        <w:gridCol w:w="1786"/>
        <w:gridCol w:w="690"/>
        <w:gridCol w:w="701"/>
        <w:gridCol w:w="690"/>
        <w:gridCol w:w="701"/>
      </w:tblGrid>
      <w:tr w:rsidR="000B762C" w14:paraId="43641639" w14:textId="77777777" w:rsidTr="000B762C">
        <w:trPr>
          <w:jc w:val="center"/>
        </w:trPr>
        <w:tc>
          <w:tcPr>
            <w:tcW w:w="0" w:type="auto"/>
            <w:gridSpan w:val="7"/>
            <w:tcBorders>
              <w:top w:val="nil"/>
              <w:left w:val="nil"/>
              <w:bottom w:val="single" w:sz="4" w:space="0" w:color="666666"/>
              <w:right w:val="nil"/>
            </w:tcBorders>
            <w:vAlign w:val="center"/>
            <w:hideMark/>
          </w:tcPr>
          <w:sdt>
            <w:sdtPr>
              <w:rPr>
                <w:rFonts w:ascii="Times New Roman" w:hAnsi="Times New Roman" w:cs="Times New Roman"/>
                <w:b w:val="0"/>
                <w:color w:val="000000" w:themeColor="text1"/>
                <w:sz w:val="20"/>
                <w:szCs w:val="20"/>
              </w:rPr>
              <w:tag w:val="goog_rdk_1"/>
              <w:id w:val="1365174874"/>
            </w:sdtPr>
            <w:sdtContent>
              <w:p w14:paraId="2EF335CF" w14:textId="77777777" w:rsidR="000B762C" w:rsidRDefault="000B762C">
                <w:pPr>
                  <w:pStyle w:val="Heading2"/>
                  <w:spacing w:before="0" w:line="360" w:lineRule="auto"/>
                  <w:ind w:right="40"/>
                  <w:jc w:val="center"/>
                  <w:rPr>
                    <w:rFonts w:ascii="Times New Roman" w:eastAsia="Times New Roman" w:hAnsi="Times New Roman" w:cs="Times New Roman"/>
                    <w:b w:val="0"/>
                    <w:color w:val="000000" w:themeColor="text1"/>
                    <w:sz w:val="20"/>
                    <w:szCs w:val="20"/>
                  </w:rPr>
                </w:pPr>
                <w:r>
                  <w:rPr>
                    <w:rFonts w:ascii="Times New Roman" w:eastAsia="Times New Roman" w:hAnsi="Times New Roman" w:cs="Times New Roman"/>
                    <w:color w:val="000000" w:themeColor="text1"/>
                    <w:sz w:val="20"/>
                    <w:szCs w:val="20"/>
                  </w:rPr>
                  <w:t>Table S.3: Limit of Detection and Limit of Quantitation of Measured Components</w:t>
                </w:r>
              </w:p>
            </w:sdtContent>
          </w:sdt>
        </w:tc>
      </w:tr>
      <w:tr w:rsidR="000B762C" w14:paraId="2C0EB2E7" w14:textId="77777777" w:rsidTr="000B762C">
        <w:trPr>
          <w:trHeight w:val="346"/>
          <w:jc w:val="center"/>
        </w:trPr>
        <w:tc>
          <w:tcPr>
            <w:tcW w:w="0" w:type="auto"/>
            <w:vMerge w:val="restart"/>
            <w:tcBorders>
              <w:top w:val="single" w:sz="4" w:space="0" w:color="666666"/>
              <w:left w:val="single" w:sz="4" w:space="0" w:color="666666"/>
              <w:bottom w:val="single" w:sz="4" w:space="0" w:color="666666"/>
              <w:right w:val="single" w:sz="4" w:space="0" w:color="666666"/>
            </w:tcBorders>
            <w:vAlign w:val="center"/>
            <w:hideMark/>
          </w:tcPr>
          <w:p w14:paraId="71B5623E"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Sr. No</w:t>
            </w:r>
          </w:p>
        </w:tc>
        <w:tc>
          <w:tcPr>
            <w:tcW w:w="0" w:type="auto"/>
            <w:vMerge w:val="restart"/>
            <w:tcBorders>
              <w:top w:val="single" w:sz="4" w:space="0" w:color="666666"/>
              <w:left w:val="single" w:sz="4" w:space="0" w:color="666666"/>
              <w:bottom w:val="single" w:sz="4" w:space="0" w:color="666666"/>
              <w:right w:val="single" w:sz="4" w:space="0" w:color="666666"/>
            </w:tcBorders>
            <w:vAlign w:val="center"/>
            <w:hideMark/>
          </w:tcPr>
          <w:p w14:paraId="5686E70C"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Chemical Name</w:t>
            </w:r>
          </w:p>
        </w:tc>
        <w:tc>
          <w:tcPr>
            <w:tcW w:w="0" w:type="auto"/>
            <w:vMerge w:val="restart"/>
            <w:tcBorders>
              <w:top w:val="single" w:sz="4" w:space="0" w:color="666666"/>
              <w:left w:val="single" w:sz="4" w:space="0" w:color="666666"/>
              <w:bottom w:val="single" w:sz="4" w:space="0" w:color="666666"/>
              <w:right w:val="single" w:sz="4" w:space="0" w:color="666666"/>
            </w:tcBorders>
            <w:vAlign w:val="center"/>
            <w:hideMark/>
          </w:tcPr>
          <w:p w14:paraId="105AA163"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 xml:space="preserve">Structure </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FEE0743"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LOD</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9998D4C"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LOQ</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2CE9578"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LOD</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A48F5E9" w14:textId="77777777" w:rsidR="000B762C" w:rsidRDefault="000B762C">
            <w:pPr>
              <w:spacing w:line="360" w:lineRule="auto"/>
              <w:ind w:right="40"/>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LOQ</w:t>
            </w:r>
          </w:p>
        </w:tc>
      </w:tr>
      <w:tr w:rsidR="000B762C" w14:paraId="270AEB0D" w14:textId="77777777" w:rsidTr="000B762C">
        <w:trPr>
          <w:trHeight w:val="215"/>
          <w:jc w:val="center"/>
        </w:trPr>
        <w:tc>
          <w:tcPr>
            <w:tcW w:w="0" w:type="auto"/>
            <w:vMerge/>
            <w:tcBorders>
              <w:top w:val="single" w:sz="4" w:space="0" w:color="666666"/>
              <w:left w:val="single" w:sz="4" w:space="0" w:color="666666"/>
              <w:bottom w:val="single" w:sz="4" w:space="0" w:color="666666"/>
              <w:right w:val="single" w:sz="4" w:space="0" w:color="666666"/>
            </w:tcBorders>
            <w:vAlign w:val="center"/>
            <w:hideMark/>
          </w:tcPr>
          <w:p w14:paraId="4AF217CB" w14:textId="77777777" w:rsidR="000B762C" w:rsidRDefault="000B762C">
            <w:pPr>
              <w:spacing w:after="0"/>
              <w:rPr>
                <w:rFonts w:ascii="Times New Roman" w:eastAsia="Times New Roman" w:hAnsi="Times New Roman" w:cs="Times New Roman"/>
                <w:b/>
                <w:color w:val="000000" w:themeColor="text1"/>
                <w:sz w:val="20"/>
                <w:szCs w:val="20"/>
              </w:rPr>
            </w:pPr>
          </w:p>
        </w:tc>
        <w:tc>
          <w:tcPr>
            <w:tcW w:w="0" w:type="auto"/>
            <w:vMerge/>
            <w:tcBorders>
              <w:top w:val="single" w:sz="4" w:space="0" w:color="666666"/>
              <w:left w:val="single" w:sz="4" w:space="0" w:color="666666"/>
              <w:bottom w:val="single" w:sz="4" w:space="0" w:color="666666"/>
              <w:right w:val="single" w:sz="4" w:space="0" w:color="666666"/>
            </w:tcBorders>
            <w:vAlign w:val="center"/>
            <w:hideMark/>
          </w:tcPr>
          <w:p w14:paraId="44879259" w14:textId="77777777" w:rsidR="000B762C" w:rsidRDefault="000B762C">
            <w:pPr>
              <w:spacing w:after="0"/>
              <w:rPr>
                <w:rFonts w:ascii="Times New Roman" w:eastAsia="Times New Roman" w:hAnsi="Times New Roman" w:cs="Times New Roman"/>
                <w:b/>
                <w:color w:val="000000" w:themeColor="text1"/>
                <w:sz w:val="20"/>
                <w:szCs w:val="20"/>
              </w:rPr>
            </w:pPr>
          </w:p>
        </w:tc>
        <w:tc>
          <w:tcPr>
            <w:tcW w:w="0" w:type="auto"/>
            <w:vMerge/>
            <w:tcBorders>
              <w:top w:val="single" w:sz="4" w:space="0" w:color="666666"/>
              <w:left w:val="single" w:sz="4" w:space="0" w:color="666666"/>
              <w:bottom w:val="single" w:sz="4" w:space="0" w:color="666666"/>
              <w:right w:val="single" w:sz="4" w:space="0" w:color="666666"/>
            </w:tcBorders>
            <w:vAlign w:val="center"/>
            <w:hideMark/>
          </w:tcPr>
          <w:p w14:paraId="200644BD" w14:textId="77777777" w:rsidR="000B762C" w:rsidRDefault="000B762C">
            <w:pPr>
              <w:spacing w:after="0"/>
              <w:rPr>
                <w:rFonts w:ascii="Times New Roman" w:eastAsia="Times New Roman" w:hAnsi="Times New Roman" w:cs="Times New Roman"/>
                <w:b/>
                <w:color w:val="000000" w:themeColor="text1"/>
                <w:sz w:val="20"/>
                <w:szCs w:val="20"/>
              </w:rPr>
            </w:pPr>
          </w:p>
        </w:tc>
        <w:tc>
          <w:tcPr>
            <w:tcW w:w="0" w:type="auto"/>
            <w:gridSpan w:val="2"/>
            <w:tcBorders>
              <w:top w:val="single" w:sz="4" w:space="0" w:color="666666"/>
              <w:left w:val="single" w:sz="4" w:space="0" w:color="666666"/>
              <w:bottom w:val="single" w:sz="4" w:space="0" w:color="666666"/>
              <w:right w:val="single" w:sz="4" w:space="0" w:color="666666"/>
            </w:tcBorders>
            <w:vAlign w:val="center"/>
            <w:hideMark/>
          </w:tcPr>
          <w:p w14:paraId="2B87C96C" w14:textId="77777777" w:rsidR="000B762C" w:rsidRDefault="000B762C">
            <w:pPr>
              <w:spacing w:line="360" w:lineRule="auto"/>
              <w:ind w:right="4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(LAB B)</w:t>
            </w:r>
          </w:p>
        </w:tc>
        <w:tc>
          <w:tcPr>
            <w:tcW w:w="0" w:type="auto"/>
            <w:gridSpan w:val="2"/>
            <w:tcBorders>
              <w:top w:val="single" w:sz="4" w:space="0" w:color="666666"/>
              <w:left w:val="single" w:sz="4" w:space="0" w:color="666666"/>
              <w:bottom w:val="single" w:sz="4" w:space="0" w:color="666666"/>
              <w:right w:val="single" w:sz="4" w:space="0" w:color="666666"/>
            </w:tcBorders>
            <w:vAlign w:val="center"/>
            <w:hideMark/>
          </w:tcPr>
          <w:p w14:paraId="13470802" w14:textId="77777777" w:rsidR="000B762C" w:rsidRDefault="000B762C">
            <w:pPr>
              <w:spacing w:line="360" w:lineRule="auto"/>
              <w:ind w:right="40"/>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(LAB A)</w:t>
            </w:r>
          </w:p>
        </w:tc>
      </w:tr>
      <w:tr w:rsidR="000B762C" w14:paraId="4B810BAA"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68E81FA5" w14:textId="77777777" w:rsidR="000B762C" w:rsidRDefault="000B762C" w:rsidP="00591628">
            <w:pPr>
              <w:numPr>
                <w:ilvl w:val="0"/>
                <w:numId w:val="1"/>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C12F98C"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color w:val="000000" w:themeColor="text1"/>
                <w:sz w:val="16"/>
                <w:szCs w:val="16"/>
              </w:rPr>
              <w:t>Nitrosamines (ng/g)</w:t>
            </w:r>
          </w:p>
        </w:tc>
        <w:tc>
          <w:tcPr>
            <w:tcW w:w="0" w:type="auto"/>
            <w:tcBorders>
              <w:top w:val="single" w:sz="4" w:space="0" w:color="666666"/>
              <w:left w:val="single" w:sz="4" w:space="0" w:color="666666"/>
              <w:bottom w:val="single" w:sz="4" w:space="0" w:color="666666"/>
              <w:right w:val="single" w:sz="4" w:space="0" w:color="666666"/>
            </w:tcBorders>
            <w:vAlign w:val="center"/>
          </w:tcPr>
          <w:p w14:paraId="6EFC4C51"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p>
        </w:tc>
        <w:tc>
          <w:tcPr>
            <w:tcW w:w="0" w:type="auto"/>
            <w:gridSpan w:val="4"/>
            <w:tcBorders>
              <w:top w:val="single" w:sz="4" w:space="0" w:color="666666"/>
              <w:left w:val="single" w:sz="4" w:space="0" w:color="666666"/>
              <w:bottom w:val="single" w:sz="4" w:space="0" w:color="666666"/>
              <w:right w:val="single" w:sz="4" w:space="0" w:color="666666"/>
            </w:tcBorders>
            <w:vAlign w:val="center"/>
            <w:hideMark/>
          </w:tcPr>
          <w:p w14:paraId="6008C52C" w14:textId="77777777" w:rsidR="000B762C" w:rsidRDefault="000B762C">
            <w:pPr>
              <w:spacing w:line="360" w:lineRule="auto"/>
              <w:jc w:val="center"/>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color w:val="000000" w:themeColor="text1"/>
                <w:sz w:val="16"/>
                <w:szCs w:val="16"/>
              </w:rPr>
              <w:t>ng/g (dry weight basis)</w:t>
            </w:r>
          </w:p>
        </w:tc>
      </w:tr>
      <w:tr w:rsidR="000B762C" w14:paraId="14FE2E02"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30A95B11" w14:textId="77777777" w:rsidR="000B762C" w:rsidRDefault="000B762C" w:rsidP="00591628">
            <w:pPr>
              <w:numPr>
                <w:ilvl w:val="0"/>
                <w:numId w:val="2"/>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C175AA3"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Tobacco Specific Nitrosamines</w:t>
            </w:r>
          </w:p>
        </w:tc>
        <w:tc>
          <w:tcPr>
            <w:tcW w:w="0" w:type="auto"/>
            <w:tcBorders>
              <w:top w:val="single" w:sz="4" w:space="0" w:color="666666"/>
              <w:left w:val="single" w:sz="4" w:space="0" w:color="666666"/>
              <w:bottom w:val="single" w:sz="4" w:space="0" w:color="666666"/>
              <w:right w:val="single" w:sz="4" w:space="0" w:color="666666"/>
            </w:tcBorders>
            <w:vAlign w:val="center"/>
          </w:tcPr>
          <w:p w14:paraId="56FD19A6"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46CDC7A7"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5F711D0B"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117424DD"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2FB6DB0C"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r>
      <w:tr w:rsidR="000B762C" w14:paraId="701857D0"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7637C39D"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458436A" w14:textId="77777777" w:rsidR="000B762C" w:rsidRDefault="000B762C">
            <w:pPr>
              <w:spacing w:line="360" w:lineRule="auto"/>
              <w:jc w:val="both"/>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Nitrosoanabasine</w:t>
            </w:r>
            <w:proofErr w:type="spellEnd"/>
            <w:r>
              <w:rPr>
                <w:rFonts w:ascii="Times New Roman" w:eastAsia="Times New Roman" w:hAnsi="Times New Roman" w:cs="Times New Roman"/>
                <w:color w:val="000000" w:themeColor="text1"/>
                <w:sz w:val="16"/>
                <w:szCs w:val="16"/>
              </w:rPr>
              <w:t xml:space="preserve"> (NAB)</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91F0A34"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color w:val="000000" w:themeColor="text1"/>
                <w:sz w:val="16"/>
                <w:szCs w:val="16"/>
              </w:rPr>
              <w:object w:dxaOrig="1455" w:dyaOrig="690" w14:anchorId="042C3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pt;height:34.5pt" o:ole="">
                  <v:imagedata r:id="rId5" o:title=""/>
                </v:shape>
                <o:OLEObject Type="Embed" ProgID="PBrush" ShapeID="_x0000_i1025" DrawAspect="Content" ObjectID="_1742905696" r:id="rId6"/>
              </w:objec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6D75EC9"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F5BFC1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6E2EB99"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31.0</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A75465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103</w:t>
            </w:r>
          </w:p>
        </w:tc>
      </w:tr>
      <w:tr w:rsidR="000B762C" w14:paraId="6B037D12"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70EDA917"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87CD229"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4-(N-</w:t>
            </w:r>
            <w:proofErr w:type="spellStart"/>
            <w:r>
              <w:rPr>
                <w:rFonts w:ascii="Times New Roman" w:eastAsia="Times New Roman" w:hAnsi="Times New Roman" w:cs="Times New Roman"/>
                <w:color w:val="000000" w:themeColor="text1"/>
                <w:sz w:val="16"/>
                <w:szCs w:val="16"/>
              </w:rPr>
              <w:t>nitrosomethylamino</w:t>
            </w:r>
            <w:proofErr w:type="spellEnd"/>
            <w:r>
              <w:rPr>
                <w:rFonts w:ascii="Times New Roman" w:eastAsia="Times New Roman" w:hAnsi="Times New Roman" w:cs="Times New Roman"/>
                <w:color w:val="000000" w:themeColor="text1"/>
                <w:sz w:val="16"/>
                <w:szCs w:val="16"/>
              </w:rPr>
              <w:t>)-1- (3-pyridyl)-1-butanone (NNK)</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7976403" w14:textId="4F582308"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2E495408" wp14:editId="3FDAFE3C">
                  <wp:extent cx="971550" cy="704850"/>
                  <wp:effectExtent l="0" t="0" r="0" b="0"/>
                  <wp:docPr id="15" name="Picture 15" descr="NNK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NNK - Wiki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7048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5E476E5"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8B204A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06A9114" w14:textId="77777777" w:rsidR="000B762C" w:rsidRDefault="000B762C">
            <w:pPr>
              <w:spacing w:line="360" w:lineRule="auto"/>
              <w:jc w:val="both"/>
              <w:rPr>
                <w:rFonts w:ascii="Times New Roman" w:eastAsia="Times New Roman" w:hAnsi="Times New Roman" w:cs="Times New Roman"/>
                <w:i/>
                <w:color w:val="000000" w:themeColor="text1"/>
                <w:sz w:val="16"/>
                <w:szCs w:val="16"/>
              </w:rPr>
            </w:pPr>
            <w:r>
              <w:rPr>
                <w:rFonts w:ascii="Times New Roman" w:eastAsia="Times New Roman" w:hAnsi="Times New Roman" w:cs="Times New Roman"/>
                <w:color w:val="000000" w:themeColor="text1"/>
                <w:sz w:val="16"/>
                <w:szCs w:val="16"/>
              </w:rPr>
              <w:t>81.5</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34C8E7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272</w:t>
            </w:r>
          </w:p>
        </w:tc>
      </w:tr>
      <w:tr w:rsidR="000B762C" w14:paraId="49E16002"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7FE1FAB2"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B5B72E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w:t>
            </w:r>
            <w:proofErr w:type="spellStart"/>
            <w:r>
              <w:rPr>
                <w:rFonts w:ascii="Times New Roman" w:eastAsia="Times New Roman" w:hAnsi="Times New Roman" w:cs="Times New Roman"/>
                <w:color w:val="000000" w:themeColor="text1"/>
                <w:sz w:val="16"/>
                <w:szCs w:val="16"/>
              </w:rPr>
              <w:t>Nitrosonornicotine</w:t>
            </w:r>
            <w:proofErr w:type="spellEnd"/>
            <w:r>
              <w:rPr>
                <w:rFonts w:ascii="Times New Roman" w:eastAsia="Times New Roman" w:hAnsi="Times New Roman" w:cs="Times New Roman"/>
                <w:color w:val="000000" w:themeColor="text1"/>
                <w:sz w:val="16"/>
                <w:szCs w:val="16"/>
              </w:rPr>
              <w:t xml:space="preserve"> (NNN)</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E52F117" w14:textId="2AEF1C7A" w:rsidR="000B762C" w:rsidRDefault="000B762C">
            <w:pPr>
              <w:spacing w:line="360" w:lineRule="auto"/>
              <w:ind w:right="40"/>
              <w:jc w:val="both"/>
              <w:rPr>
                <w:rFonts w:ascii="Times New Roman" w:eastAsia="Times New Roman" w:hAnsi="Times New Roman" w:cs="Times New Roman"/>
                <w:noProof/>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4E29795E" wp14:editId="2C5A9ABD">
                  <wp:extent cx="895350" cy="450850"/>
                  <wp:effectExtent l="0" t="0" r="0" b="6350"/>
                  <wp:docPr id="14" name="Picture 14" descr="N-nitrosonornicotine-2D-skeleta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nitrosonornicotine-2D-skeletal.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4508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EF7C08A"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3.27</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1A26F63"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13.1</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F97E92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54.0</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1D956BD"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180</w:t>
            </w:r>
          </w:p>
        </w:tc>
      </w:tr>
      <w:tr w:rsidR="000B762C" w14:paraId="4A5D133A"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662D1447" w14:textId="77777777" w:rsidR="000B762C" w:rsidRDefault="000B762C" w:rsidP="00591628">
            <w:pPr>
              <w:numPr>
                <w:ilvl w:val="0"/>
                <w:numId w:val="2"/>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A6FC2A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Volatile Nitrosamines</w:t>
            </w:r>
          </w:p>
        </w:tc>
        <w:tc>
          <w:tcPr>
            <w:tcW w:w="0" w:type="auto"/>
            <w:tcBorders>
              <w:top w:val="single" w:sz="4" w:space="0" w:color="666666"/>
              <w:left w:val="single" w:sz="4" w:space="0" w:color="666666"/>
              <w:bottom w:val="single" w:sz="4" w:space="0" w:color="666666"/>
              <w:right w:val="single" w:sz="4" w:space="0" w:color="666666"/>
            </w:tcBorders>
            <w:vAlign w:val="center"/>
          </w:tcPr>
          <w:p w14:paraId="5C8C73B6"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133FF98B"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1854F69B"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0E855920"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2CB8D8AC"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r>
      <w:tr w:rsidR="000B762C" w14:paraId="175228A6"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6FB7829E"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E1ACC79"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NDMA</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5233F83" w14:textId="30B1BDF8"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2821E969" wp14:editId="47E82A76">
                  <wp:extent cx="819150" cy="381000"/>
                  <wp:effectExtent l="0" t="0" r="0" b="0"/>
                  <wp:docPr id="13" name="Picture 13" descr="1 Structure of N-Nitrosodimethylamine (NDMA).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1 Structure of N-Nitrosodimethylamine (NDMA). | Download Scientific Dia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38100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4483A5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1.70</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1F1F1F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9DC87F2"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0.863</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C580204"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2.88</w:t>
            </w:r>
          </w:p>
        </w:tc>
      </w:tr>
      <w:tr w:rsidR="000B762C" w14:paraId="5C83E120"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45EE2FF0"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DB1D68A"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NPIP</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A80497F" w14:textId="5CDF4147"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380427F4" wp14:editId="68ECBB6D">
                  <wp:extent cx="812800" cy="476250"/>
                  <wp:effectExtent l="0" t="0" r="6350" b="0"/>
                  <wp:docPr id="12" name="Picture 12" descr="1-Nitrosopiperidine storage temp. 2-8°C | Sigma-Ald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1-Nitrosopiperidine storage temp. 2-8°C | Sigma-Aldri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2800" cy="4762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6904D0C"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3.32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8E8C33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496DAF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0.861</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A5C2854"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2.87</w:t>
            </w:r>
          </w:p>
        </w:tc>
      </w:tr>
      <w:tr w:rsidR="000B762C" w14:paraId="3C89FAD9"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4A6074D2"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16E813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NPYR</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7600E85" w14:textId="7AE0EEBD"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127D8812" wp14:editId="7F0B985C">
                  <wp:extent cx="622300" cy="381000"/>
                  <wp:effectExtent l="0" t="0" r="6350" b="0"/>
                  <wp:docPr id="11" name="Picture 11" descr="1-Nitrosopyrrolidine 99% | Sigma-Ald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1-Nitrosopyrrolidine 99% | Sigma-Aldri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300" cy="38100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B19E1C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AF66FF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B335D2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C8A9BDC"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4.72</w:t>
            </w:r>
          </w:p>
        </w:tc>
      </w:tr>
      <w:tr w:rsidR="000B762C" w14:paraId="65BAB182"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14692BF4"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1C7F04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NMOR</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E5AB0D0" w14:textId="285C66F4"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74D9D880" wp14:editId="66FD8ECE">
                  <wp:extent cx="838200" cy="400050"/>
                  <wp:effectExtent l="0" t="0" r="0" b="0"/>
                  <wp:docPr id="10" name="Picture 10" descr="Nitrosomorpholine | 59-89-2 | Sigma-Ald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Nitrosomorpholine | 59-89-2 | Sigma-Aldri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4000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83DD22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4.35</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6B53EE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239DD2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0.436</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0E53F5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1.45</w:t>
            </w:r>
          </w:p>
        </w:tc>
      </w:tr>
      <w:tr w:rsidR="000B762C" w14:paraId="66FF18D8"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4638B313"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83ABA7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NSAR (N-</w:t>
            </w:r>
            <w:proofErr w:type="spellStart"/>
            <w:r>
              <w:rPr>
                <w:rFonts w:ascii="Times New Roman" w:eastAsia="Times New Roman" w:hAnsi="Times New Roman" w:cs="Times New Roman"/>
                <w:color w:val="000000" w:themeColor="text1"/>
                <w:sz w:val="16"/>
                <w:szCs w:val="16"/>
              </w:rPr>
              <w:t>Nitrososarcosine</w:t>
            </w:r>
            <w:proofErr w:type="spellEnd"/>
            <w:r>
              <w:rPr>
                <w:rFonts w:ascii="Times New Roman" w:eastAsia="Times New Roman" w:hAnsi="Times New Roman" w:cs="Times New Roman"/>
                <w:color w:val="000000" w:themeColor="text1"/>
                <w:sz w:val="16"/>
                <w:szCs w:val="16"/>
              </w:rPr>
              <w:t>)</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0113E67" w14:textId="121D0EED"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noProof/>
                <w:color w:val="000000" w:themeColor="text1"/>
                <w:sz w:val="16"/>
                <w:szCs w:val="16"/>
                <w:lang w:val="en-IN" w:eastAsia="en-IN"/>
              </w:rPr>
              <w:drawing>
                <wp:inline distT="0" distB="0" distL="0" distR="0" wp14:anchorId="6453AF04" wp14:editId="40D3A2E5">
                  <wp:extent cx="927100" cy="495300"/>
                  <wp:effectExtent l="0" t="0" r="6350" b="0"/>
                  <wp:docPr id="9" name="Picture 9" descr="N-NITROSOSARCOSINE | 13256-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gif" descr="N-NITROSOSARCOSINE | 13256-2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100" cy="49530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093CBF6"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43.2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1046E5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130</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209CE82"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0.782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D440EF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2.61</w:t>
            </w:r>
          </w:p>
        </w:tc>
      </w:tr>
      <w:tr w:rsidR="000B762C" w14:paraId="14312A2E"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6369097B"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F9DACEB"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 xml:space="preserve">NDELA </w:t>
            </w:r>
          </w:p>
          <w:p w14:paraId="6EFF8929"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(N-Nitroso Alkanolamines)</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C3DE945"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color w:val="000000" w:themeColor="text1"/>
                <w:sz w:val="16"/>
                <w:szCs w:val="16"/>
              </w:rPr>
              <w:object w:dxaOrig="1050" w:dyaOrig="735" w14:anchorId="796E2ADB">
                <v:shape id="_x0000_i1033" type="#_x0000_t75" style="width:52.5pt;height:37pt" o:ole="">
                  <v:imagedata r:id="rId14" o:title=""/>
                </v:shape>
                <o:OLEObject Type="Embed" ProgID="PBrush" ShapeID="_x0000_i1033" DrawAspect="Content" ObjectID="_1742905697" r:id="rId15"/>
              </w:objec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E2AF42D"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202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0E642B4"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605</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C99E3DB"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0.599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6C73B0D"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2.00</w:t>
            </w:r>
          </w:p>
        </w:tc>
      </w:tr>
      <w:tr w:rsidR="000B762C" w14:paraId="0526CA10"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3D2BF2FD" w14:textId="77777777" w:rsidR="000B762C" w:rsidRDefault="000B762C" w:rsidP="00591628">
            <w:pPr>
              <w:numPr>
                <w:ilvl w:val="0"/>
                <w:numId w:val="1"/>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gridSpan w:val="2"/>
            <w:tcBorders>
              <w:top w:val="single" w:sz="4" w:space="0" w:color="666666"/>
              <w:left w:val="single" w:sz="4" w:space="0" w:color="666666"/>
              <w:bottom w:val="single" w:sz="4" w:space="0" w:color="666666"/>
              <w:right w:val="single" w:sz="4" w:space="0" w:color="666666"/>
            </w:tcBorders>
            <w:vAlign w:val="center"/>
            <w:hideMark/>
          </w:tcPr>
          <w:p w14:paraId="5A15AA4D" w14:textId="77777777" w:rsidR="000B762C" w:rsidRDefault="000B762C">
            <w:pPr>
              <w:spacing w:line="360" w:lineRule="auto"/>
              <w:ind w:right="40"/>
              <w:jc w:val="both"/>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color w:val="000000" w:themeColor="text1"/>
                <w:sz w:val="16"/>
                <w:szCs w:val="16"/>
              </w:rPr>
              <w:t>Polyaromatic Hydrocarbons (ng/g)</w:t>
            </w:r>
          </w:p>
        </w:tc>
        <w:tc>
          <w:tcPr>
            <w:tcW w:w="0" w:type="auto"/>
            <w:tcBorders>
              <w:top w:val="single" w:sz="4" w:space="0" w:color="666666"/>
              <w:left w:val="single" w:sz="4" w:space="0" w:color="666666"/>
              <w:bottom w:val="single" w:sz="4" w:space="0" w:color="666666"/>
              <w:right w:val="single" w:sz="4" w:space="0" w:color="666666"/>
            </w:tcBorders>
            <w:vAlign w:val="center"/>
          </w:tcPr>
          <w:p w14:paraId="0C333660"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23B9B1A8"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25E13706"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tcPr>
          <w:p w14:paraId="4C08B579" w14:textId="77777777" w:rsidR="000B762C" w:rsidRDefault="000B762C">
            <w:pPr>
              <w:spacing w:line="360" w:lineRule="auto"/>
              <w:jc w:val="both"/>
              <w:rPr>
                <w:rFonts w:ascii="Times New Roman" w:eastAsia="Times New Roman" w:hAnsi="Times New Roman" w:cs="Times New Roman"/>
                <w:color w:val="000000" w:themeColor="text1"/>
                <w:sz w:val="16"/>
                <w:szCs w:val="16"/>
              </w:rPr>
            </w:pPr>
          </w:p>
        </w:tc>
      </w:tr>
      <w:tr w:rsidR="000B762C" w14:paraId="09DA82F1" w14:textId="77777777" w:rsidTr="000B762C">
        <w:trPr>
          <w:trHeight w:val="503"/>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3C2278E4"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1849BB2" w14:textId="77777777"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Naphthalene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755BF7A" w14:textId="214ADACC"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126EFDCF" wp14:editId="263A2FDC">
                  <wp:extent cx="831850" cy="400050"/>
                  <wp:effectExtent l="0" t="0" r="6350" b="0"/>
                  <wp:docPr id="8" name="Picture 8" descr="Naphthalene - REGENESIS Remediation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Naphthalene - REGENESIS Remediation Soluti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1850" cy="4000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F9F6D8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316</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23AD04E"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948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556138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0.063</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2372D8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0.210</w:t>
            </w:r>
          </w:p>
        </w:tc>
      </w:tr>
      <w:tr w:rsidR="000B762C" w14:paraId="3CB08C7D"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1EDE046F"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65CE89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Benzo(a)anthracene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553F9FD" w14:textId="37F72653"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470BB78E" wp14:editId="39FCF2B0">
                  <wp:extent cx="895350" cy="412750"/>
                  <wp:effectExtent l="0" t="0" r="0" b="6350"/>
                  <wp:docPr id="7" name="Picture 7" descr="Benz(a)anthrace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Benz(a)anthracene - Wikipe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4127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1AA58E5"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F2117F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6.43</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3A04EB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0.046</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7F8BE7D"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0.152</w:t>
            </w:r>
          </w:p>
        </w:tc>
      </w:tr>
      <w:tr w:rsidR="000B762C" w14:paraId="1C7631E9"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5C0A7166"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7AD35AA"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Chrysene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AF08BE7" w14:textId="67ACCE30"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278D95C2" wp14:editId="04CDD68F">
                  <wp:extent cx="831850" cy="400050"/>
                  <wp:effectExtent l="0" t="0" r="6350" b="0"/>
                  <wp:docPr id="6" name="Picture 6" descr="Chryse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Chrysene - Wikiped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1850" cy="4000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9341242"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DAD32D6"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6.35</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88412D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0.029</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DD26B96"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0.097</w:t>
            </w:r>
          </w:p>
        </w:tc>
      </w:tr>
      <w:tr w:rsidR="000B762C" w14:paraId="636E864C"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7D657801"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8B9BFB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Benzo(b)fluoranthene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8FBB08F" w14:textId="0F398149"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7DB6FEC7" wp14:editId="7EA807A0">
                  <wp:extent cx="908050" cy="450850"/>
                  <wp:effectExtent l="0" t="0" r="6350" b="6350"/>
                  <wp:docPr id="5" name="Picture 5" descr="Benzo[b]fluoranthene analytical standard | 3,4-Benzofluoranthene |  Sigma-Ald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Benzo[b]fluoranthene analytical standard | 3,4-Benzofluoranthene |  Sigma-Aldri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8050" cy="4508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AB12DD2"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A37C34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484A791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0.106</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C145785"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0.352</w:t>
            </w:r>
          </w:p>
        </w:tc>
      </w:tr>
      <w:tr w:rsidR="000B762C" w14:paraId="0D39DFD7"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2222EA8D"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08CEE0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Benzo(k)fluoranthene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9935A7B" w14:textId="2A160CD4"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7059072F" wp14:editId="484C16DE">
                  <wp:extent cx="971550" cy="431800"/>
                  <wp:effectExtent l="0" t="0" r="0" b="6350"/>
                  <wp:docPr id="4" name="Picture 4" descr="Benzo(k)fluoranthe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Benzo(k)fluoranthene - Wikiped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1550" cy="43180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502EA6A"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BE7B42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6.34</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2F73F9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0.074</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24F74A0"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0.247</w:t>
            </w:r>
          </w:p>
        </w:tc>
      </w:tr>
      <w:tr w:rsidR="000B762C" w14:paraId="1A5F9AB7"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004CFA0D"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4216804"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Benzo(a)pyrene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30A02A23" w14:textId="6437C36C"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22758FAF" wp14:editId="1FA6FCAA">
                  <wp:extent cx="952500" cy="469900"/>
                  <wp:effectExtent l="0" t="0" r="0" b="6350"/>
                  <wp:docPr id="3" name="Picture 3" descr="Benzo(a)pyre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Benzo(a)pyrene - Wikipe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46990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0B7D49EC"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089A7F7"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6.42</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BFDA8A4"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0.066</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6D3B635B"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0.221</w:t>
            </w:r>
          </w:p>
        </w:tc>
      </w:tr>
      <w:tr w:rsidR="000B762C" w14:paraId="3821CA2A"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60BF0D4F"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C6E7DB2" w14:textId="77777777" w:rsidR="000B762C" w:rsidRDefault="000B762C">
            <w:pPr>
              <w:spacing w:line="360" w:lineRule="auto"/>
              <w:jc w:val="both"/>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Indeno</w:t>
            </w:r>
            <w:proofErr w:type="spellEnd"/>
            <w:r>
              <w:rPr>
                <w:rFonts w:ascii="Times New Roman" w:eastAsia="Times New Roman" w:hAnsi="Times New Roman" w:cs="Times New Roman"/>
                <w:color w:val="000000" w:themeColor="text1"/>
                <w:sz w:val="16"/>
                <w:szCs w:val="16"/>
              </w:rPr>
              <w:t>(1,2,3-</w:t>
            </w:r>
            <w:proofErr w:type="gramStart"/>
            <w:r>
              <w:rPr>
                <w:rFonts w:ascii="Times New Roman" w:eastAsia="Times New Roman" w:hAnsi="Times New Roman" w:cs="Times New Roman"/>
                <w:color w:val="000000" w:themeColor="text1"/>
                <w:sz w:val="16"/>
                <w:szCs w:val="16"/>
              </w:rPr>
              <w:t>cd)pyrene</w:t>
            </w:r>
            <w:proofErr w:type="gramEnd"/>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5D8E204" w14:textId="01632AD4"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1315FEEC" wp14:editId="3B3F2B0B">
                  <wp:extent cx="831850" cy="412750"/>
                  <wp:effectExtent l="0" t="0" r="6350" b="6350"/>
                  <wp:docPr id="2" name="Picture 2" descr="File:Indeno(1,2,3-cd)pyrene 200.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File:Indeno(1,2,3-cd)pyrene 200.svg - Wikimedia Common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1850" cy="4127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C6390C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2B761D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6.34</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0314CB3"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0.063</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1E582F78"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0.211</w:t>
            </w:r>
          </w:p>
        </w:tc>
      </w:tr>
      <w:tr w:rsidR="000B762C" w14:paraId="214761C4" w14:textId="77777777" w:rsidTr="000B762C">
        <w:trPr>
          <w:jc w:val="center"/>
        </w:trPr>
        <w:tc>
          <w:tcPr>
            <w:tcW w:w="0" w:type="auto"/>
            <w:tcBorders>
              <w:top w:val="single" w:sz="4" w:space="0" w:color="666666"/>
              <w:left w:val="single" w:sz="4" w:space="0" w:color="666666"/>
              <w:bottom w:val="single" w:sz="4" w:space="0" w:color="666666"/>
              <w:right w:val="single" w:sz="4" w:space="0" w:color="666666"/>
            </w:tcBorders>
            <w:vAlign w:val="center"/>
          </w:tcPr>
          <w:p w14:paraId="0355703F" w14:textId="77777777" w:rsidR="000B762C" w:rsidRDefault="000B762C" w:rsidP="00591628">
            <w:pPr>
              <w:numPr>
                <w:ilvl w:val="0"/>
                <w:numId w:val="3"/>
              </w:numPr>
              <w:spacing w:after="0" w:line="360" w:lineRule="auto"/>
              <w:ind w:right="40"/>
              <w:jc w:val="both"/>
              <w:rPr>
                <w:rFonts w:ascii="Times New Roman" w:eastAsia="Times New Roman" w:hAnsi="Times New Roman" w:cs="Times New Roman"/>
                <w:color w:val="000000" w:themeColor="text1"/>
                <w:sz w:val="16"/>
                <w:szCs w:val="16"/>
              </w:rPr>
            </w:pP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FBFE332" w14:textId="77777777" w:rsidR="000B762C" w:rsidRDefault="000B762C">
            <w:pPr>
              <w:spacing w:line="360" w:lineRule="auto"/>
              <w:jc w:val="both"/>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Dibenz</w:t>
            </w:r>
            <w:proofErr w:type="spellEnd"/>
            <w:r>
              <w:rPr>
                <w:rFonts w:ascii="Times New Roman" w:eastAsia="Times New Roman" w:hAnsi="Times New Roman" w:cs="Times New Roman"/>
                <w:color w:val="000000" w:themeColor="text1"/>
                <w:sz w:val="16"/>
                <w:szCs w:val="16"/>
              </w:rPr>
              <w:t>(</w:t>
            </w:r>
            <w:proofErr w:type="spellStart"/>
            <w:proofErr w:type="gramStart"/>
            <w:r>
              <w:rPr>
                <w:rFonts w:ascii="Times New Roman" w:eastAsia="Times New Roman" w:hAnsi="Times New Roman" w:cs="Times New Roman"/>
                <w:color w:val="000000" w:themeColor="text1"/>
                <w:sz w:val="16"/>
                <w:szCs w:val="16"/>
              </w:rPr>
              <w:t>a,h</w:t>
            </w:r>
            <w:proofErr w:type="spellEnd"/>
            <w:proofErr w:type="gramEnd"/>
            <w:r>
              <w:rPr>
                <w:rFonts w:ascii="Times New Roman" w:eastAsia="Times New Roman" w:hAnsi="Times New Roman" w:cs="Times New Roman"/>
                <w:color w:val="000000" w:themeColor="text1"/>
                <w:sz w:val="16"/>
                <w:szCs w:val="16"/>
              </w:rPr>
              <w:t>)anthracene</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7F7BEBD9" w14:textId="1CE2C10E" w:rsidR="000B762C" w:rsidRDefault="000B762C">
            <w:pPr>
              <w:spacing w:line="360" w:lineRule="auto"/>
              <w:ind w:right="40"/>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noProof/>
                <w:color w:val="000000" w:themeColor="text1"/>
                <w:sz w:val="16"/>
                <w:szCs w:val="16"/>
                <w:lang w:val="en-IN" w:eastAsia="en-IN"/>
              </w:rPr>
              <w:drawing>
                <wp:inline distT="0" distB="0" distL="0" distR="0" wp14:anchorId="4DE16F1D" wp14:editId="09304C10">
                  <wp:extent cx="812800" cy="488950"/>
                  <wp:effectExtent l="0" t="0" r="6350" b="6350"/>
                  <wp:docPr id="1" name="Picture 1" descr="Dibenz a h anthrac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descr="Dibenz a h anthracen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2800" cy="488950"/>
                          </a:xfrm>
                          <a:prstGeom prst="rect">
                            <a:avLst/>
                          </a:prstGeom>
                          <a:noFill/>
                          <a:ln>
                            <a:noFill/>
                          </a:ln>
                        </pic:spPr>
                      </pic:pic>
                    </a:graphicData>
                  </a:graphic>
                </wp:inline>
              </w:drawing>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013F052"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27F769CF"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6.38</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9A2F2E1"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0.077</w:t>
            </w:r>
          </w:p>
        </w:tc>
        <w:tc>
          <w:tcPr>
            <w:tcW w:w="0" w:type="auto"/>
            <w:tcBorders>
              <w:top w:val="single" w:sz="4" w:space="0" w:color="666666"/>
              <w:left w:val="single" w:sz="4" w:space="0" w:color="666666"/>
              <w:bottom w:val="single" w:sz="4" w:space="0" w:color="666666"/>
              <w:right w:val="single" w:sz="4" w:space="0" w:color="666666"/>
            </w:tcBorders>
            <w:vAlign w:val="center"/>
            <w:hideMark/>
          </w:tcPr>
          <w:p w14:paraId="5B4C82EB" w14:textId="77777777" w:rsidR="000B762C" w:rsidRDefault="000B762C">
            <w:pPr>
              <w:spacing w:line="360" w:lineRule="auto"/>
              <w:jc w:val="both"/>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0.258</w:t>
            </w:r>
          </w:p>
        </w:tc>
      </w:tr>
    </w:tbl>
    <w:p w14:paraId="4A7E615D" w14:textId="77777777" w:rsidR="000B762C" w:rsidRDefault="000B762C" w:rsidP="000B762C">
      <w:pPr>
        <w:rPr>
          <w:rFonts w:ascii="Times New Roman" w:eastAsia="Times New Roman" w:hAnsi="Times New Roman" w:cs="Times New Roman"/>
          <w:color w:val="000000" w:themeColor="text1"/>
          <w:sz w:val="20"/>
          <w:szCs w:val="20"/>
        </w:rPr>
      </w:pPr>
    </w:p>
    <w:p w14:paraId="6D69F95C" w14:textId="77777777" w:rsidR="000B762C" w:rsidRDefault="000B762C" w:rsidP="000B762C">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br w:type="page"/>
      </w:r>
    </w:p>
    <w:tbl>
      <w:tblPr>
        <w:tblW w:w="901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719"/>
        <w:gridCol w:w="1345"/>
        <w:gridCol w:w="3330"/>
        <w:gridCol w:w="3621"/>
      </w:tblGrid>
      <w:tr w:rsidR="000B762C" w14:paraId="57A8A9ED" w14:textId="77777777" w:rsidTr="000B762C">
        <w:tc>
          <w:tcPr>
            <w:tcW w:w="9016" w:type="dxa"/>
            <w:gridSpan w:val="4"/>
            <w:tcBorders>
              <w:top w:val="nil"/>
              <w:left w:val="nil"/>
              <w:bottom w:val="single" w:sz="4" w:space="0" w:color="666666"/>
              <w:right w:val="nil"/>
            </w:tcBorders>
            <w:hideMark/>
          </w:tcPr>
          <w:p w14:paraId="159030B1" w14:textId="77777777" w:rsidR="000B762C" w:rsidRDefault="000B762C">
            <w:pPr>
              <w:spacing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Table S.4: Order of Constituents based on Mean Value </w:t>
            </w:r>
            <w:r>
              <w:rPr>
                <w:rFonts w:ascii="Times New Roman" w:hAnsi="Times New Roman" w:cs="Times New Roman"/>
                <w:b/>
                <w:sz w:val="20"/>
                <w:szCs w:val="20"/>
              </w:rPr>
              <w:t>(Ranges of Concentration in Descending manner)</w:t>
            </w:r>
          </w:p>
        </w:tc>
      </w:tr>
      <w:tr w:rsidR="000B762C" w14:paraId="4C8435F0" w14:textId="77777777" w:rsidTr="000B762C">
        <w:tc>
          <w:tcPr>
            <w:tcW w:w="720" w:type="dxa"/>
            <w:tcBorders>
              <w:top w:val="single" w:sz="4" w:space="0" w:color="666666"/>
              <w:left w:val="single" w:sz="4" w:space="0" w:color="666666"/>
              <w:bottom w:val="single" w:sz="4" w:space="0" w:color="666666"/>
              <w:right w:val="single" w:sz="4" w:space="0" w:color="666666"/>
            </w:tcBorders>
          </w:tcPr>
          <w:p w14:paraId="7C8BC8B4" w14:textId="77777777" w:rsidR="000B762C" w:rsidRDefault="000B762C">
            <w:pPr>
              <w:spacing w:line="360" w:lineRule="auto"/>
              <w:jc w:val="both"/>
              <w:rPr>
                <w:rFonts w:ascii="Times New Roman" w:eastAsia="Times New Roman" w:hAnsi="Times New Roman" w:cs="Times New Roman"/>
                <w:b/>
                <w:sz w:val="16"/>
                <w:szCs w:val="16"/>
              </w:rPr>
            </w:pPr>
          </w:p>
        </w:tc>
        <w:tc>
          <w:tcPr>
            <w:tcW w:w="1345" w:type="dxa"/>
            <w:tcBorders>
              <w:top w:val="single" w:sz="4" w:space="0" w:color="666666"/>
              <w:left w:val="single" w:sz="4" w:space="0" w:color="666666"/>
              <w:bottom w:val="single" w:sz="4" w:space="0" w:color="666666"/>
              <w:right w:val="single" w:sz="4" w:space="0" w:color="666666"/>
            </w:tcBorders>
          </w:tcPr>
          <w:p w14:paraId="199F98E7" w14:textId="77777777" w:rsidR="000B762C" w:rsidRDefault="000B762C">
            <w:pPr>
              <w:spacing w:line="360" w:lineRule="auto"/>
              <w:jc w:val="both"/>
              <w:rPr>
                <w:rFonts w:ascii="Times New Roman" w:eastAsia="Times New Roman" w:hAnsi="Times New Roman" w:cs="Times New Roman"/>
                <w:b/>
                <w:sz w:val="16"/>
                <w:szCs w:val="16"/>
              </w:rPr>
            </w:pPr>
          </w:p>
        </w:tc>
        <w:tc>
          <w:tcPr>
            <w:tcW w:w="3330" w:type="dxa"/>
            <w:tcBorders>
              <w:top w:val="single" w:sz="4" w:space="0" w:color="666666"/>
              <w:left w:val="single" w:sz="4" w:space="0" w:color="666666"/>
              <w:bottom w:val="single" w:sz="4" w:space="0" w:color="666666"/>
              <w:right w:val="single" w:sz="4" w:space="0" w:color="666666"/>
            </w:tcBorders>
            <w:hideMark/>
          </w:tcPr>
          <w:p w14:paraId="1AB9A4F8" w14:textId="77777777" w:rsidR="000B762C" w:rsidRDefault="000B762C">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Lab A</w:t>
            </w:r>
          </w:p>
        </w:tc>
        <w:tc>
          <w:tcPr>
            <w:tcW w:w="3621" w:type="dxa"/>
            <w:tcBorders>
              <w:top w:val="single" w:sz="4" w:space="0" w:color="666666"/>
              <w:left w:val="single" w:sz="4" w:space="0" w:color="666666"/>
              <w:bottom w:val="single" w:sz="4" w:space="0" w:color="666666"/>
              <w:right w:val="single" w:sz="4" w:space="0" w:color="666666"/>
            </w:tcBorders>
            <w:hideMark/>
          </w:tcPr>
          <w:p w14:paraId="5EFA89C5" w14:textId="77777777" w:rsidR="000B762C" w:rsidRDefault="000B762C">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Lab B</w:t>
            </w:r>
          </w:p>
        </w:tc>
      </w:tr>
      <w:tr w:rsidR="000B762C" w14:paraId="129CF136"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07161D3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NNK</w:t>
            </w:r>
          </w:p>
        </w:tc>
        <w:tc>
          <w:tcPr>
            <w:tcW w:w="1345" w:type="dxa"/>
            <w:tcBorders>
              <w:top w:val="single" w:sz="4" w:space="0" w:color="666666"/>
              <w:left w:val="single" w:sz="4" w:space="0" w:color="666666"/>
              <w:bottom w:val="single" w:sz="4" w:space="0" w:color="666666"/>
              <w:right w:val="single" w:sz="4" w:space="0" w:color="666666"/>
            </w:tcBorders>
            <w:hideMark/>
          </w:tcPr>
          <w:p w14:paraId="766AB4F1"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76AC811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SMH &gt; MMH &gt; MGT &gt; HGT &gt; Rest all values are NQ</w:t>
            </w:r>
          </w:p>
        </w:tc>
        <w:tc>
          <w:tcPr>
            <w:tcW w:w="3621" w:type="dxa"/>
            <w:tcBorders>
              <w:top w:val="single" w:sz="4" w:space="0" w:color="666666"/>
              <w:left w:val="single" w:sz="4" w:space="0" w:color="666666"/>
              <w:bottom w:val="single" w:sz="4" w:space="0" w:color="666666"/>
              <w:right w:val="single" w:sz="4" w:space="0" w:color="666666"/>
            </w:tcBorders>
            <w:hideMark/>
          </w:tcPr>
          <w:p w14:paraId="52E0BC19"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BSN &gt; HKH &gt; MGT &gt; MKH &gt; HGT &gt; SKH &gt; SPT &gt; MPT &gt; HPT &gt; HMH.</w:t>
            </w:r>
          </w:p>
        </w:tc>
      </w:tr>
      <w:tr w:rsidR="000B762C" w14:paraId="36A41025"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29DE6E3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NAB</w:t>
            </w:r>
          </w:p>
        </w:tc>
        <w:tc>
          <w:tcPr>
            <w:tcW w:w="1345" w:type="dxa"/>
            <w:tcBorders>
              <w:top w:val="single" w:sz="4" w:space="0" w:color="666666"/>
              <w:left w:val="single" w:sz="4" w:space="0" w:color="666666"/>
              <w:bottom w:val="single" w:sz="4" w:space="0" w:color="666666"/>
              <w:right w:val="single" w:sz="4" w:space="0" w:color="666666"/>
            </w:tcBorders>
            <w:hideMark/>
          </w:tcPr>
          <w:p w14:paraId="55365C3D"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217D757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MMH &gt; SMH &gt; HKH &gt; SKH &gt; MKH &gt; MGT &gt; HGT, BSN, MPT= NQ &gt; HPT, SPT=ND</w:t>
            </w:r>
          </w:p>
        </w:tc>
        <w:tc>
          <w:tcPr>
            <w:tcW w:w="3621" w:type="dxa"/>
            <w:tcBorders>
              <w:top w:val="single" w:sz="4" w:space="0" w:color="666666"/>
              <w:left w:val="single" w:sz="4" w:space="0" w:color="666666"/>
              <w:bottom w:val="single" w:sz="4" w:space="0" w:color="666666"/>
              <w:right w:val="single" w:sz="4" w:space="0" w:color="666666"/>
            </w:tcBorders>
            <w:hideMark/>
          </w:tcPr>
          <w:p w14:paraId="65101FE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SMH &gt; MMH &gt; SKH &gt; MKH &gt; HKH &gt; BSN &gt; MGT &gt; HGT &gt; SPT &gt; MPT &gt; HPT = NQ</w:t>
            </w:r>
          </w:p>
        </w:tc>
      </w:tr>
      <w:tr w:rsidR="000B762C" w14:paraId="294E38A4"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4F0C3C9F"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NNN</w:t>
            </w:r>
          </w:p>
        </w:tc>
        <w:tc>
          <w:tcPr>
            <w:tcW w:w="1345" w:type="dxa"/>
            <w:tcBorders>
              <w:top w:val="single" w:sz="4" w:space="0" w:color="666666"/>
              <w:left w:val="single" w:sz="4" w:space="0" w:color="666666"/>
              <w:bottom w:val="single" w:sz="4" w:space="0" w:color="666666"/>
              <w:right w:val="single" w:sz="4" w:space="0" w:color="666666"/>
            </w:tcBorders>
            <w:hideMark/>
          </w:tcPr>
          <w:p w14:paraId="237E9028"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496D13B1"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MMH &gt; SMH &gt; HKH &gt; SKH &gt; BSN &gt; MKH &gt; MGT &gt; HGT &gt; SPT &gt; MPT &gt; HPT</w:t>
            </w:r>
          </w:p>
        </w:tc>
        <w:tc>
          <w:tcPr>
            <w:tcW w:w="3621" w:type="dxa"/>
            <w:tcBorders>
              <w:top w:val="single" w:sz="4" w:space="0" w:color="666666"/>
              <w:left w:val="single" w:sz="4" w:space="0" w:color="666666"/>
              <w:bottom w:val="single" w:sz="4" w:space="0" w:color="666666"/>
              <w:right w:val="single" w:sz="4" w:space="0" w:color="666666"/>
            </w:tcBorders>
            <w:hideMark/>
          </w:tcPr>
          <w:p w14:paraId="789939E0"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SMH &gt; MMH &gt; SKH &gt; MKH &gt; BSN &gt; HKH &gt; HGT &gt; MGT &gt; SPT &gt; MPT &gt; HPT</w:t>
            </w:r>
          </w:p>
        </w:tc>
      </w:tr>
      <w:tr w:rsidR="000B762C" w14:paraId="0F9716BD"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38DFC591"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NDELA</w:t>
            </w:r>
          </w:p>
        </w:tc>
        <w:tc>
          <w:tcPr>
            <w:tcW w:w="1345" w:type="dxa"/>
            <w:tcBorders>
              <w:top w:val="single" w:sz="4" w:space="0" w:color="666666"/>
              <w:left w:val="single" w:sz="4" w:space="0" w:color="666666"/>
              <w:bottom w:val="single" w:sz="4" w:space="0" w:color="666666"/>
              <w:right w:val="single" w:sz="4" w:space="0" w:color="666666"/>
            </w:tcBorders>
            <w:hideMark/>
          </w:tcPr>
          <w:p w14:paraId="7BAB2B48"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70A860AA"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&gt; HMH &gt; MGT &gt; BSN &gt; MPT &gt; SMH &gt; HPT &gt; SKH &gt; HGT &gt; SPT = HKH = MKH = NQ</w:t>
            </w:r>
          </w:p>
        </w:tc>
        <w:tc>
          <w:tcPr>
            <w:tcW w:w="3621" w:type="dxa"/>
            <w:tcBorders>
              <w:top w:val="single" w:sz="4" w:space="0" w:color="666666"/>
              <w:left w:val="single" w:sz="4" w:space="0" w:color="666666"/>
              <w:bottom w:val="single" w:sz="4" w:space="0" w:color="666666"/>
              <w:right w:val="single" w:sz="4" w:space="0" w:color="666666"/>
            </w:tcBorders>
            <w:hideMark/>
          </w:tcPr>
          <w:p w14:paraId="06914F2D"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All values are NQ and/ or ND.</w:t>
            </w:r>
          </w:p>
        </w:tc>
      </w:tr>
      <w:tr w:rsidR="000B762C" w14:paraId="3AA4DDEF"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32501CA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NSAR</w:t>
            </w:r>
          </w:p>
        </w:tc>
        <w:tc>
          <w:tcPr>
            <w:tcW w:w="1345" w:type="dxa"/>
            <w:tcBorders>
              <w:top w:val="single" w:sz="4" w:space="0" w:color="666666"/>
              <w:left w:val="single" w:sz="4" w:space="0" w:color="666666"/>
              <w:bottom w:val="single" w:sz="4" w:space="0" w:color="666666"/>
              <w:right w:val="single" w:sz="4" w:space="0" w:color="666666"/>
            </w:tcBorders>
            <w:hideMark/>
          </w:tcPr>
          <w:p w14:paraId="46677A19"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lower to higher</w:t>
            </w:r>
          </w:p>
        </w:tc>
        <w:tc>
          <w:tcPr>
            <w:tcW w:w="3330" w:type="dxa"/>
            <w:tcBorders>
              <w:top w:val="single" w:sz="4" w:space="0" w:color="666666"/>
              <w:left w:val="single" w:sz="4" w:space="0" w:color="666666"/>
              <w:bottom w:val="single" w:sz="4" w:space="0" w:color="666666"/>
              <w:right w:val="single" w:sz="4" w:space="0" w:color="666666"/>
            </w:tcBorders>
            <w:hideMark/>
          </w:tcPr>
          <w:p w14:paraId="0AC3E59B"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SPT &lt; MPT &lt; HGT &lt; MGT &lt; BSN &lt; SKH &lt; MMH &lt; SMH &lt; HMH</w:t>
            </w:r>
          </w:p>
        </w:tc>
        <w:tc>
          <w:tcPr>
            <w:tcW w:w="3621" w:type="dxa"/>
            <w:tcBorders>
              <w:top w:val="single" w:sz="4" w:space="0" w:color="666666"/>
              <w:left w:val="single" w:sz="4" w:space="0" w:color="666666"/>
              <w:bottom w:val="single" w:sz="4" w:space="0" w:color="666666"/>
              <w:right w:val="single" w:sz="4" w:space="0" w:color="666666"/>
            </w:tcBorders>
            <w:hideMark/>
          </w:tcPr>
          <w:p w14:paraId="184C1A9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&lt; SMH &lt; HMH. Rest all values are NQ and/ or ND.</w:t>
            </w:r>
          </w:p>
        </w:tc>
      </w:tr>
      <w:tr w:rsidR="000B762C" w14:paraId="2228513A"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61E2F3D0"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NDMA</w:t>
            </w:r>
          </w:p>
        </w:tc>
        <w:tc>
          <w:tcPr>
            <w:tcW w:w="1345" w:type="dxa"/>
            <w:tcBorders>
              <w:top w:val="single" w:sz="4" w:space="0" w:color="666666"/>
              <w:left w:val="single" w:sz="4" w:space="0" w:color="666666"/>
              <w:bottom w:val="single" w:sz="4" w:space="0" w:color="666666"/>
              <w:right w:val="single" w:sz="4" w:space="0" w:color="666666"/>
            </w:tcBorders>
            <w:hideMark/>
          </w:tcPr>
          <w:p w14:paraId="5AB0522B"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394D332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HMH &gt; SMH &gt; MKH &gt; MMH &gt; HGT &gt; MPT &gt; BSN &gt; SPT &gt; MGT &gt; SKH &gt; HPT </w:t>
            </w:r>
          </w:p>
        </w:tc>
        <w:tc>
          <w:tcPr>
            <w:tcW w:w="3621" w:type="dxa"/>
            <w:tcBorders>
              <w:top w:val="single" w:sz="4" w:space="0" w:color="666666"/>
              <w:left w:val="single" w:sz="4" w:space="0" w:color="666666"/>
              <w:bottom w:val="single" w:sz="4" w:space="0" w:color="666666"/>
              <w:right w:val="single" w:sz="4" w:space="0" w:color="666666"/>
            </w:tcBorders>
            <w:hideMark/>
          </w:tcPr>
          <w:p w14:paraId="61AF6E5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Rest all values are NQ and/ or ND.</w:t>
            </w:r>
          </w:p>
        </w:tc>
      </w:tr>
      <w:tr w:rsidR="000B762C" w14:paraId="02684187"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7FC0E73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NPYR</w:t>
            </w:r>
          </w:p>
        </w:tc>
        <w:tc>
          <w:tcPr>
            <w:tcW w:w="1345" w:type="dxa"/>
            <w:tcBorders>
              <w:top w:val="single" w:sz="4" w:space="0" w:color="666666"/>
              <w:left w:val="single" w:sz="4" w:space="0" w:color="666666"/>
              <w:bottom w:val="single" w:sz="4" w:space="0" w:color="666666"/>
              <w:right w:val="single" w:sz="4" w:space="0" w:color="666666"/>
            </w:tcBorders>
            <w:hideMark/>
          </w:tcPr>
          <w:p w14:paraId="26727428"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0FDEFA4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SMH &gt; MMH &gt; HKH &gt; MKH &gt; HPT &gt; Rest all values are ND</w:t>
            </w:r>
          </w:p>
        </w:tc>
        <w:tc>
          <w:tcPr>
            <w:tcW w:w="3621" w:type="dxa"/>
            <w:tcBorders>
              <w:top w:val="single" w:sz="4" w:space="0" w:color="666666"/>
              <w:left w:val="single" w:sz="4" w:space="0" w:color="666666"/>
              <w:bottom w:val="single" w:sz="4" w:space="0" w:color="666666"/>
              <w:right w:val="single" w:sz="4" w:space="0" w:color="666666"/>
            </w:tcBorders>
            <w:hideMark/>
          </w:tcPr>
          <w:p w14:paraId="78341DCD"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MMH &gt; SMH &gt; SKH &gt; rest all values are NQ and/ or ND.</w:t>
            </w:r>
          </w:p>
        </w:tc>
      </w:tr>
      <w:tr w:rsidR="000B762C" w14:paraId="5B3D8632"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74A69BDA"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NAP</w:t>
            </w:r>
          </w:p>
        </w:tc>
        <w:tc>
          <w:tcPr>
            <w:tcW w:w="1345" w:type="dxa"/>
            <w:tcBorders>
              <w:top w:val="single" w:sz="4" w:space="0" w:color="666666"/>
              <w:left w:val="single" w:sz="4" w:space="0" w:color="666666"/>
              <w:bottom w:val="single" w:sz="4" w:space="0" w:color="666666"/>
              <w:right w:val="single" w:sz="4" w:space="0" w:color="666666"/>
            </w:tcBorders>
            <w:hideMark/>
          </w:tcPr>
          <w:p w14:paraId="36B5E2CC"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7ACA8C8A"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&lt; HPT &lt; SPT &lt; HGT &lt; MGT &lt; MPT &lt; SMH &lt; MMH &lt; HKH &lt; SKH &lt; BSN &lt; MKH</w:t>
            </w:r>
          </w:p>
        </w:tc>
        <w:tc>
          <w:tcPr>
            <w:tcW w:w="3621" w:type="dxa"/>
            <w:tcBorders>
              <w:top w:val="single" w:sz="4" w:space="0" w:color="666666"/>
              <w:left w:val="single" w:sz="4" w:space="0" w:color="666666"/>
              <w:bottom w:val="single" w:sz="4" w:space="0" w:color="666666"/>
              <w:right w:val="single" w:sz="4" w:space="0" w:color="666666"/>
            </w:tcBorders>
            <w:hideMark/>
          </w:tcPr>
          <w:p w14:paraId="477E819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All values are NQ and/ or ND.</w:t>
            </w:r>
          </w:p>
        </w:tc>
      </w:tr>
      <w:tr w:rsidR="000B762C" w14:paraId="2E931E76"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625202EE"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BAA</w:t>
            </w:r>
          </w:p>
        </w:tc>
        <w:tc>
          <w:tcPr>
            <w:tcW w:w="1345" w:type="dxa"/>
            <w:tcBorders>
              <w:top w:val="single" w:sz="4" w:space="0" w:color="666666"/>
              <w:left w:val="single" w:sz="4" w:space="0" w:color="666666"/>
              <w:bottom w:val="single" w:sz="4" w:space="0" w:color="666666"/>
              <w:right w:val="single" w:sz="4" w:space="0" w:color="666666"/>
            </w:tcBorders>
            <w:hideMark/>
          </w:tcPr>
          <w:p w14:paraId="7F474B55"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6D220B24"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&gt; SMH &gt; HMH &gt; SPT &gt; HPT &gt; MPT &gt; MKH &gt; HKH = SKH &gt; HGT &gt; BSN &gt; MGT.</w:t>
            </w:r>
          </w:p>
        </w:tc>
        <w:tc>
          <w:tcPr>
            <w:tcW w:w="3621" w:type="dxa"/>
            <w:tcBorders>
              <w:top w:val="single" w:sz="4" w:space="0" w:color="666666"/>
              <w:left w:val="single" w:sz="4" w:space="0" w:color="666666"/>
              <w:bottom w:val="single" w:sz="4" w:space="0" w:color="666666"/>
              <w:right w:val="single" w:sz="4" w:space="0" w:color="666666"/>
            </w:tcBorders>
            <w:hideMark/>
          </w:tcPr>
          <w:p w14:paraId="4E12494E"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&gt; SMH &gt; HMH &gt; HPT &gt; HKH &gt; MPT &gt; SPT &gt; Rest all values are NQ</w:t>
            </w:r>
          </w:p>
        </w:tc>
      </w:tr>
      <w:tr w:rsidR="000B762C" w14:paraId="69B95E94"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5D0468A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CHY</w:t>
            </w:r>
          </w:p>
        </w:tc>
        <w:tc>
          <w:tcPr>
            <w:tcW w:w="1345" w:type="dxa"/>
            <w:tcBorders>
              <w:top w:val="single" w:sz="4" w:space="0" w:color="666666"/>
              <w:left w:val="single" w:sz="4" w:space="0" w:color="666666"/>
              <w:bottom w:val="single" w:sz="4" w:space="0" w:color="666666"/>
              <w:right w:val="single" w:sz="4" w:space="0" w:color="666666"/>
            </w:tcBorders>
            <w:hideMark/>
          </w:tcPr>
          <w:p w14:paraId="0D2F11E8"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61CE98D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&gt; SMH &gt; HMH &gt; SPT &gt; HPT &gt; MPT &gt; MKH &gt; HKH &gt; SKH &gt; BSN &gt; MGT &gt; HGT</w:t>
            </w:r>
          </w:p>
        </w:tc>
        <w:tc>
          <w:tcPr>
            <w:tcW w:w="3621" w:type="dxa"/>
            <w:tcBorders>
              <w:top w:val="single" w:sz="4" w:space="0" w:color="666666"/>
              <w:left w:val="single" w:sz="4" w:space="0" w:color="666666"/>
              <w:bottom w:val="single" w:sz="4" w:space="0" w:color="666666"/>
              <w:right w:val="single" w:sz="4" w:space="0" w:color="666666"/>
            </w:tcBorders>
            <w:hideMark/>
          </w:tcPr>
          <w:p w14:paraId="4DCA6CB6"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MMH &gt; SMH &gt; HMH &gt; HKH &gt; SKH &gt; HPT &gt; SPT &gt; MPT &gt; Rest all values are NQ</w:t>
            </w:r>
          </w:p>
        </w:tc>
      </w:tr>
      <w:tr w:rsidR="000B762C" w14:paraId="78FF28B1"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076E332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BBF</w:t>
            </w:r>
          </w:p>
        </w:tc>
        <w:tc>
          <w:tcPr>
            <w:tcW w:w="1345" w:type="dxa"/>
            <w:tcBorders>
              <w:top w:val="single" w:sz="4" w:space="0" w:color="666666"/>
              <w:left w:val="single" w:sz="4" w:space="0" w:color="666666"/>
              <w:bottom w:val="single" w:sz="4" w:space="0" w:color="666666"/>
              <w:right w:val="single" w:sz="4" w:space="0" w:color="666666"/>
            </w:tcBorders>
            <w:hideMark/>
          </w:tcPr>
          <w:p w14:paraId="29AD1B69"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7101667B"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HMH &gt; MMH &gt; SMH &gt; SKH &gt; HKH &gt; SPT &gt; MKH &gt; HPT &gt; BSN &gt; MPT &gt; MGT &gt; HGT</w:t>
            </w:r>
          </w:p>
        </w:tc>
        <w:tc>
          <w:tcPr>
            <w:tcW w:w="3621" w:type="dxa"/>
            <w:tcBorders>
              <w:top w:val="single" w:sz="4" w:space="0" w:color="666666"/>
              <w:left w:val="single" w:sz="4" w:space="0" w:color="666666"/>
              <w:bottom w:val="single" w:sz="4" w:space="0" w:color="666666"/>
              <w:right w:val="single" w:sz="4" w:space="0" w:color="666666"/>
            </w:tcBorders>
            <w:hideMark/>
          </w:tcPr>
          <w:p w14:paraId="5DC566A1"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Rest all values are NQ</w:t>
            </w:r>
          </w:p>
        </w:tc>
      </w:tr>
      <w:tr w:rsidR="000B762C" w14:paraId="4A1C4CA6"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6FC91851"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BKF</w:t>
            </w:r>
          </w:p>
        </w:tc>
        <w:tc>
          <w:tcPr>
            <w:tcW w:w="1345" w:type="dxa"/>
            <w:tcBorders>
              <w:top w:val="single" w:sz="4" w:space="0" w:color="666666"/>
              <w:left w:val="single" w:sz="4" w:space="0" w:color="666666"/>
              <w:bottom w:val="single" w:sz="4" w:space="0" w:color="666666"/>
              <w:right w:val="single" w:sz="4" w:space="0" w:color="666666"/>
            </w:tcBorders>
            <w:hideMark/>
          </w:tcPr>
          <w:p w14:paraId="10B6CBBF"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4FB31CA7"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SKH &gt; HKH &gt; SPT &gt; HPT &gt; MKH &gt; BSN &gt; MPT &gt; MGT &gt; HGT</w:t>
            </w:r>
          </w:p>
        </w:tc>
        <w:tc>
          <w:tcPr>
            <w:tcW w:w="3621" w:type="dxa"/>
            <w:tcBorders>
              <w:top w:val="single" w:sz="4" w:space="0" w:color="666666"/>
              <w:left w:val="single" w:sz="4" w:space="0" w:color="666666"/>
              <w:bottom w:val="single" w:sz="4" w:space="0" w:color="666666"/>
              <w:right w:val="single" w:sz="4" w:space="0" w:color="666666"/>
            </w:tcBorders>
            <w:hideMark/>
          </w:tcPr>
          <w:p w14:paraId="255F0A56"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Rest all values are NQ</w:t>
            </w:r>
          </w:p>
        </w:tc>
      </w:tr>
      <w:tr w:rsidR="000B762C" w14:paraId="32751C76"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3AB55A1E"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BAP</w:t>
            </w:r>
          </w:p>
        </w:tc>
        <w:tc>
          <w:tcPr>
            <w:tcW w:w="1345" w:type="dxa"/>
            <w:tcBorders>
              <w:top w:val="single" w:sz="4" w:space="0" w:color="666666"/>
              <w:left w:val="single" w:sz="4" w:space="0" w:color="666666"/>
              <w:bottom w:val="single" w:sz="4" w:space="0" w:color="666666"/>
              <w:right w:val="single" w:sz="4" w:space="0" w:color="666666"/>
            </w:tcBorders>
            <w:hideMark/>
          </w:tcPr>
          <w:p w14:paraId="5A4EF44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21FD6D22"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HKH &gt; SPT &gt; HPT &gt; SKH &gt; MPT &gt; MKH &gt; MGT = HGT &gt; BSN</w:t>
            </w:r>
          </w:p>
        </w:tc>
        <w:tc>
          <w:tcPr>
            <w:tcW w:w="3621" w:type="dxa"/>
            <w:tcBorders>
              <w:top w:val="single" w:sz="4" w:space="0" w:color="666666"/>
              <w:left w:val="single" w:sz="4" w:space="0" w:color="666666"/>
              <w:bottom w:val="single" w:sz="4" w:space="0" w:color="666666"/>
              <w:right w:val="single" w:sz="4" w:space="0" w:color="666666"/>
            </w:tcBorders>
            <w:hideMark/>
          </w:tcPr>
          <w:p w14:paraId="12506D13"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Rest all values are NQ</w:t>
            </w:r>
          </w:p>
        </w:tc>
      </w:tr>
      <w:tr w:rsidR="000B762C" w14:paraId="7CAA91CE"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51D1BB4D"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IPYR</w:t>
            </w:r>
          </w:p>
        </w:tc>
        <w:tc>
          <w:tcPr>
            <w:tcW w:w="1345" w:type="dxa"/>
            <w:tcBorders>
              <w:top w:val="single" w:sz="4" w:space="0" w:color="666666"/>
              <w:left w:val="single" w:sz="4" w:space="0" w:color="666666"/>
              <w:bottom w:val="single" w:sz="4" w:space="0" w:color="666666"/>
              <w:right w:val="single" w:sz="4" w:space="0" w:color="666666"/>
            </w:tcBorders>
            <w:hideMark/>
          </w:tcPr>
          <w:p w14:paraId="760B4A0B"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2A24765E"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MKH &gt; HKH &gt; SKH &gt; HPT &gt; SPT &gt; BSN &gt; MPT &gt; MGT &gt; HGT &gt; BSN</w:t>
            </w:r>
          </w:p>
        </w:tc>
        <w:tc>
          <w:tcPr>
            <w:tcW w:w="3621" w:type="dxa"/>
            <w:tcBorders>
              <w:top w:val="single" w:sz="4" w:space="0" w:color="666666"/>
              <w:left w:val="single" w:sz="4" w:space="0" w:color="666666"/>
              <w:bottom w:val="single" w:sz="4" w:space="0" w:color="666666"/>
              <w:right w:val="single" w:sz="4" w:space="0" w:color="666666"/>
            </w:tcBorders>
            <w:hideMark/>
          </w:tcPr>
          <w:p w14:paraId="53DDBD0E"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HMH &gt; Rest all values are ND</w:t>
            </w:r>
          </w:p>
        </w:tc>
      </w:tr>
      <w:tr w:rsidR="000B762C" w14:paraId="0F4B2311" w14:textId="77777777" w:rsidTr="000B762C">
        <w:tc>
          <w:tcPr>
            <w:tcW w:w="720" w:type="dxa"/>
            <w:tcBorders>
              <w:top w:val="single" w:sz="4" w:space="0" w:color="666666"/>
              <w:left w:val="single" w:sz="4" w:space="0" w:color="666666"/>
              <w:bottom w:val="single" w:sz="4" w:space="0" w:color="666666"/>
              <w:right w:val="single" w:sz="4" w:space="0" w:color="666666"/>
            </w:tcBorders>
            <w:hideMark/>
          </w:tcPr>
          <w:p w14:paraId="36A8963B"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DBAA</w:t>
            </w:r>
          </w:p>
        </w:tc>
        <w:tc>
          <w:tcPr>
            <w:tcW w:w="1345" w:type="dxa"/>
            <w:tcBorders>
              <w:top w:val="single" w:sz="4" w:space="0" w:color="666666"/>
              <w:left w:val="single" w:sz="4" w:space="0" w:color="666666"/>
              <w:bottom w:val="single" w:sz="4" w:space="0" w:color="666666"/>
              <w:right w:val="single" w:sz="4" w:space="0" w:color="666666"/>
            </w:tcBorders>
            <w:hideMark/>
          </w:tcPr>
          <w:p w14:paraId="7C981BCA"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higher to lower</w:t>
            </w:r>
          </w:p>
        </w:tc>
        <w:tc>
          <w:tcPr>
            <w:tcW w:w="3330" w:type="dxa"/>
            <w:tcBorders>
              <w:top w:val="single" w:sz="4" w:space="0" w:color="666666"/>
              <w:left w:val="single" w:sz="4" w:space="0" w:color="666666"/>
              <w:bottom w:val="single" w:sz="4" w:space="0" w:color="666666"/>
              <w:right w:val="single" w:sz="4" w:space="0" w:color="666666"/>
            </w:tcBorders>
            <w:hideMark/>
          </w:tcPr>
          <w:p w14:paraId="726F03B9"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SMH &gt; MMH &gt; HMH &gt; SPT &gt; HPT &gt; rest all values are NQ and or ND</w:t>
            </w:r>
          </w:p>
        </w:tc>
        <w:tc>
          <w:tcPr>
            <w:tcW w:w="3621" w:type="dxa"/>
            <w:tcBorders>
              <w:top w:val="single" w:sz="4" w:space="0" w:color="666666"/>
              <w:left w:val="single" w:sz="4" w:space="0" w:color="666666"/>
              <w:bottom w:val="single" w:sz="4" w:space="0" w:color="666666"/>
              <w:right w:val="single" w:sz="4" w:space="0" w:color="666666"/>
            </w:tcBorders>
            <w:hideMark/>
          </w:tcPr>
          <w:p w14:paraId="27EECD6A" w14:textId="77777777" w:rsidR="000B762C" w:rsidRDefault="000B762C">
            <w:pPr>
              <w:spacing w:line="36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All values are ND</w:t>
            </w:r>
          </w:p>
        </w:tc>
      </w:tr>
    </w:tbl>
    <w:p w14:paraId="508D088F" w14:textId="77777777" w:rsidR="000B762C" w:rsidRDefault="000B762C" w:rsidP="000B762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14:paraId="4D8E376E" w14:textId="77777777" w:rsidR="000B762C" w:rsidRDefault="000B762C" w:rsidP="000B762C">
      <w:pPr>
        <w:pStyle w:val="ListParagraph"/>
        <w:numPr>
          <w:ilvl w:val="0"/>
          <w:numId w:val="4"/>
        </w:numPr>
        <w:spacing w:line="276" w:lineRule="auto"/>
        <w:ind w:hanging="72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 xml:space="preserve">SOME MEASUREMENTS OF THE SAME SAMPLE SHOW LARGE DIFFERENCES WHEN DONE IN LAB A AND B. </w:t>
      </w:r>
    </w:p>
    <w:p w14:paraId="63F15CDD"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 xml:space="preserve">In the present study, test samples were analyzed at two different labs. </w:t>
      </w:r>
      <w:r>
        <w:rPr>
          <w:rFonts w:ascii="Times New Roman" w:hAnsi="Times New Roman" w:cs="Times New Roman"/>
          <w:color w:val="000000" w:themeColor="text1"/>
          <w:sz w:val="20"/>
          <w:szCs w:val="20"/>
          <w:shd w:val="clear" w:color="auto" w:fill="FFFFFF"/>
        </w:rPr>
        <w:t>The test </w:t>
      </w:r>
      <w:r>
        <w:rPr>
          <w:rFonts w:ascii="Times New Roman" w:hAnsi="Times New Roman" w:cs="Times New Roman"/>
          <w:bCs/>
          <w:color w:val="000000" w:themeColor="text1"/>
          <w:sz w:val="20"/>
          <w:szCs w:val="20"/>
          <w:shd w:val="clear" w:color="auto" w:fill="FFFFFF"/>
        </w:rPr>
        <w:t>results</w:t>
      </w:r>
      <w:r>
        <w:rPr>
          <w:rFonts w:ascii="Times New Roman" w:hAnsi="Times New Roman" w:cs="Times New Roman"/>
          <w:color w:val="000000" w:themeColor="text1"/>
          <w:sz w:val="20"/>
          <w:szCs w:val="20"/>
          <w:shd w:val="clear" w:color="auto" w:fill="FFFFFF"/>
        </w:rPr>
        <w:t> vary between </w:t>
      </w:r>
      <w:r>
        <w:rPr>
          <w:rFonts w:ascii="Times New Roman" w:hAnsi="Times New Roman" w:cs="Times New Roman"/>
          <w:bCs/>
          <w:color w:val="000000" w:themeColor="text1"/>
          <w:sz w:val="20"/>
          <w:szCs w:val="20"/>
          <w:shd w:val="clear" w:color="auto" w:fill="FFFFFF"/>
        </w:rPr>
        <w:t>labs</w:t>
      </w:r>
      <w:r>
        <w:rPr>
          <w:rFonts w:ascii="Times New Roman" w:hAnsi="Times New Roman" w:cs="Times New Roman"/>
          <w:color w:val="000000" w:themeColor="text1"/>
          <w:sz w:val="20"/>
          <w:szCs w:val="20"/>
          <w:shd w:val="clear" w:color="auto" w:fill="FFFFFF"/>
        </w:rPr>
        <w:t> to </w:t>
      </w:r>
      <w:r>
        <w:rPr>
          <w:rFonts w:ascii="Times New Roman" w:hAnsi="Times New Roman" w:cs="Times New Roman"/>
          <w:bCs/>
          <w:color w:val="000000" w:themeColor="text1"/>
          <w:sz w:val="20"/>
          <w:szCs w:val="20"/>
          <w:shd w:val="clear" w:color="auto" w:fill="FFFFFF"/>
        </w:rPr>
        <w:t>labs</w:t>
      </w:r>
      <w:r>
        <w:rPr>
          <w:rFonts w:ascii="Times New Roman" w:hAnsi="Times New Roman" w:cs="Times New Roman"/>
          <w:color w:val="000000" w:themeColor="text1"/>
          <w:sz w:val="20"/>
          <w:szCs w:val="20"/>
          <w:shd w:val="clear" w:color="auto" w:fill="FFFFFF"/>
        </w:rPr>
        <w:t>. It doesn't depend on the academics of </w:t>
      </w:r>
      <w:r>
        <w:rPr>
          <w:rFonts w:ascii="Times New Roman" w:hAnsi="Times New Roman" w:cs="Times New Roman"/>
          <w:bCs/>
          <w:color w:val="000000" w:themeColor="text1"/>
          <w:sz w:val="20"/>
          <w:szCs w:val="20"/>
          <w:shd w:val="clear" w:color="auto" w:fill="FFFFFF"/>
        </w:rPr>
        <w:t xml:space="preserve">different </w:t>
      </w:r>
      <w:proofErr w:type="gramStart"/>
      <w:r>
        <w:rPr>
          <w:rFonts w:ascii="Times New Roman" w:hAnsi="Times New Roman" w:cs="Times New Roman"/>
          <w:bCs/>
          <w:color w:val="000000" w:themeColor="text1"/>
          <w:sz w:val="20"/>
          <w:szCs w:val="20"/>
          <w:shd w:val="clear" w:color="auto" w:fill="FFFFFF"/>
        </w:rPr>
        <w:t>labs</w:t>
      </w:r>
      <w:proofErr w:type="gramEnd"/>
      <w:r>
        <w:rPr>
          <w:rFonts w:ascii="Times New Roman" w:hAnsi="Times New Roman" w:cs="Times New Roman"/>
          <w:color w:val="000000" w:themeColor="text1"/>
          <w:sz w:val="20"/>
          <w:szCs w:val="20"/>
          <w:shd w:val="clear" w:color="auto" w:fill="FFFFFF"/>
        </w:rPr>
        <w:t> but it is solely dependent on the </w:t>
      </w:r>
      <w:r>
        <w:rPr>
          <w:rFonts w:ascii="Times New Roman" w:hAnsi="Times New Roman" w:cs="Times New Roman"/>
          <w:bCs/>
          <w:color w:val="000000" w:themeColor="text1"/>
          <w:sz w:val="20"/>
          <w:szCs w:val="20"/>
          <w:shd w:val="clear" w:color="auto" w:fill="FFFFFF"/>
        </w:rPr>
        <w:t>different</w:t>
      </w:r>
      <w:r>
        <w:rPr>
          <w:rFonts w:ascii="Times New Roman" w:hAnsi="Times New Roman" w:cs="Times New Roman"/>
          <w:color w:val="000000" w:themeColor="text1"/>
          <w:sz w:val="20"/>
          <w:szCs w:val="20"/>
          <w:shd w:val="clear" w:color="auto" w:fill="FFFFFF"/>
        </w:rPr>
        <w:t> time points, some other variations, and importantly the calibration of </w:t>
      </w:r>
      <w:r>
        <w:rPr>
          <w:rFonts w:ascii="Times New Roman" w:hAnsi="Times New Roman" w:cs="Times New Roman"/>
          <w:bCs/>
          <w:color w:val="000000" w:themeColor="text1"/>
          <w:sz w:val="20"/>
          <w:szCs w:val="20"/>
          <w:shd w:val="clear" w:color="auto" w:fill="FFFFFF"/>
        </w:rPr>
        <w:t>different</w:t>
      </w:r>
      <w:r>
        <w:rPr>
          <w:rFonts w:ascii="Times New Roman" w:hAnsi="Times New Roman" w:cs="Times New Roman"/>
          <w:color w:val="000000" w:themeColor="text1"/>
          <w:sz w:val="20"/>
          <w:szCs w:val="20"/>
          <w:shd w:val="clear" w:color="auto" w:fill="FFFFFF"/>
        </w:rPr>
        <w:t> equipment at </w:t>
      </w:r>
      <w:r>
        <w:rPr>
          <w:rFonts w:ascii="Times New Roman" w:hAnsi="Times New Roman" w:cs="Times New Roman"/>
          <w:bCs/>
          <w:color w:val="000000" w:themeColor="text1"/>
          <w:sz w:val="20"/>
          <w:szCs w:val="20"/>
          <w:shd w:val="clear" w:color="auto" w:fill="FFFFFF"/>
        </w:rPr>
        <w:t>labs</w:t>
      </w:r>
      <w:r>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rPr>
        <w:t>This clarifies that</w:t>
      </w:r>
      <w:r>
        <w:rPr>
          <w:rFonts w:ascii="Times New Roman" w:hAnsi="Times New Roman" w:cs="Times New Roman"/>
          <w:color w:val="000000" w:themeColor="text1"/>
          <w:sz w:val="20"/>
          <w:szCs w:val="20"/>
          <w:shd w:val="clear" w:color="auto" w:fill="FFFFFF"/>
        </w:rPr>
        <w:t xml:space="preserve"> result of </w:t>
      </w:r>
      <w:r>
        <w:rPr>
          <w:rFonts w:ascii="Times New Roman" w:hAnsi="Times New Roman" w:cs="Times New Roman"/>
          <w:bCs/>
          <w:color w:val="000000" w:themeColor="text1"/>
          <w:sz w:val="20"/>
          <w:szCs w:val="20"/>
          <w:shd w:val="clear" w:color="auto" w:fill="FFFFFF"/>
        </w:rPr>
        <w:t>tests</w:t>
      </w:r>
      <w:r>
        <w:rPr>
          <w:rFonts w:ascii="Times New Roman" w:hAnsi="Times New Roman" w:cs="Times New Roman"/>
          <w:color w:val="000000" w:themeColor="text1"/>
          <w:sz w:val="20"/>
          <w:szCs w:val="20"/>
          <w:shd w:val="clear" w:color="auto" w:fill="FFFFFF"/>
        </w:rPr>
        <w:t> done in the </w:t>
      </w:r>
      <w:r>
        <w:rPr>
          <w:rFonts w:ascii="Times New Roman" w:hAnsi="Times New Roman" w:cs="Times New Roman"/>
          <w:bCs/>
          <w:color w:val="000000" w:themeColor="text1"/>
          <w:sz w:val="20"/>
          <w:szCs w:val="20"/>
          <w:shd w:val="clear" w:color="auto" w:fill="FFFFFF"/>
        </w:rPr>
        <w:t>same method</w:t>
      </w:r>
      <w:r>
        <w:rPr>
          <w:rFonts w:ascii="Times New Roman" w:hAnsi="Times New Roman" w:cs="Times New Roman"/>
          <w:color w:val="000000" w:themeColor="text1"/>
          <w:sz w:val="20"/>
          <w:szCs w:val="20"/>
          <w:shd w:val="clear" w:color="auto" w:fill="FFFFFF"/>
        </w:rPr>
        <w:t> and conditions from </w:t>
      </w:r>
      <w:r>
        <w:rPr>
          <w:rFonts w:ascii="Times New Roman" w:hAnsi="Times New Roman" w:cs="Times New Roman"/>
          <w:bCs/>
          <w:color w:val="000000" w:themeColor="text1"/>
          <w:sz w:val="20"/>
          <w:szCs w:val="20"/>
          <w:shd w:val="clear" w:color="auto" w:fill="FFFFFF"/>
        </w:rPr>
        <w:t>different labs</w:t>
      </w:r>
      <w:r>
        <w:rPr>
          <w:rFonts w:ascii="Times New Roman" w:hAnsi="Times New Roman" w:cs="Times New Roman"/>
          <w:color w:val="000000" w:themeColor="text1"/>
          <w:sz w:val="20"/>
          <w:szCs w:val="20"/>
          <w:shd w:val="clear" w:color="auto" w:fill="FFFFFF"/>
        </w:rPr>
        <w:t> can be very </w:t>
      </w:r>
      <w:r>
        <w:rPr>
          <w:rFonts w:ascii="Times New Roman" w:hAnsi="Times New Roman" w:cs="Times New Roman"/>
          <w:bCs/>
          <w:color w:val="000000" w:themeColor="text1"/>
          <w:sz w:val="20"/>
          <w:szCs w:val="20"/>
          <w:shd w:val="clear" w:color="auto" w:fill="FFFFFF"/>
        </w:rPr>
        <w:t>similar</w:t>
      </w:r>
      <w:r>
        <w:rPr>
          <w:rFonts w:ascii="Times New Roman" w:hAnsi="Times New Roman" w:cs="Times New Roman"/>
          <w:color w:val="000000" w:themeColor="text1"/>
          <w:sz w:val="20"/>
          <w:szCs w:val="20"/>
          <w:shd w:val="clear" w:color="auto" w:fill="FFFFFF"/>
        </w:rPr>
        <w:t> but not the </w:t>
      </w:r>
      <w:r>
        <w:rPr>
          <w:rFonts w:ascii="Times New Roman" w:hAnsi="Times New Roman" w:cs="Times New Roman"/>
          <w:bCs/>
          <w:color w:val="000000" w:themeColor="text1"/>
          <w:sz w:val="20"/>
          <w:szCs w:val="20"/>
          <w:shd w:val="clear" w:color="auto" w:fill="FFFFFF"/>
        </w:rPr>
        <w:t>same</w:t>
      </w:r>
      <w:r>
        <w:rPr>
          <w:rFonts w:ascii="Times New Roman" w:hAnsi="Times New Roman" w:cs="Times New Roman"/>
          <w:color w:val="000000" w:themeColor="text1"/>
          <w:sz w:val="20"/>
          <w:szCs w:val="20"/>
          <w:shd w:val="clear" w:color="auto" w:fill="FFFFFF"/>
        </w:rPr>
        <w:t xml:space="preserve">. </w:t>
      </w:r>
    </w:p>
    <w:p w14:paraId="3D846553"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In case of using reference sample: the differences between reference </w:t>
      </w:r>
      <w:r>
        <w:rPr>
          <w:rFonts w:ascii="Times New Roman" w:hAnsi="Times New Roman" w:cs="Times New Roman"/>
          <w:bCs/>
          <w:color w:val="000000" w:themeColor="text1"/>
          <w:sz w:val="20"/>
          <w:szCs w:val="20"/>
          <w:shd w:val="clear" w:color="auto" w:fill="FFFFFF"/>
        </w:rPr>
        <w:t>ranges</w:t>
      </w:r>
      <w:r>
        <w:rPr>
          <w:rFonts w:ascii="Times New Roman" w:hAnsi="Times New Roman" w:cs="Times New Roman"/>
          <w:color w:val="000000" w:themeColor="text1"/>
          <w:sz w:val="20"/>
          <w:szCs w:val="20"/>
          <w:shd w:val="clear" w:color="auto" w:fill="FFFFFF"/>
        </w:rPr>
        <w:t> from different </w:t>
      </w:r>
      <w:r>
        <w:rPr>
          <w:rFonts w:ascii="Times New Roman" w:hAnsi="Times New Roman" w:cs="Times New Roman"/>
          <w:bCs/>
          <w:color w:val="000000" w:themeColor="text1"/>
          <w:sz w:val="20"/>
          <w:szCs w:val="20"/>
          <w:shd w:val="clear" w:color="auto" w:fill="FFFFFF"/>
        </w:rPr>
        <w:t>labs</w:t>
      </w:r>
      <w:r>
        <w:rPr>
          <w:rFonts w:ascii="Times New Roman" w:hAnsi="Times New Roman" w:cs="Times New Roman"/>
          <w:color w:val="000000" w:themeColor="text1"/>
          <w:sz w:val="20"/>
          <w:szCs w:val="20"/>
          <w:shd w:val="clear" w:color="auto" w:fill="FFFFFF"/>
        </w:rPr>
        <w:t> typically are generally not significant, but it is possible that one </w:t>
      </w:r>
      <w:r>
        <w:rPr>
          <w:rFonts w:ascii="Times New Roman" w:hAnsi="Times New Roman" w:cs="Times New Roman"/>
          <w:bCs/>
          <w:color w:val="000000" w:themeColor="text1"/>
          <w:sz w:val="20"/>
          <w:szCs w:val="20"/>
          <w:shd w:val="clear" w:color="auto" w:fill="FFFFFF"/>
        </w:rPr>
        <w:t>lab will</w:t>
      </w:r>
      <w:r>
        <w:rPr>
          <w:rFonts w:ascii="Times New Roman" w:hAnsi="Times New Roman" w:cs="Times New Roman"/>
          <w:color w:val="000000" w:themeColor="text1"/>
          <w:sz w:val="20"/>
          <w:szCs w:val="20"/>
          <w:shd w:val="clear" w:color="auto" w:fill="FFFFFF"/>
        </w:rPr>
        <w:t> report a result as being within </w:t>
      </w:r>
      <w:r>
        <w:rPr>
          <w:rFonts w:ascii="Times New Roman" w:hAnsi="Times New Roman" w:cs="Times New Roman"/>
          <w:bCs/>
          <w:color w:val="000000" w:themeColor="text1"/>
          <w:sz w:val="20"/>
          <w:szCs w:val="20"/>
          <w:shd w:val="clear" w:color="auto" w:fill="FFFFFF"/>
        </w:rPr>
        <w:t>range</w:t>
      </w:r>
      <w:r>
        <w:rPr>
          <w:rFonts w:ascii="Times New Roman" w:hAnsi="Times New Roman" w:cs="Times New Roman"/>
          <w:color w:val="000000" w:themeColor="text1"/>
          <w:sz w:val="20"/>
          <w:szCs w:val="20"/>
          <w:shd w:val="clear" w:color="auto" w:fill="FFFFFF"/>
        </w:rPr>
        <w:t> while another </w:t>
      </w:r>
      <w:r>
        <w:rPr>
          <w:rFonts w:ascii="Times New Roman" w:hAnsi="Times New Roman" w:cs="Times New Roman"/>
          <w:bCs/>
          <w:color w:val="000000" w:themeColor="text1"/>
          <w:sz w:val="20"/>
          <w:szCs w:val="20"/>
          <w:shd w:val="clear" w:color="auto" w:fill="FFFFFF"/>
        </w:rPr>
        <w:t>could</w:t>
      </w:r>
      <w:r>
        <w:rPr>
          <w:rFonts w:ascii="Times New Roman" w:hAnsi="Times New Roman" w:cs="Times New Roman"/>
          <w:color w:val="000000" w:themeColor="text1"/>
          <w:sz w:val="20"/>
          <w:szCs w:val="20"/>
          <w:shd w:val="clear" w:color="auto" w:fill="FFFFFF"/>
        </w:rPr>
        <w:t> report that same result as being out of </w:t>
      </w:r>
      <w:r>
        <w:rPr>
          <w:rFonts w:ascii="Times New Roman" w:hAnsi="Times New Roman" w:cs="Times New Roman"/>
          <w:bCs/>
          <w:color w:val="000000" w:themeColor="text1"/>
          <w:sz w:val="20"/>
          <w:szCs w:val="20"/>
          <w:shd w:val="clear" w:color="auto" w:fill="FFFFFF"/>
        </w:rPr>
        <w:t xml:space="preserve">range. </w:t>
      </w:r>
      <w:r>
        <w:rPr>
          <w:rFonts w:ascii="Times New Roman" w:hAnsi="Times New Roman" w:cs="Times New Roman"/>
          <w:color w:val="000000" w:themeColor="text1"/>
          <w:sz w:val="20"/>
          <w:szCs w:val="20"/>
          <w:shd w:val="clear" w:color="auto" w:fill="FFFFFF"/>
        </w:rPr>
        <w:t>Each </w:t>
      </w:r>
      <w:r>
        <w:rPr>
          <w:rFonts w:ascii="Times New Roman" w:hAnsi="Times New Roman" w:cs="Times New Roman"/>
          <w:bCs/>
          <w:color w:val="000000" w:themeColor="text1"/>
          <w:sz w:val="20"/>
          <w:szCs w:val="20"/>
          <w:shd w:val="clear" w:color="auto" w:fill="FFFFFF"/>
        </w:rPr>
        <w:t>lab</w:t>
      </w:r>
      <w:r>
        <w:rPr>
          <w:rFonts w:ascii="Times New Roman" w:hAnsi="Times New Roman" w:cs="Times New Roman"/>
          <w:color w:val="000000" w:themeColor="text1"/>
          <w:sz w:val="20"/>
          <w:szCs w:val="20"/>
          <w:shd w:val="clear" w:color="auto" w:fill="FFFFFF"/>
        </w:rPr>
        <w:t> establishes its own </w:t>
      </w:r>
      <w:r>
        <w:rPr>
          <w:rFonts w:ascii="Times New Roman" w:hAnsi="Times New Roman" w:cs="Times New Roman"/>
          <w:bCs/>
          <w:color w:val="000000" w:themeColor="text1"/>
          <w:sz w:val="20"/>
          <w:szCs w:val="20"/>
          <w:shd w:val="clear" w:color="auto" w:fill="FFFFFF"/>
        </w:rPr>
        <w:t>normal ranges</w:t>
      </w:r>
      <w:r>
        <w:rPr>
          <w:rFonts w:ascii="Times New Roman" w:hAnsi="Times New Roman" w:cs="Times New Roman"/>
          <w:color w:val="000000" w:themeColor="text1"/>
          <w:sz w:val="20"/>
          <w:szCs w:val="20"/>
          <w:shd w:val="clear" w:color="auto" w:fill="FFFFFF"/>
        </w:rPr>
        <w:t> for test results. The </w:t>
      </w:r>
      <w:r>
        <w:rPr>
          <w:rFonts w:ascii="Times New Roman" w:hAnsi="Times New Roman" w:cs="Times New Roman"/>
          <w:bCs/>
          <w:color w:val="000000" w:themeColor="text1"/>
          <w:sz w:val="20"/>
          <w:szCs w:val="20"/>
          <w:shd w:val="clear" w:color="auto" w:fill="FFFFFF"/>
        </w:rPr>
        <w:t>ranges</w:t>
      </w:r>
      <w:r>
        <w:rPr>
          <w:rFonts w:ascii="Times New Roman" w:hAnsi="Times New Roman" w:cs="Times New Roman"/>
          <w:color w:val="000000" w:themeColor="text1"/>
          <w:sz w:val="20"/>
          <w:szCs w:val="20"/>
          <w:shd w:val="clear" w:color="auto" w:fill="FFFFFF"/>
        </w:rPr>
        <w:t> are based on </w:t>
      </w:r>
      <w:r>
        <w:rPr>
          <w:rFonts w:ascii="Times New Roman" w:hAnsi="Times New Roman" w:cs="Times New Roman"/>
          <w:bCs/>
          <w:color w:val="000000" w:themeColor="text1"/>
          <w:sz w:val="20"/>
          <w:szCs w:val="20"/>
          <w:shd w:val="clear" w:color="auto" w:fill="FFFFFF"/>
        </w:rPr>
        <w:t>various</w:t>
      </w:r>
      <w:r>
        <w:rPr>
          <w:rFonts w:ascii="Times New Roman" w:hAnsi="Times New Roman" w:cs="Times New Roman"/>
          <w:color w:val="000000" w:themeColor="text1"/>
          <w:sz w:val="20"/>
          <w:szCs w:val="20"/>
          <w:shd w:val="clear" w:color="auto" w:fill="FFFFFF"/>
        </w:rPr>
        <w:t> factors, such as the sampling method, the instruments used, and the techniques used to </w:t>
      </w:r>
      <w:r>
        <w:rPr>
          <w:rFonts w:ascii="Times New Roman" w:hAnsi="Times New Roman" w:cs="Times New Roman"/>
          <w:bCs/>
          <w:color w:val="000000" w:themeColor="text1"/>
          <w:sz w:val="20"/>
          <w:szCs w:val="20"/>
          <w:shd w:val="clear" w:color="auto" w:fill="FFFFFF"/>
        </w:rPr>
        <w:t>analyze</w:t>
      </w:r>
      <w:r>
        <w:rPr>
          <w:rFonts w:ascii="Times New Roman" w:hAnsi="Times New Roman" w:cs="Times New Roman"/>
          <w:color w:val="000000" w:themeColor="text1"/>
          <w:sz w:val="20"/>
          <w:szCs w:val="20"/>
          <w:shd w:val="clear" w:color="auto" w:fill="FFFFFF"/>
        </w:rPr>
        <w:t> components. However, the composition of commercial tobacco samples changes frequently with the changing marketplace, making comparisons of results difficult.</w:t>
      </w:r>
    </w:p>
    <w:p w14:paraId="1B2FEF3B"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p>
    <w:p w14:paraId="18F96841"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The differences or equivalence of products depend on various sources of variability like analytical methods, manufacturing processes, agricultural </w:t>
      </w:r>
      <w:proofErr w:type="gramStart"/>
      <w:r>
        <w:rPr>
          <w:rFonts w:ascii="Times New Roman" w:hAnsi="Times New Roman" w:cs="Times New Roman"/>
          <w:color w:val="000000" w:themeColor="text1"/>
          <w:sz w:val="20"/>
          <w:szCs w:val="20"/>
          <w:shd w:val="clear" w:color="auto" w:fill="FFFFFF"/>
        </w:rPr>
        <w:t>practices</w:t>
      </w:r>
      <w:proofErr w:type="gramEnd"/>
      <w:r>
        <w:rPr>
          <w:rFonts w:ascii="Times New Roman" w:hAnsi="Times New Roman" w:cs="Times New Roman"/>
          <w:color w:val="000000" w:themeColor="text1"/>
          <w:sz w:val="20"/>
          <w:szCs w:val="20"/>
          <w:shd w:val="clear" w:color="auto" w:fill="FFFFFF"/>
        </w:rPr>
        <w:t xml:space="preserve"> and environmental conditions. </w:t>
      </w:r>
    </w:p>
    <w:p w14:paraId="33213378"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For tobacco products, important sources of variability can be brought by:</w:t>
      </w:r>
    </w:p>
    <w:p w14:paraId="1BC062BB" w14:textId="77777777" w:rsidR="000B762C" w:rsidRDefault="000B762C" w:rsidP="000B762C">
      <w:pPr>
        <w:spacing w:after="0" w:line="360" w:lineRule="auto"/>
        <w:ind w:left="180" w:hanging="180"/>
        <w:jc w:val="both"/>
        <w:rPr>
          <w:rFonts w:ascii="Times New Roman" w:hAnsi="Times New Roman" w:cs="Times New Roman"/>
          <w:color w:val="000000" w:themeColor="text1"/>
          <w:sz w:val="20"/>
          <w:szCs w:val="20"/>
          <w:shd w:val="clear" w:color="auto" w:fill="FFFFFF"/>
        </w:rPr>
      </w:pPr>
      <w:proofErr w:type="spellStart"/>
      <w:r>
        <w:rPr>
          <w:rFonts w:ascii="Times New Roman" w:hAnsi="Times New Roman" w:cs="Times New Roman"/>
          <w:color w:val="000000" w:themeColor="text1"/>
          <w:sz w:val="20"/>
          <w:szCs w:val="20"/>
          <w:shd w:val="clear" w:color="auto" w:fill="FFFFFF"/>
        </w:rPr>
        <w:t>i</w:t>
      </w:r>
      <w:proofErr w:type="spellEnd"/>
      <w:r>
        <w:rPr>
          <w:rFonts w:ascii="Times New Roman" w:hAnsi="Times New Roman" w:cs="Times New Roman"/>
          <w:color w:val="000000" w:themeColor="text1"/>
          <w:sz w:val="20"/>
          <w:szCs w:val="20"/>
          <w:shd w:val="clear" w:color="auto" w:fill="FFFFFF"/>
        </w:rPr>
        <w:t xml:space="preserve">)   the raw tobaccos used due to the inherent natural variability of agricultural products, </w:t>
      </w:r>
    </w:p>
    <w:p w14:paraId="3E985522" w14:textId="77777777" w:rsidR="000B762C" w:rsidRDefault="000B762C" w:rsidP="000B762C">
      <w:pPr>
        <w:spacing w:after="0" w:line="360" w:lineRule="auto"/>
        <w:ind w:left="270" w:hanging="270"/>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ii)  the non-tobacco raw material which may differ due to different suppliers or possibly because one supplier has several manufacturing sites.</w:t>
      </w:r>
    </w:p>
    <w:p w14:paraId="7506D1D7" w14:textId="77777777" w:rsidR="000B762C" w:rsidRDefault="000B762C" w:rsidP="000B762C">
      <w:pPr>
        <w:spacing w:after="0" w:line="36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 xml:space="preserve">All these sources of variability, which are not attributed to the analytical measurements, which are frequently called production batch variability or batch-to-batch variability, need to be </w:t>
      </w:r>
      <w:proofErr w:type="gramStart"/>
      <w:r>
        <w:rPr>
          <w:rFonts w:ascii="Times New Roman" w:hAnsi="Times New Roman" w:cs="Times New Roman"/>
          <w:color w:val="000000" w:themeColor="text1"/>
          <w:sz w:val="20"/>
          <w:szCs w:val="20"/>
          <w:shd w:val="clear" w:color="auto" w:fill="FFFFFF"/>
        </w:rPr>
        <w:t>taken into account</w:t>
      </w:r>
      <w:proofErr w:type="gramEnd"/>
      <w:r>
        <w:rPr>
          <w:rFonts w:ascii="Times New Roman" w:hAnsi="Times New Roman" w:cs="Times New Roman"/>
          <w:color w:val="000000" w:themeColor="text1"/>
          <w:sz w:val="20"/>
          <w:szCs w:val="20"/>
          <w:shd w:val="clear" w:color="auto" w:fill="FFFFFF"/>
        </w:rPr>
        <w:t xml:space="preserve"> for product comparison.</w:t>
      </w:r>
    </w:p>
    <w:p w14:paraId="10502379"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3324E"/>
    <w:multiLevelType w:val="multilevel"/>
    <w:tmpl w:val="13CCEBD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F65256"/>
    <w:multiLevelType w:val="hybridMultilevel"/>
    <w:tmpl w:val="E6027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F37E63"/>
    <w:multiLevelType w:val="multilevel"/>
    <w:tmpl w:val="BE9E40BE"/>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7AA32371"/>
    <w:multiLevelType w:val="multilevel"/>
    <w:tmpl w:val="DE6ED2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2C"/>
    <w:rsid w:val="000B762C"/>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3622"/>
  <w15:chartTrackingRefBased/>
  <w15:docId w15:val="{6AFC69F1-9C5F-49F5-8E9A-B427188C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62C"/>
    <w:pPr>
      <w:spacing w:line="256" w:lineRule="auto"/>
    </w:pPr>
    <w:rPr>
      <w:rFonts w:ascii="Calibri" w:eastAsia="Calibri" w:hAnsi="Calibri" w:cs="Calibri"/>
    </w:rPr>
  </w:style>
  <w:style w:type="paragraph" w:styleId="Heading1">
    <w:name w:val="heading 1"/>
    <w:basedOn w:val="Normal"/>
    <w:next w:val="Normal"/>
    <w:link w:val="Heading1Char"/>
    <w:qFormat/>
    <w:rsid w:val="000B762C"/>
    <w:pPr>
      <w:keepNext/>
      <w:keepLines/>
      <w:spacing w:before="480" w:after="120"/>
      <w:outlineLvl w:val="0"/>
    </w:pPr>
    <w:rPr>
      <w:b/>
      <w:sz w:val="48"/>
      <w:szCs w:val="48"/>
    </w:rPr>
  </w:style>
  <w:style w:type="paragraph" w:styleId="Heading2">
    <w:name w:val="heading 2"/>
    <w:basedOn w:val="Normal"/>
    <w:next w:val="Normal"/>
    <w:link w:val="Heading2Char"/>
    <w:semiHidden/>
    <w:unhideWhenUsed/>
    <w:qFormat/>
    <w:rsid w:val="000B762C"/>
    <w:pPr>
      <w:keepNext/>
      <w:keepLines/>
      <w:spacing w:before="360" w:after="80"/>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62C"/>
    <w:rPr>
      <w:rFonts w:ascii="Calibri" w:eastAsia="Calibri" w:hAnsi="Calibri" w:cs="Calibri"/>
      <w:b/>
      <w:sz w:val="48"/>
      <w:szCs w:val="48"/>
    </w:rPr>
  </w:style>
  <w:style w:type="character" w:customStyle="1" w:styleId="Heading2Char">
    <w:name w:val="Heading 2 Char"/>
    <w:basedOn w:val="DefaultParagraphFont"/>
    <w:link w:val="Heading2"/>
    <w:semiHidden/>
    <w:rsid w:val="000B762C"/>
    <w:rPr>
      <w:rFonts w:ascii="Calibri" w:eastAsia="Calibri" w:hAnsi="Calibri" w:cs="Calibri"/>
      <w:b/>
      <w:sz w:val="36"/>
      <w:szCs w:val="36"/>
    </w:rPr>
  </w:style>
  <w:style w:type="paragraph" w:styleId="ListParagraph">
    <w:name w:val="List Paragraph"/>
    <w:basedOn w:val="Normal"/>
    <w:uiPriority w:val="34"/>
    <w:qFormat/>
    <w:rsid w:val="000B7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28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oleObject" Target="embeddings/oleObject2.bin"/><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1614</Words>
  <Characters>9201</Characters>
  <Application>Microsoft Office Word</Application>
  <DocSecurity>0</DocSecurity>
  <Lines>76</Lines>
  <Paragraphs>21</Paragraphs>
  <ScaleCrop>false</ScaleCrop>
  <Company>Springer Nature</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2023-04-13T10:12:00Z</dcterms:created>
  <dcterms:modified xsi:type="dcterms:W3CDTF">2023-04-13T10:12:00Z</dcterms:modified>
</cp:coreProperties>
</file>