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13A202" w14:textId="5878B166" w:rsidR="00E44100" w:rsidRPr="00AE051F" w:rsidRDefault="00E44100" w:rsidP="00E44100">
      <w:pPr>
        <w:adjustRightInd w:val="0"/>
        <w:snapToGrid w:val="0"/>
        <w:spacing w:line="360" w:lineRule="auto"/>
        <w:rPr>
          <w:rFonts w:ascii="Times New Roman" w:hAnsi="Times New Roman"/>
          <w:b/>
          <w:bCs/>
          <w:sz w:val="24"/>
          <w:szCs w:val="24"/>
        </w:rPr>
      </w:pPr>
      <w:r w:rsidRPr="00AC665B">
        <w:rPr>
          <w:rStyle w:val="a3"/>
          <w:rFonts w:eastAsiaTheme="minorEastAsia" w:hint="eastAsia"/>
          <w:b/>
        </w:rPr>
        <w:t>Additional file</w:t>
      </w:r>
      <w:r>
        <w:rPr>
          <w:rStyle w:val="a3"/>
          <w:rFonts w:eastAsiaTheme="minorEastAsia"/>
          <w:b/>
        </w:rPr>
        <w:t xml:space="preserve"> </w:t>
      </w:r>
      <w:r w:rsidRPr="00AC665B">
        <w:rPr>
          <w:rStyle w:val="a3"/>
          <w:rFonts w:eastAsiaTheme="minorEastAsia" w:hint="eastAsia"/>
          <w:b/>
        </w:rPr>
        <w:t>1: Fig. S1.</w:t>
      </w:r>
      <w:r>
        <w:rPr>
          <w:rStyle w:val="a3"/>
          <w:rFonts w:eastAsiaTheme="minorEastAsia"/>
          <w:b/>
        </w:rPr>
        <w:t xml:space="preserve"> </w:t>
      </w:r>
      <w:r w:rsidRPr="00AE051F">
        <w:rPr>
          <w:rFonts w:ascii="Times New Roman" w:hAnsi="Times New Roman"/>
          <w:b/>
          <w:bCs/>
          <w:sz w:val="24"/>
          <w:szCs w:val="24"/>
        </w:rPr>
        <w:t xml:space="preserve">T-MDSCs have higher level of </w:t>
      </w:r>
      <w:r w:rsidRPr="00AE051F">
        <w:rPr>
          <w:rStyle w:val="fontstyle21"/>
          <w:b/>
          <w:bCs/>
          <w:szCs w:val="24"/>
        </w:rPr>
        <w:t>glycolysis</w:t>
      </w:r>
      <w:r w:rsidRPr="00AE051F">
        <w:rPr>
          <w:rFonts w:ascii="Times New Roman" w:hAnsi="Times New Roman"/>
          <w:b/>
          <w:bCs/>
          <w:sz w:val="24"/>
          <w:szCs w:val="24"/>
        </w:rPr>
        <w:t xml:space="preserve"> than SP-MDSCs of mouse lung cancer xenograft model.</w:t>
      </w:r>
    </w:p>
    <w:p w14:paraId="503AD508" w14:textId="77777777" w:rsidR="00E44100" w:rsidRPr="00AE051F" w:rsidRDefault="00E44100" w:rsidP="00E44100">
      <w:pPr>
        <w:adjustRightInd w:val="0"/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AE051F">
        <w:rPr>
          <w:rFonts w:ascii="Times New Roman" w:hAnsi="Times New Roman"/>
          <w:sz w:val="24"/>
          <w:szCs w:val="24"/>
        </w:rPr>
        <w:t xml:space="preserve">(A) The mRNA expression levels of HK2, PFK and LDHA were measured by </w:t>
      </w:r>
      <w:proofErr w:type="spellStart"/>
      <w:r w:rsidRPr="00AE051F">
        <w:rPr>
          <w:rFonts w:ascii="Times New Roman" w:hAnsi="Times New Roman"/>
          <w:sz w:val="24"/>
          <w:szCs w:val="24"/>
        </w:rPr>
        <w:t>qRT</w:t>
      </w:r>
      <w:proofErr w:type="spellEnd"/>
      <w:r w:rsidRPr="00AE051F">
        <w:rPr>
          <w:rFonts w:ascii="Times New Roman" w:hAnsi="Times New Roman"/>
          <w:sz w:val="24"/>
          <w:szCs w:val="24"/>
        </w:rPr>
        <w:t>-PCR in SP-MDSC</w:t>
      </w:r>
      <w:r w:rsidRPr="00AE051F">
        <w:rPr>
          <w:rFonts w:ascii="Times New Roman" w:hAnsi="Times New Roman" w:hint="eastAsia"/>
          <w:sz w:val="24"/>
          <w:szCs w:val="24"/>
        </w:rPr>
        <w:t>s</w:t>
      </w:r>
      <w:r w:rsidRPr="00AE051F">
        <w:rPr>
          <w:rFonts w:ascii="Times New Roman" w:hAnsi="Times New Roman"/>
          <w:sz w:val="24"/>
          <w:szCs w:val="24"/>
        </w:rPr>
        <w:t xml:space="preserve"> and T-MDSCs respectively. </w:t>
      </w:r>
    </w:p>
    <w:p w14:paraId="7C0B777C" w14:textId="77777777" w:rsidR="00E44100" w:rsidRPr="00AE051F" w:rsidRDefault="00E44100" w:rsidP="00E44100">
      <w:pPr>
        <w:adjustRightInd w:val="0"/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AE051F">
        <w:rPr>
          <w:rFonts w:ascii="Times New Roman" w:hAnsi="Times New Roman"/>
          <w:sz w:val="24"/>
          <w:szCs w:val="24"/>
        </w:rPr>
        <w:t xml:space="preserve">(B) The mRNA expression levels of GLUT1 and HIF-1 in MDSCs were measured by </w:t>
      </w:r>
      <w:proofErr w:type="spellStart"/>
      <w:r w:rsidRPr="00AE051F">
        <w:rPr>
          <w:rFonts w:ascii="Times New Roman" w:hAnsi="Times New Roman"/>
          <w:sz w:val="24"/>
          <w:szCs w:val="24"/>
        </w:rPr>
        <w:t>qRT</w:t>
      </w:r>
      <w:proofErr w:type="spellEnd"/>
      <w:r w:rsidRPr="00AE051F">
        <w:rPr>
          <w:rFonts w:ascii="Times New Roman" w:hAnsi="Times New Roman"/>
          <w:sz w:val="24"/>
          <w:szCs w:val="24"/>
        </w:rPr>
        <w:t>- PCR in SP-MDSC</w:t>
      </w:r>
      <w:r w:rsidRPr="00AE051F">
        <w:rPr>
          <w:rFonts w:ascii="Times New Roman" w:hAnsi="Times New Roman" w:hint="eastAsia"/>
          <w:sz w:val="24"/>
          <w:szCs w:val="24"/>
        </w:rPr>
        <w:t>s</w:t>
      </w:r>
      <w:r w:rsidRPr="00AE051F">
        <w:rPr>
          <w:rFonts w:ascii="Times New Roman" w:hAnsi="Times New Roman"/>
          <w:sz w:val="24"/>
          <w:szCs w:val="24"/>
        </w:rPr>
        <w:t xml:space="preserve"> and T-MDSCs respectively. </w:t>
      </w:r>
    </w:p>
    <w:p w14:paraId="5EF3B93F" w14:textId="77777777" w:rsidR="00E44100" w:rsidRPr="00AE051F" w:rsidRDefault="00E44100" w:rsidP="00E44100">
      <w:pPr>
        <w:adjustRightInd w:val="0"/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AE051F">
        <w:rPr>
          <w:rFonts w:ascii="Times New Roman" w:hAnsi="Times New Roman"/>
          <w:sz w:val="24"/>
          <w:szCs w:val="24"/>
        </w:rPr>
        <w:t xml:space="preserve">(C-D) The glucose </w:t>
      </w:r>
      <w:r w:rsidRPr="00AE051F">
        <w:rPr>
          <w:rFonts w:ascii="Times New Roman" w:hAnsi="Times New Roman" w:hint="eastAsia"/>
          <w:sz w:val="24"/>
          <w:szCs w:val="24"/>
        </w:rPr>
        <w:t>uptake</w:t>
      </w:r>
      <w:r w:rsidRPr="00AE051F">
        <w:rPr>
          <w:rFonts w:ascii="Times New Roman" w:hAnsi="Times New Roman"/>
          <w:sz w:val="24"/>
          <w:szCs w:val="24"/>
        </w:rPr>
        <w:t xml:space="preserve"> was detected by glucose assay kit, and lactate production was examined by lactate assay kit after MDSCs were treated by TCCM for 24 h and 48 h.</w:t>
      </w:r>
    </w:p>
    <w:p w14:paraId="471680A0" w14:textId="77777777" w:rsidR="00E44100" w:rsidRPr="00AE051F" w:rsidRDefault="00E44100" w:rsidP="00E44100">
      <w:pPr>
        <w:adjustRightInd w:val="0"/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AE051F">
        <w:rPr>
          <w:rFonts w:ascii="Times New Roman" w:hAnsi="Times New Roman"/>
          <w:sz w:val="24"/>
          <w:szCs w:val="24"/>
        </w:rPr>
        <w:t xml:space="preserve">(E) The mRNA expression levels of LDHA, GLUT1 and HIF-1 in MDSCs were measured by </w:t>
      </w:r>
      <w:proofErr w:type="spellStart"/>
      <w:r w:rsidRPr="00AE051F">
        <w:rPr>
          <w:rFonts w:ascii="Times New Roman" w:hAnsi="Times New Roman"/>
          <w:sz w:val="24"/>
          <w:szCs w:val="24"/>
        </w:rPr>
        <w:t>qRT</w:t>
      </w:r>
      <w:proofErr w:type="spellEnd"/>
      <w:r w:rsidRPr="00AE051F">
        <w:rPr>
          <w:rFonts w:ascii="Times New Roman" w:hAnsi="Times New Roman"/>
          <w:sz w:val="24"/>
          <w:szCs w:val="24"/>
        </w:rPr>
        <w:t>-PCR after MDSCs were treated by TCCM for 24 h and 48 h.</w:t>
      </w:r>
    </w:p>
    <w:p w14:paraId="455152B1" w14:textId="77777777" w:rsidR="00E44100" w:rsidRPr="00AE051F" w:rsidRDefault="00E44100" w:rsidP="00E44100">
      <w:pPr>
        <w:adjustRightInd w:val="0"/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AE051F">
        <w:rPr>
          <w:rFonts w:ascii="Times New Roman" w:hAnsi="Times New Roman"/>
          <w:sz w:val="24"/>
          <w:szCs w:val="24"/>
        </w:rPr>
        <w:t xml:space="preserve">The results are presented as means ± SEM, *p&lt;0.05, **p&lt;0.01, ***p&lt;0.001. </w:t>
      </w:r>
    </w:p>
    <w:p w14:paraId="5BDE1E99" w14:textId="77777777" w:rsidR="00E44100" w:rsidRPr="00AE051F" w:rsidRDefault="00E44100" w:rsidP="00E44100">
      <w:pPr>
        <w:adjustRightInd w:val="0"/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AE051F">
        <w:rPr>
          <w:rFonts w:ascii="Times New Roman" w:hAnsi="Times New Roman"/>
          <w:sz w:val="24"/>
          <w:szCs w:val="24"/>
        </w:rPr>
        <w:t>T-MDSCs: MDSCs derived from the tumor tissue of mouse lung cancer xenograft model. SP-MDSCs: MDSCs derived from the spleens of mouse lung cancer xenograft model. TCCM: Tumor cell conditioned medium. HK2: hexokinase 2, PFK: phosphofructokinase, LDHA: lactate dehydrogenase A, GLUT1: glucose transporters 1, HIF-1: hypoxia inducible factor-1.</w:t>
      </w:r>
    </w:p>
    <w:p w14:paraId="7348CCAA" w14:textId="77777777" w:rsidR="00E44100" w:rsidRPr="00AE051F" w:rsidRDefault="00E44100" w:rsidP="00E44100">
      <w:pPr>
        <w:adjustRightInd w:val="0"/>
        <w:snapToGrid w:val="0"/>
        <w:spacing w:line="360" w:lineRule="auto"/>
        <w:rPr>
          <w:rFonts w:ascii="Times New Roman" w:hAnsi="Times New Roman"/>
          <w:sz w:val="24"/>
          <w:szCs w:val="24"/>
        </w:rPr>
      </w:pPr>
    </w:p>
    <w:p w14:paraId="4AE083FA" w14:textId="77777777" w:rsidR="00E44100" w:rsidRPr="00AE051F" w:rsidRDefault="00E44100" w:rsidP="00E44100">
      <w:pPr>
        <w:adjustRightInd w:val="0"/>
        <w:snapToGrid w:val="0"/>
        <w:spacing w:line="360" w:lineRule="auto"/>
        <w:rPr>
          <w:rFonts w:ascii="Times New Roman" w:hAnsi="Times New Roman"/>
          <w:sz w:val="24"/>
          <w:szCs w:val="24"/>
        </w:rPr>
      </w:pPr>
    </w:p>
    <w:p w14:paraId="2233EF28" w14:textId="33A9DA5B" w:rsidR="00E44100" w:rsidRPr="00AE051F" w:rsidRDefault="00E44100" w:rsidP="00E44100">
      <w:pPr>
        <w:adjustRightInd w:val="0"/>
        <w:snapToGrid w:val="0"/>
        <w:spacing w:line="360" w:lineRule="auto"/>
        <w:rPr>
          <w:rFonts w:ascii="Times New Roman" w:hAnsi="Times New Roman"/>
          <w:b/>
          <w:bCs/>
          <w:sz w:val="24"/>
          <w:szCs w:val="24"/>
        </w:rPr>
      </w:pPr>
      <w:r w:rsidRPr="00AC665B">
        <w:rPr>
          <w:rStyle w:val="a3"/>
          <w:rFonts w:eastAsiaTheme="minorEastAsia" w:hint="eastAsia"/>
          <w:b/>
        </w:rPr>
        <w:t>Additional file</w:t>
      </w:r>
      <w:r>
        <w:rPr>
          <w:rStyle w:val="a3"/>
          <w:rFonts w:eastAsiaTheme="minorEastAsia"/>
          <w:b/>
        </w:rPr>
        <w:t xml:space="preserve"> </w:t>
      </w:r>
      <w:r>
        <w:rPr>
          <w:rStyle w:val="a3"/>
          <w:rFonts w:eastAsiaTheme="minorEastAsia" w:hint="eastAsia"/>
          <w:b/>
        </w:rPr>
        <w:t>2: Fig. S2</w:t>
      </w:r>
      <w:r w:rsidRPr="00AC665B">
        <w:rPr>
          <w:rStyle w:val="a3"/>
          <w:rFonts w:eastAsiaTheme="minorEastAsia" w:hint="eastAsia"/>
          <w:b/>
        </w:rPr>
        <w:t>.</w:t>
      </w:r>
      <w:r w:rsidRPr="00AE051F">
        <w:rPr>
          <w:rFonts w:ascii="Times New Roman" w:hAnsi="Times New Roman"/>
          <w:b/>
          <w:bCs/>
          <w:sz w:val="24"/>
          <w:szCs w:val="24"/>
        </w:rPr>
        <w:t xml:space="preserve"> Lactate enhances the level of </w:t>
      </w:r>
      <w:r w:rsidRPr="00AE051F">
        <w:rPr>
          <w:rStyle w:val="fontstyle21"/>
          <w:b/>
          <w:bCs/>
          <w:szCs w:val="24"/>
        </w:rPr>
        <w:t>glycolysis</w:t>
      </w:r>
      <w:r w:rsidRPr="00AE051F">
        <w:rPr>
          <w:rFonts w:ascii="Times New Roman" w:hAnsi="Times New Roman"/>
          <w:b/>
          <w:bCs/>
          <w:sz w:val="24"/>
          <w:szCs w:val="24"/>
        </w:rPr>
        <w:t xml:space="preserve"> of MDSCs</w:t>
      </w:r>
      <w:r w:rsidRPr="00AE051F">
        <w:rPr>
          <w:rFonts w:ascii="Times New Roman" w:hAnsi="Times New Roman"/>
          <w:b/>
          <w:bCs/>
          <w:color w:val="C00000"/>
          <w:sz w:val="24"/>
          <w:szCs w:val="24"/>
        </w:rPr>
        <w:t>.</w:t>
      </w:r>
    </w:p>
    <w:p w14:paraId="3D6A8322" w14:textId="77777777" w:rsidR="00E44100" w:rsidRPr="00AE051F" w:rsidRDefault="00E44100" w:rsidP="00E44100">
      <w:pPr>
        <w:adjustRightInd w:val="0"/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AE051F">
        <w:rPr>
          <w:rFonts w:ascii="Times New Roman" w:hAnsi="Times New Roman"/>
          <w:sz w:val="24"/>
          <w:szCs w:val="24"/>
        </w:rPr>
        <w:t xml:space="preserve">(A) The mRNA expression levels of HK2, PFK and LDHA in MDSCs was tested after treatment by </w:t>
      </w:r>
      <w:r w:rsidRPr="00AE051F">
        <w:rPr>
          <w:rFonts w:ascii="Times New Roman" w:hAnsi="Times New Roman" w:hint="eastAsia"/>
          <w:sz w:val="24"/>
          <w:szCs w:val="24"/>
        </w:rPr>
        <w:t>lactate</w:t>
      </w:r>
      <w:r w:rsidRPr="00AE051F">
        <w:rPr>
          <w:rFonts w:ascii="Times New Roman" w:hAnsi="Times New Roman"/>
          <w:sz w:val="24"/>
          <w:szCs w:val="24"/>
        </w:rPr>
        <w:t xml:space="preserve"> for 24 h.</w:t>
      </w:r>
    </w:p>
    <w:p w14:paraId="3A3592A2" w14:textId="77777777" w:rsidR="00E44100" w:rsidRPr="00AE051F" w:rsidRDefault="00E44100" w:rsidP="00E44100">
      <w:pPr>
        <w:adjustRightInd w:val="0"/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AE051F">
        <w:rPr>
          <w:rFonts w:ascii="Times New Roman" w:hAnsi="Times New Roman"/>
          <w:sz w:val="24"/>
          <w:szCs w:val="24"/>
        </w:rPr>
        <w:t xml:space="preserve">(B) The mRNA expression levels of GLUT1 and HIF-1 in MDSCs was tested after treatment by </w:t>
      </w:r>
      <w:r w:rsidRPr="00AE051F">
        <w:rPr>
          <w:rFonts w:ascii="Times New Roman" w:hAnsi="Times New Roman" w:hint="eastAsia"/>
          <w:sz w:val="24"/>
          <w:szCs w:val="24"/>
        </w:rPr>
        <w:t>lactate</w:t>
      </w:r>
      <w:r w:rsidRPr="00AE051F">
        <w:rPr>
          <w:rFonts w:ascii="Times New Roman" w:hAnsi="Times New Roman"/>
          <w:sz w:val="24"/>
          <w:szCs w:val="24"/>
        </w:rPr>
        <w:t xml:space="preserve"> for 24 h.</w:t>
      </w:r>
    </w:p>
    <w:p w14:paraId="34471E2E" w14:textId="77777777" w:rsidR="00E44100" w:rsidRPr="00AE051F" w:rsidRDefault="00E44100" w:rsidP="00E44100">
      <w:pPr>
        <w:adjustRightInd w:val="0"/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AE051F">
        <w:rPr>
          <w:rFonts w:ascii="Times New Roman" w:hAnsi="Times New Roman"/>
          <w:sz w:val="24"/>
          <w:szCs w:val="24"/>
        </w:rPr>
        <w:t xml:space="preserve">(C-D) The glucose consumption was detected by glucose assay kit, and </w:t>
      </w:r>
      <w:r w:rsidRPr="00AE051F">
        <w:rPr>
          <w:rFonts w:ascii="Times New Roman" w:hAnsi="Times New Roman" w:hint="eastAsia"/>
          <w:sz w:val="24"/>
          <w:szCs w:val="24"/>
        </w:rPr>
        <w:t>lactate</w:t>
      </w:r>
      <w:r w:rsidRPr="00AE051F">
        <w:rPr>
          <w:rFonts w:ascii="Times New Roman" w:hAnsi="Times New Roman"/>
          <w:sz w:val="24"/>
          <w:szCs w:val="24"/>
        </w:rPr>
        <w:t xml:space="preserve"> production was examined by </w:t>
      </w:r>
      <w:r w:rsidRPr="00AE051F">
        <w:rPr>
          <w:rFonts w:ascii="Times New Roman" w:hAnsi="Times New Roman" w:hint="eastAsia"/>
          <w:sz w:val="24"/>
          <w:szCs w:val="24"/>
        </w:rPr>
        <w:t>lactate</w:t>
      </w:r>
      <w:r w:rsidRPr="00AE051F">
        <w:rPr>
          <w:rFonts w:ascii="Times New Roman" w:hAnsi="Times New Roman"/>
          <w:sz w:val="24"/>
          <w:szCs w:val="24"/>
        </w:rPr>
        <w:t xml:space="preserve"> assay kit after MDSCs were treated by </w:t>
      </w:r>
      <w:r w:rsidRPr="00AE051F">
        <w:rPr>
          <w:rFonts w:ascii="Times New Roman" w:hAnsi="Times New Roman" w:hint="eastAsia"/>
          <w:sz w:val="24"/>
          <w:szCs w:val="24"/>
        </w:rPr>
        <w:t>lactate</w:t>
      </w:r>
      <w:r w:rsidRPr="00AE051F">
        <w:rPr>
          <w:rFonts w:ascii="Times New Roman" w:hAnsi="Times New Roman"/>
          <w:sz w:val="24"/>
          <w:szCs w:val="24"/>
        </w:rPr>
        <w:t xml:space="preserve"> for 24 h.</w:t>
      </w:r>
    </w:p>
    <w:p w14:paraId="275D8F92" w14:textId="77777777" w:rsidR="00E44100" w:rsidRPr="00AE051F" w:rsidRDefault="00E44100" w:rsidP="00E44100">
      <w:pPr>
        <w:adjustRightInd w:val="0"/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AE051F">
        <w:rPr>
          <w:rFonts w:ascii="Times New Roman" w:hAnsi="Times New Roman"/>
          <w:sz w:val="24"/>
          <w:szCs w:val="24"/>
        </w:rPr>
        <w:t>The results are presented as means ± SEM, *p&lt;0.05, **p&lt;0.01.</w:t>
      </w:r>
    </w:p>
    <w:p w14:paraId="4B59AB1B" w14:textId="77777777" w:rsidR="00E44100" w:rsidRPr="00AE051F" w:rsidRDefault="00E44100" w:rsidP="00E44100">
      <w:pPr>
        <w:adjustRightInd w:val="0"/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AE051F">
        <w:rPr>
          <w:rFonts w:ascii="Times New Roman" w:hAnsi="Times New Roman" w:hint="eastAsia"/>
          <w:sz w:val="24"/>
          <w:szCs w:val="24"/>
        </w:rPr>
        <w:t>L</w:t>
      </w:r>
      <w:r w:rsidRPr="00AE051F">
        <w:rPr>
          <w:rFonts w:ascii="Times New Roman" w:hAnsi="Times New Roman"/>
          <w:sz w:val="24"/>
          <w:szCs w:val="24"/>
        </w:rPr>
        <w:t xml:space="preserve">A: </w:t>
      </w:r>
      <w:r w:rsidRPr="00AE051F">
        <w:rPr>
          <w:rFonts w:ascii="Times New Roman" w:hAnsi="Times New Roman" w:hint="eastAsia"/>
          <w:sz w:val="24"/>
          <w:szCs w:val="24"/>
        </w:rPr>
        <w:t>lactate</w:t>
      </w:r>
      <w:r w:rsidRPr="00AE051F">
        <w:rPr>
          <w:rFonts w:ascii="Times New Roman" w:hAnsi="Times New Roman"/>
          <w:sz w:val="24"/>
          <w:szCs w:val="24"/>
        </w:rPr>
        <w:t>, HK2: hexokinase 2, PFK: phosphofructokinase, GLUT1: glucose transporters 1, HIF-1: hypoxia inducible factor-1.</w:t>
      </w:r>
    </w:p>
    <w:p w14:paraId="4A060732" w14:textId="77777777" w:rsidR="00E44100" w:rsidRPr="00AE051F" w:rsidRDefault="00E44100" w:rsidP="00E44100">
      <w:pPr>
        <w:adjustRightInd w:val="0"/>
        <w:snapToGrid w:val="0"/>
        <w:spacing w:line="360" w:lineRule="auto"/>
        <w:rPr>
          <w:rFonts w:ascii="Times New Roman" w:hAnsi="Times New Roman"/>
          <w:sz w:val="24"/>
          <w:szCs w:val="24"/>
        </w:rPr>
      </w:pPr>
    </w:p>
    <w:p w14:paraId="644EE194" w14:textId="343C81E1" w:rsidR="00E44100" w:rsidRPr="00AE051F" w:rsidRDefault="00E44100" w:rsidP="00E44100">
      <w:pPr>
        <w:adjustRightInd w:val="0"/>
        <w:snapToGrid w:val="0"/>
        <w:spacing w:line="36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Style w:val="a3"/>
          <w:rFonts w:eastAsiaTheme="minorEastAsia" w:hint="eastAsia"/>
          <w:b/>
        </w:rPr>
        <w:t>Additional file</w:t>
      </w:r>
      <w:r>
        <w:rPr>
          <w:rStyle w:val="a3"/>
          <w:rFonts w:eastAsiaTheme="minorEastAsia"/>
          <w:b/>
        </w:rPr>
        <w:t xml:space="preserve"> </w:t>
      </w:r>
      <w:r>
        <w:rPr>
          <w:rStyle w:val="a3"/>
          <w:rFonts w:eastAsiaTheme="minorEastAsia" w:hint="eastAsia"/>
          <w:b/>
        </w:rPr>
        <w:t>3: Fig. S3</w:t>
      </w:r>
      <w:r w:rsidRPr="00AC665B">
        <w:rPr>
          <w:rStyle w:val="a3"/>
          <w:rFonts w:eastAsiaTheme="minorEastAsia" w:hint="eastAsia"/>
          <w:b/>
        </w:rPr>
        <w:t>.</w:t>
      </w:r>
      <w:r w:rsidRPr="00A02A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E051F">
        <w:rPr>
          <w:rFonts w:ascii="Times New Roman" w:hAnsi="Times New Roman"/>
          <w:b/>
          <w:bCs/>
          <w:sz w:val="24"/>
          <w:szCs w:val="24"/>
        </w:rPr>
        <w:t xml:space="preserve">After the glycogenic pathway is suppressed, the expression of inhibitory </w:t>
      </w:r>
      <w:r w:rsidRPr="003B6110">
        <w:rPr>
          <w:rFonts w:ascii="Times New Roman" w:hAnsi="Times New Roman"/>
          <w:b/>
          <w:bCs/>
          <w:sz w:val="24"/>
          <w:szCs w:val="24"/>
        </w:rPr>
        <w:t>molecule</w:t>
      </w:r>
      <w:r>
        <w:rPr>
          <w:rFonts w:ascii="Times New Roman" w:hAnsi="Times New Roman" w:hint="eastAsia"/>
          <w:b/>
          <w:bCs/>
          <w:sz w:val="24"/>
          <w:szCs w:val="24"/>
        </w:rPr>
        <w:t>s</w:t>
      </w:r>
      <w:r w:rsidRPr="00AE051F">
        <w:rPr>
          <w:rFonts w:ascii="Times New Roman" w:hAnsi="Times New Roman"/>
          <w:b/>
          <w:bCs/>
          <w:sz w:val="24"/>
          <w:szCs w:val="24"/>
        </w:rPr>
        <w:t xml:space="preserve"> in MDSCs were declined.</w:t>
      </w:r>
    </w:p>
    <w:p w14:paraId="4130D17E" w14:textId="77777777" w:rsidR="00E44100" w:rsidRPr="00AE051F" w:rsidRDefault="00E44100" w:rsidP="00E44100">
      <w:pPr>
        <w:adjustRightInd w:val="0"/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AE051F">
        <w:rPr>
          <w:rFonts w:ascii="Times New Roman" w:hAnsi="Times New Roman"/>
          <w:sz w:val="24"/>
          <w:szCs w:val="24"/>
        </w:rPr>
        <w:t xml:space="preserve">(A) The mRNA expression levels of HK, PFK and LDHA in MDSCs was tested by </w:t>
      </w:r>
      <w:proofErr w:type="spellStart"/>
      <w:r w:rsidRPr="00AE051F">
        <w:rPr>
          <w:rFonts w:ascii="Times New Roman" w:hAnsi="Times New Roman"/>
          <w:sz w:val="24"/>
          <w:szCs w:val="24"/>
        </w:rPr>
        <w:lastRenderedPageBreak/>
        <w:t>qRT</w:t>
      </w:r>
      <w:proofErr w:type="spellEnd"/>
      <w:r w:rsidRPr="00AE051F">
        <w:rPr>
          <w:rFonts w:ascii="Times New Roman" w:hAnsi="Times New Roman"/>
          <w:sz w:val="24"/>
          <w:szCs w:val="24"/>
        </w:rPr>
        <w:t xml:space="preserve">-PCR after treatment of 2-DG. </w:t>
      </w:r>
    </w:p>
    <w:p w14:paraId="08E1A9BD" w14:textId="77777777" w:rsidR="00E44100" w:rsidRPr="00AE051F" w:rsidRDefault="00E44100" w:rsidP="00E44100">
      <w:pPr>
        <w:adjustRightInd w:val="0"/>
        <w:snapToGrid w:val="0"/>
        <w:spacing w:line="360" w:lineRule="auto"/>
        <w:rPr>
          <w:rStyle w:val="fontstyle21"/>
          <w:szCs w:val="24"/>
        </w:rPr>
      </w:pPr>
      <w:r w:rsidRPr="00AE051F">
        <w:rPr>
          <w:rStyle w:val="fontstyle21"/>
          <w:rFonts w:hint="eastAsia"/>
          <w:szCs w:val="24"/>
        </w:rPr>
        <w:t>(</w:t>
      </w:r>
      <w:r w:rsidRPr="00AE051F">
        <w:rPr>
          <w:rStyle w:val="fontstyle21"/>
          <w:szCs w:val="24"/>
        </w:rPr>
        <w:t>B</w:t>
      </w:r>
      <w:r w:rsidRPr="00AE051F">
        <w:rPr>
          <w:rStyle w:val="fontstyle21"/>
          <w:rFonts w:hint="eastAsia"/>
          <w:szCs w:val="24"/>
        </w:rPr>
        <w:t>) T</w:t>
      </w:r>
      <w:r w:rsidRPr="00AE051F">
        <w:rPr>
          <w:rStyle w:val="fontstyle21"/>
          <w:szCs w:val="24"/>
        </w:rPr>
        <w:t xml:space="preserve">he mRNA expression levels of GLUT1 and </w:t>
      </w:r>
      <w:r w:rsidRPr="00AE051F">
        <w:rPr>
          <w:rFonts w:ascii="Times New Roman" w:hAnsi="Times New Roman" w:hint="eastAsia"/>
          <w:sz w:val="24"/>
          <w:szCs w:val="24"/>
        </w:rPr>
        <w:t>HIF-1</w:t>
      </w:r>
      <w:r w:rsidRPr="00AE051F">
        <w:rPr>
          <w:rStyle w:val="fontstyle21"/>
          <w:szCs w:val="24"/>
        </w:rPr>
        <w:t xml:space="preserve"> in MDSCs</w:t>
      </w:r>
      <w:r w:rsidRPr="00AE051F">
        <w:rPr>
          <w:rStyle w:val="fontstyle21"/>
          <w:rFonts w:hint="eastAsia"/>
          <w:szCs w:val="24"/>
        </w:rPr>
        <w:t xml:space="preserve"> was tested by </w:t>
      </w:r>
      <w:proofErr w:type="spellStart"/>
      <w:r w:rsidRPr="00AE051F">
        <w:rPr>
          <w:rStyle w:val="fontstyle21"/>
          <w:szCs w:val="24"/>
        </w:rPr>
        <w:t>qRT</w:t>
      </w:r>
      <w:proofErr w:type="spellEnd"/>
      <w:r w:rsidRPr="00AE051F">
        <w:rPr>
          <w:rStyle w:val="fontstyle21"/>
          <w:szCs w:val="24"/>
        </w:rPr>
        <w:t>-PCR</w:t>
      </w:r>
      <w:r w:rsidRPr="00AE051F">
        <w:rPr>
          <w:rFonts w:ascii="Times New Roman" w:hAnsi="Times New Roman"/>
          <w:sz w:val="24"/>
          <w:szCs w:val="24"/>
        </w:rPr>
        <w:t xml:space="preserve"> after treatment of 2-DG</w:t>
      </w:r>
      <w:r w:rsidRPr="00AE051F">
        <w:rPr>
          <w:rStyle w:val="fontstyle21"/>
          <w:rFonts w:hint="eastAsia"/>
          <w:szCs w:val="24"/>
        </w:rPr>
        <w:t xml:space="preserve">. </w:t>
      </w:r>
    </w:p>
    <w:p w14:paraId="54397EC4" w14:textId="77777777" w:rsidR="00E44100" w:rsidRPr="00AE051F" w:rsidRDefault="00E44100" w:rsidP="00E44100">
      <w:pPr>
        <w:adjustRightInd w:val="0"/>
        <w:snapToGrid w:val="0"/>
        <w:spacing w:line="360" w:lineRule="auto"/>
        <w:rPr>
          <w:rStyle w:val="fontstyle21"/>
          <w:szCs w:val="24"/>
        </w:rPr>
      </w:pPr>
      <w:r w:rsidRPr="00AE051F">
        <w:rPr>
          <w:rStyle w:val="fontstyle21"/>
          <w:rFonts w:hint="eastAsia"/>
          <w:szCs w:val="24"/>
        </w:rPr>
        <w:t>(</w:t>
      </w:r>
      <w:r w:rsidRPr="00AE051F">
        <w:rPr>
          <w:rStyle w:val="fontstyle21"/>
          <w:szCs w:val="24"/>
        </w:rPr>
        <w:t>C-D</w:t>
      </w:r>
      <w:r w:rsidRPr="00AE051F">
        <w:rPr>
          <w:rStyle w:val="fontstyle21"/>
          <w:rFonts w:hint="eastAsia"/>
          <w:szCs w:val="24"/>
        </w:rPr>
        <w:t>) The g</w:t>
      </w:r>
      <w:r w:rsidRPr="00AE051F">
        <w:rPr>
          <w:rStyle w:val="fontstyle21"/>
          <w:szCs w:val="24"/>
        </w:rPr>
        <w:t>lucose consumption was detected by glucose assay kit</w:t>
      </w:r>
      <w:r w:rsidRPr="00AE051F">
        <w:rPr>
          <w:rStyle w:val="fontstyle21"/>
          <w:rFonts w:hint="eastAsia"/>
          <w:szCs w:val="24"/>
        </w:rPr>
        <w:t xml:space="preserve">, and </w:t>
      </w:r>
      <w:r w:rsidRPr="00AE051F">
        <w:rPr>
          <w:rFonts w:ascii="Times New Roman" w:hAnsi="Times New Roman" w:hint="eastAsia"/>
          <w:sz w:val="24"/>
          <w:szCs w:val="24"/>
        </w:rPr>
        <w:t>lactate</w:t>
      </w:r>
      <w:r w:rsidRPr="00AE051F">
        <w:rPr>
          <w:rStyle w:val="fontstyle21"/>
          <w:szCs w:val="24"/>
        </w:rPr>
        <w:t xml:space="preserve"> production was examined by </w:t>
      </w:r>
      <w:r w:rsidRPr="00AE051F">
        <w:rPr>
          <w:rFonts w:ascii="Times New Roman" w:hAnsi="Times New Roman" w:hint="eastAsia"/>
          <w:sz w:val="24"/>
          <w:szCs w:val="24"/>
        </w:rPr>
        <w:t>lactate</w:t>
      </w:r>
      <w:r w:rsidRPr="00AE051F">
        <w:rPr>
          <w:rStyle w:val="fontstyle21"/>
          <w:rFonts w:hint="eastAsia"/>
          <w:szCs w:val="24"/>
        </w:rPr>
        <w:t xml:space="preserve"> assay</w:t>
      </w:r>
      <w:r w:rsidRPr="00AE051F">
        <w:rPr>
          <w:rStyle w:val="fontstyle21"/>
          <w:szCs w:val="24"/>
        </w:rPr>
        <w:t xml:space="preserve"> kit</w:t>
      </w:r>
      <w:r w:rsidRPr="00AE051F">
        <w:rPr>
          <w:rStyle w:val="fontstyle21"/>
          <w:rFonts w:hint="eastAsia"/>
          <w:szCs w:val="24"/>
        </w:rPr>
        <w:t>.</w:t>
      </w:r>
    </w:p>
    <w:p w14:paraId="3CC10D81" w14:textId="77777777" w:rsidR="00E44100" w:rsidRPr="00AE051F" w:rsidRDefault="00E44100" w:rsidP="00E44100">
      <w:pPr>
        <w:adjustRightInd w:val="0"/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AE051F">
        <w:rPr>
          <w:rFonts w:ascii="Times New Roman" w:hAnsi="Times New Roman"/>
          <w:sz w:val="24"/>
          <w:szCs w:val="24"/>
        </w:rPr>
        <w:t xml:space="preserve">(E-F) The activity of Arg-1 was measured by a </w:t>
      </w:r>
      <w:proofErr w:type="spellStart"/>
      <w:r w:rsidRPr="00AE051F">
        <w:rPr>
          <w:rFonts w:ascii="Times New Roman" w:hAnsi="Times New Roman"/>
          <w:sz w:val="24"/>
          <w:szCs w:val="24"/>
        </w:rPr>
        <w:t>QuantiChrom</w:t>
      </w:r>
      <w:proofErr w:type="spellEnd"/>
      <w:r w:rsidRPr="00AE051F">
        <w:rPr>
          <w:rFonts w:ascii="Times New Roman" w:hAnsi="Times New Roman"/>
          <w:sz w:val="24"/>
          <w:szCs w:val="24"/>
        </w:rPr>
        <w:t xml:space="preserve"> arginase assay kit and the concentration of NO was determined by a Griess reagent system kit.</w:t>
      </w:r>
    </w:p>
    <w:p w14:paraId="552FE1B5" w14:textId="77777777" w:rsidR="00E44100" w:rsidRPr="00AE051F" w:rsidRDefault="00E44100" w:rsidP="00E44100">
      <w:pPr>
        <w:adjustRightInd w:val="0"/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AE051F">
        <w:rPr>
          <w:rFonts w:ascii="Times New Roman" w:hAnsi="Times New Roman"/>
          <w:sz w:val="24"/>
          <w:szCs w:val="24"/>
        </w:rPr>
        <w:t xml:space="preserve">The results are presented as means ± SEM, *p&lt;0.05, **p&lt;0.01, ***p&lt;0.001. LA: MDSCs were incubated with lactate, LA+2-DG: MDSCs were treated with </w:t>
      </w:r>
      <w:r w:rsidRPr="00AE051F">
        <w:rPr>
          <w:rFonts w:ascii="Times New Roman" w:hAnsi="Times New Roman" w:hint="eastAsia"/>
          <w:sz w:val="24"/>
          <w:szCs w:val="24"/>
        </w:rPr>
        <w:t>lactate</w:t>
      </w:r>
      <w:r w:rsidRPr="00AE051F">
        <w:rPr>
          <w:rFonts w:ascii="Times New Roman" w:hAnsi="Times New Roman"/>
          <w:sz w:val="24"/>
          <w:szCs w:val="24"/>
        </w:rPr>
        <w:t xml:space="preserve"> and 2-DG,</w:t>
      </w:r>
      <w:r w:rsidRPr="00AE051F">
        <w:rPr>
          <w:sz w:val="24"/>
          <w:szCs w:val="24"/>
        </w:rPr>
        <w:t xml:space="preserve"> </w:t>
      </w:r>
      <w:r w:rsidRPr="00AE051F">
        <w:rPr>
          <w:rFonts w:ascii="Times New Roman" w:hAnsi="Times New Roman"/>
          <w:sz w:val="24"/>
          <w:szCs w:val="24"/>
        </w:rPr>
        <w:t>2-DG: 2-deoxy-D-glucose.</w:t>
      </w:r>
    </w:p>
    <w:p w14:paraId="28F2C069" w14:textId="77777777" w:rsidR="00E44100" w:rsidRPr="00BE739A" w:rsidRDefault="00E44100" w:rsidP="00E44100">
      <w:pPr>
        <w:adjustRightInd w:val="0"/>
        <w:snapToGrid w:val="0"/>
        <w:spacing w:line="360" w:lineRule="auto"/>
        <w:ind w:left="425" w:hangingChars="177" w:hanging="425"/>
        <w:rPr>
          <w:sz w:val="24"/>
          <w:szCs w:val="24"/>
        </w:rPr>
      </w:pPr>
    </w:p>
    <w:p w14:paraId="6D5B9842" w14:textId="77777777" w:rsidR="00E44100" w:rsidRPr="00E44100" w:rsidRDefault="00E44100">
      <w:pPr>
        <w:rPr>
          <w:rFonts w:hint="eastAsia"/>
        </w:rPr>
      </w:pPr>
    </w:p>
    <w:sectPr w:rsidR="00E44100" w:rsidRPr="00E441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06BF3C" w14:textId="77777777" w:rsidR="00C064B8" w:rsidRDefault="00C064B8" w:rsidP="00A37D67">
      <w:r>
        <w:separator/>
      </w:r>
    </w:p>
  </w:endnote>
  <w:endnote w:type="continuationSeparator" w:id="0">
    <w:p w14:paraId="25A6EF69" w14:textId="77777777" w:rsidR="00C064B8" w:rsidRDefault="00C064B8" w:rsidP="00A37D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U-BZ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438CFA" w14:textId="77777777" w:rsidR="00C064B8" w:rsidRDefault="00C064B8" w:rsidP="00A37D67">
      <w:r>
        <w:separator/>
      </w:r>
    </w:p>
  </w:footnote>
  <w:footnote w:type="continuationSeparator" w:id="0">
    <w:p w14:paraId="509B4D9C" w14:textId="77777777" w:rsidR="00C064B8" w:rsidRDefault="00C064B8" w:rsidP="00A37D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654B"/>
    <w:rsid w:val="001748B7"/>
    <w:rsid w:val="004740CA"/>
    <w:rsid w:val="004C7AA1"/>
    <w:rsid w:val="00901FB0"/>
    <w:rsid w:val="0092024F"/>
    <w:rsid w:val="009D67CB"/>
    <w:rsid w:val="00A03832"/>
    <w:rsid w:val="00A3044A"/>
    <w:rsid w:val="00A37D67"/>
    <w:rsid w:val="00AB0A7B"/>
    <w:rsid w:val="00C064B8"/>
    <w:rsid w:val="00D50C6A"/>
    <w:rsid w:val="00E44100"/>
    <w:rsid w:val="00E66276"/>
    <w:rsid w:val="00E80948"/>
    <w:rsid w:val="00EF654B"/>
    <w:rsid w:val="00FC3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816CA9"/>
  <w15:chartTrackingRefBased/>
  <w15:docId w15:val="{5FE15F7B-9F0E-4169-A55E-2ECD99A3C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0A7B"/>
    <w:pPr>
      <w:widowControl w:val="0"/>
      <w:jc w:val="both"/>
    </w:pPr>
    <w:rPr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unhideWhenUsed/>
    <w:rsid w:val="00EF654B"/>
    <w:rPr>
      <w:rFonts w:ascii="Times New Roman" w:eastAsia="Times New Roman" w:hAnsi="Times New Roman"/>
      <w:color w:val="auto"/>
      <w:sz w:val="24"/>
    </w:rPr>
  </w:style>
  <w:style w:type="table" w:customStyle="1" w:styleId="1">
    <w:name w:val="网格型1"/>
    <w:basedOn w:val="a1"/>
    <w:uiPriority w:val="39"/>
    <w:qFormat/>
    <w:rsid w:val="00EF654B"/>
    <w:rPr>
      <w:rFonts w:ascii="Times New Roman" w:eastAsia="宋体" w:hAnsi="Times New Roman" w:cs="Times New Roman"/>
      <w:kern w:val="0"/>
      <w:sz w:val="24"/>
      <w:szCs w:val="20"/>
    </w:rPr>
    <w:tblPr/>
  </w:style>
  <w:style w:type="paragraph" w:styleId="a4">
    <w:name w:val="header"/>
    <w:basedOn w:val="a"/>
    <w:link w:val="a5"/>
    <w:uiPriority w:val="99"/>
    <w:unhideWhenUsed/>
    <w:rsid w:val="00A37D6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A37D67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A37D6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A37D67"/>
    <w:rPr>
      <w:sz w:val="18"/>
      <w:szCs w:val="18"/>
    </w:rPr>
  </w:style>
  <w:style w:type="character" w:customStyle="1" w:styleId="skip">
    <w:name w:val="skip"/>
    <w:basedOn w:val="a0"/>
    <w:rsid w:val="001748B7"/>
  </w:style>
  <w:style w:type="character" w:styleId="a8">
    <w:name w:val="Hyperlink"/>
    <w:basedOn w:val="a0"/>
    <w:uiPriority w:val="99"/>
    <w:semiHidden/>
    <w:unhideWhenUsed/>
    <w:rsid w:val="001748B7"/>
    <w:rPr>
      <w:color w:val="0000FF"/>
      <w:u w:val="single"/>
    </w:rPr>
  </w:style>
  <w:style w:type="character" w:customStyle="1" w:styleId="fontstyle21">
    <w:name w:val="fontstyle21"/>
    <w:qFormat/>
    <w:rsid w:val="00E44100"/>
    <w:rPr>
      <w:rFonts w:ascii="NEU-BZ" w:hAnsi="NEU-BZ" w:hint="default"/>
      <w:color w:val="231F2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380</Words>
  <Characters>2172</Characters>
  <Application>Microsoft Office Word</Application>
  <DocSecurity>0</DocSecurity>
  <Lines>18</Lines>
  <Paragraphs>5</Paragraphs>
  <ScaleCrop>false</ScaleCrop>
  <Company>微软中国</Company>
  <LinksUpToDate>false</LinksUpToDate>
  <CharactersWithSpaces>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jsdxmajie@163.com</cp:lastModifiedBy>
  <cp:revision>6</cp:revision>
  <dcterms:created xsi:type="dcterms:W3CDTF">2021-07-11T13:46:00Z</dcterms:created>
  <dcterms:modified xsi:type="dcterms:W3CDTF">2023-04-08T04:46:00Z</dcterms:modified>
</cp:coreProperties>
</file>