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0" w:afterLines="0"/>
        <w:rPr>
          <w:rFonts w:hint="eastAsia" w:ascii="Times New Roman" w:eastAsia="Times New Roman"/>
          <w:b w:val="0"/>
          <w:bCs/>
          <w:sz w:val="28"/>
          <w:szCs w:val="28"/>
        </w:rPr>
      </w:pPr>
      <w:r>
        <w:rPr>
          <w:rFonts w:hint="eastAsia" w:ascii="Times New Roman" w:eastAsia="Times New Roman"/>
          <w:b/>
          <w:sz w:val="28"/>
          <w:szCs w:val="28"/>
        </w:rPr>
        <w:t>Supplementary Table S1. The 463 CAFRGs.</w:t>
      </w:r>
      <w:r>
        <w:rPr>
          <w:rFonts w:hint="eastAsia" w:ascii="Times New Roman" w:eastAsia="Times New Roman"/>
          <w:b w:val="0"/>
          <w:bCs/>
          <w:sz w:val="28"/>
          <w:szCs w:val="28"/>
        </w:rPr>
        <w:t xml:space="preserve"> A total of 463 CAFRGs were identified using the function "FindAllMarkers" for the high variant genes in each cluster (logFC &gt;= 0.5, min.pct = 0.3 and diff.pct &gt;= 0.2). </w:t>
      </w:r>
    </w:p>
    <w:p>
      <w:pPr>
        <w:spacing w:beforeLines="0" w:afterLines="0"/>
        <w:rPr>
          <w:rFonts w:hint="eastAsia" w:ascii="Times New Roman" w:eastAsia="Times New Roman"/>
          <w:b/>
          <w:sz w:val="28"/>
          <w:szCs w:val="28"/>
        </w:rPr>
      </w:pPr>
    </w:p>
    <w:p>
      <w:pPr>
        <w:spacing w:beforeLines="0" w:afterLines="0"/>
        <w:rPr>
          <w:rFonts w:hint="eastAsia" w:ascii="Times New Roman" w:eastAsia="Times New Roman"/>
          <w:b w:val="0"/>
          <w:bCs/>
          <w:sz w:val="28"/>
          <w:szCs w:val="28"/>
        </w:rPr>
      </w:pPr>
      <w:r>
        <w:rPr>
          <w:rFonts w:hint="eastAsia" w:ascii="Times New Roman" w:eastAsia="Times New Roman"/>
          <w:b/>
          <w:sz w:val="28"/>
          <w:szCs w:val="28"/>
        </w:rPr>
        <w:t xml:space="preserve">Supplementary Table S2. </w:t>
      </w:r>
      <w:r>
        <w:rPr>
          <w:rFonts w:hint="eastAsia" w:ascii="Times New Roman" w:eastAsia="Times New Roman"/>
          <w:b w:val="0"/>
          <w:bCs/>
          <w:sz w:val="28"/>
          <w:szCs w:val="28"/>
        </w:rPr>
        <w:t xml:space="preserve">The GO analysis for different CAF clusters. The mechanisms enriched by the different CAF clusters were very different. </w:t>
      </w:r>
    </w:p>
    <w:p>
      <w:pPr>
        <w:spacing w:beforeLines="0" w:afterLines="0"/>
        <w:rPr>
          <w:rFonts w:hint="eastAsia" w:ascii="Times New Roman" w:eastAsia="Times New Roman"/>
          <w:b/>
          <w:sz w:val="28"/>
          <w:szCs w:val="28"/>
        </w:rPr>
      </w:pPr>
    </w:p>
    <w:p>
      <w:pPr>
        <w:spacing w:beforeLines="0" w:afterLines="0"/>
        <w:rPr>
          <w:rFonts w:hint="eastAsia" w:ascii="Times New Roman" w:eastAsia="Times New Roman"/>
          <w:b w:val="0"/>
          <w:bCs/>
          <w:sz w:val="28"/>
          <w:szCs w:val="28"/>
        </w:rPr>
      </w:pPr>
      <w:r>
        <w:rPr>
          <w:rFonts w:hint="eastAsia" w:ascii="Times New Roman" w:eastAsia="Times New Roman"/>
          <w:b/>
          <w:sz w:val="28"/>
          <w:szCs w:val="28"/>
        </w:rPr>
        <w:t>Supplementary Table S3.</w:t>
      </w:r>
      <w:r>
        <w:rPr>
          <w:rFonts w:hint="eastAsia" w:ascii="Times New Roman" w:eastAsia="Times New Roman"/>
          <w:b w:val="0"/>
          <w:bCs/>
          <w:sz w:val="28"/>
          <w:szCs w:val="28"/>
        </w:rPr>
        <w:t xml:space="preserve"> The KEGG analysis for different CAF clusters. The pathways enriched by the different CAF clusters were very different. </w:t>
      </w:r>
    </w:p>
    <w:p>
      <w:pPr>
        <w:spacing w:beforeLines="0" w:afterLines="0"/>
        <w:rPr>
          <w:rFonts w:hint="eastAsia" w:ascii="Times New Roman" w:eastAsia="Times New Roman"/>
          <w:b/>
          <w:sz w:val="28"/>
          <w:szCs w:val="28"/>
        </w:rPr>
      </w:pPr>
    </w:p>
    <w:p>
      <w:pPr>
        <w:spacing w:beforeLines="0" w:afterLines="0"/>
        <w:rPr>
          <w:rFonts w:hint="eastAsia" w:ascii="Times New Roman" w:eastAsia="Times New Roman"/>
          <w:b w:val="0"/>
          <w:bCs/>
          <w:sz w:val="28"/>
          <w:szCs w:val="28"/>
        </w:rPr>
      </w:pPr>
      <w:r>
        <w:rPr>
          <w:rFonts w:hint="eastAsia" w:ascii="Times New Roman" w:eastAsia="Times New Roman"/>
          <w:b/>
          <w:sz w:val="28"/>
          <w:szCs w:val="28"/>
        </w:rPr>
        <w:t xml:space="preserve">Supplementary Table S4. </w:t>
      </w:r>
      <w:r>
        <w:rPr>
          <w:rFonts w:hint="eastAsia" w:ascii="Times New Roman" w:eastAsia="Times New Roman"/>
          <w:b w:val="0"/>
          <w:bCs/>
          <w:sz w:val="28"/>
          <w:szCs w:val="28"/>
        </w:rPr>
        <w:t xml:space="preserve">The 183 DEGs. 183 DEGs were identified between different groups with thresholds of |logFC &gt; 1| and FDR &lt; 0.05. </w:t>
      </w:r>
    </w:p>
    <w:p>
      <w:pPr>
        <w:spacing w:beforeLines="0" w:afterLines="0"/>
        <w:rPr>
          <w:rFonts w:hint="eastAsia" w:ascii="Times New Roman" w:eastAsia="Times New Roman"/>
          <w:b/>
          <w:sz w:val="28"/>
          <w:szCs w:val="28"/>
        </w:rPr>
      </w:pPr>
    </w:p>
    <w:p>
      <w:pPr>
        <w:spacing w:beforeLines="0" w:afterLines="0"/>
        <w:rPr>
          <w:rFonts w:hint="eastAsia" w:ascii="Times New Roman" w:eastAsia="Times New Roman"/>
          <w:b/>
          <w:sz w:val="28"/>
          <w:szCs w:val="28"/>
        </w:rPr>
      </w:pPr>
      <w:r>
        <w:rPr>
          <w:rFonts w:hint="eastAsia" w:ascii="Times New Roman" w:eastAsia="Times New Roman"/>
          <w:b/>
          <w:sz w:val="28"/>
          <w:szCs w:val="28"/>
        </w:rPr>
        <w:t xml:space="preserve">Supplementary Table S5. </w:t>
      </w:r>
      <w:r>
        <w:rPr>
          <w:rFonts w:hint="eastAsia" w:ascii="Times New Roman" w:eastAsia="Times New Roman"/>
          <w:b w:val="0"/>
          <w:bCs/>
          <w:sz w:val="28"/>
          <w:szCs w:val="28"/>
        </w:rPr>
        <w:t xml:space="preserve">The GO analysis for 183 DEGs. BP terminology is associated with mitotic nuclear division (GO:0140014), sister chromatid segregation (GO:0000819), and mitotic sister chromatid segregation (GO:0000070); CC terminology is associated with sarcomere (GO:0030017), myofibril (GO:0030016), and contractile fiber (GO:0043292); MF terms is associated with receptor ligand activity (GO:0048018), signaling receptor activator activity (GO:0030546), CXCR chemokine receptor binding (GO:0045236). </w:t>
      </w:r>
    </w:p>
    <w:p>
      <w:pPr>
        <w:spacing w:beforeLines="0" w:afterLines="0"/>
        <w:rPr>
          <w:rFonts w:hint="eastAsia" w:ascii="Times New Roman" w:eastAsia="Times New Roman"/>
          <w:b/>
          <w:sz w:val="28"/>
          <w:szCs w:val="28"/>
        </w:rPr>
      </w:pPr>
    </w:p>
    <w:p>
      <w:pPr>
        <w:spacing w:beforeLines="0" w:afterLines="0"/>
        <w:rPr>
          <w:rFonts w:hint="eastAsia" w:ascii="Times New Roman" w:eastAsia="Times New Roman"/>
          <w:b w:val="0"/>
          <w:bCs/>
          <w:sz w:val="28"/>
          <w:szCs w:val="28"/>
        </w:rPr>
      </w:pPr>
      <w:r>
        <w:rPr>
          <w:rFonts w:hint="eastAsia" w:ascii="Times New Roman" w:eastAsia="Times New Roman"/>
          <w:b/>
          <w:sz w:val="28"/>
          <w:szCs w:val="28"/>
        </w:rPr>
        <w:t xml:space="preserve">Supplementary Table S6. </w:t>
      </w:r>
      <w:r>
        <w:rPr>
          <w:rFonts w:hint="eastAsia" w:ascii="Times New Roman" w:eastAsia="Times New Roman"/>
          <w:b w:val="0"/>
          <w:bCs/>
          <w:sz w:val="28"/>
          <w:szCs w:val="28"/>
        </w:rPr>
        <w:t xml:space="preserve">The KEGG analysis for 183 DEGs. DEGs were highly enriched in the IL-17 signaling pathway (hsa04657), amoebiasis (hsa05146), ECM-receptor interaction (hsa04512), rheumatoid arthritis (hsa05323), staphylococcus aureus infection (hsa05150), and viral protein interaction with cytokine and cytokine receptor (hsa04061).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UwYjMxNmE5ODM5MWE0Y2UyZjliMzE1NjE3MzVkZjMifQ=="/>
  </w:docVars>
  <w:rsids>
    <w:rsidRoot w:val="00000000"/>
    <w:rsid w:val="0F4540C9"/>
    <w:rsid w:val="18527D16"/>
    <w:rsid w:val="58101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spacing w:beforeLines="0" w:afterLines="0"/>
      <w:jc w:val="both"/>
    </w:pPr>
    <w:rPr>
      <w:rFonts w:hint="eastAsia"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</Words>
  <Characters>276</Characters>
  <Lines>0</Lines>
  <Paragraphs>0</Paragraphs>
  <TotalTime>2</TotalTime>
  <ScaleCrop>false</ScaleCrop>
  <LinksUpToDate>false</LinksUpToDate>
  <CharactersWithSpaces>320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2023-04-12T15:50:00Z</dcterms:created>
  <dc:creator>刘飞</dc:creator>
  <cp:lastModifiedBy>刘飞</cp:lastModifiedBy>
  <dcterms:modified xsi:type="dcterms:W3CDTF">2023-04-17T07:34:09Z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B6A282736CDD453698FC5A35E43C0863_12</vt:lpwstr>
  </property>
</Properties>
</file>