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042D0" w14:textId="77777777" w:rsidR="005103D4" w:rsidRDefault="005103D4" w:rsidP="005103D4">
      <w:pPr>
        <w:spacing w:before="240" w:after="240" w:line="240" w:lineRule="auto"/>
        <w:jc w:val="both"/>
        <w:rPr>
          <w:rFonts w:ascii="Arial" w:hAnsi="Arial" w:cs="Arial"/>
          <w:color w:val="222222"/>
          <w:shd w:val="clear" w:color="auto" w:fill="FFFFFF"/>
        </w:rPr>
      </w:pPr>
      <w:r>
        <w:rPr>
          <w:noProof/>
        </w:rPr>
        <w:drawing>
          <wp:inline distT="0" distB="0" distL="0" distR="0" wp14:anchorId="5E941399" wp14:editId="71C0C379">
            <wp:extent cx="5934343" cy="6242050"/>
            <wp:effectExtent l="0" t="0" r="9525" b="635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2228" cy="6250344"/>
                    </a:xfrm>
                    <a:prstGeom prst="rect">
                      <a:avLst/>
                    </a:prstGeom>
                    <a:noFill/>
                    <a:ln>
                      <a:noFill/>
                    </a:ln>
                  </pic:spPr>
                </pic:pic>
              </a:graphicData>
            </a:graphic>
          </wp:inline>
        </w:drawing>
      </w:r>
    </w:p>
    <w:p w14:paraId="022FF2E5" w14:textId="77777777" w:rsidR="005103D4" w:rsidRPr="002715D0" w:rsidRDefault="005103D4" w:rsidP="005103D4">
      <w:pPr>
        <w:spacing w:before="240" w:after="240" w:line="240" w:lineRule="auto"/>
        <w:jc w:val="both"/>
        <w:rPr>
          <w:rFonts w:ascii="Arial" w:eastAsia="Times New Roman" w:hAnsi="Arial" w:cs="Arial"/>
        </w:rPr>
      </w:pPr>
      <w:r w:rsidRPr="00A8224D">
        <w:rPr>
          <w:rFonts w:ascii="Arial" w:hAnsi="Arial" w:cs="Arial"/>
          <w:b/>
          <w:bCs/>
          <w:i/>
          <w:iCs/>
        </w:rPr>
        <w:t>Supplemental Figure 1:</w:t>
      </w:r>
      <w:r w:rsidRPr="00EB395E">
        <w:rPr>
          <w:rFonts w:ascii="Arial" w:hAnsi="Arial" w:cs="Arial"/>
        </w:rPr>
        <w:t xml:space="preserve">  </w:t>
      </w:r>
      <w:r w:rsidRPr="00EB395E">
        <w:rPr>
          <w:rFonts w:ascii="Arial" w:hAnsi="Arial" w:cs="Arial"/>
          <w:b/>
          <w:bCs/>
        </w:rPr>
        <w:t>Other cell lines show mutually exclusive activity of FOXO1 and p53</w:t>
      </w:r>
      <w:r w:rsidRPr="00EB395E">
        <w:rPr>
          <w:rFonts w:ascii="Arial" w:hAnsi="Arial" w:cs="Arial"/>
        </w:rPr>
        <w:t>. (A) Heat maps showing the nuclear fraction of FOXO1 and nuclear</w:t>
      </w:r>
      <w:r>
        <w:rPr>
          <w:rFonts w:ascii="Arial" w:hAnsi="Arial" w:cs="Arial"/>
        </w:rPr>
        <w:t xml:space="preserve"> p53</w:t>
      </w:r>
      <w:r w:rsidRPr="00EB395E">
        <w:rPr>
          <w:rFonts w:ascii="Arial" w:hAnsi="Arial" w:cs="Arial"/>
        </w:rPr>
        <w:t xml:space="preserve"> levels of cells plated at specified cell numbers</w:t>
      </w:r>
      <w:r>
        <w:rPr>
          <w:rFonts w:ascii="Arial" w:hAnsi="Arial" w:cs="Arial"/>
        </w:rPr>
        <w:t xml:space="preserve"> (bottom)</w:t>
      </w:r>
      <w:r w:rsidRPr="00EB395E">
        <w:rPr>
          <w:rFonts w:ascii="Arial" w:hAnsi="Arial" w:cs="Arial"/>
        </w:rPr>
        <w:t xml:space="preserve"> </w:t>
      </w:r>
      <w:r>
        <w:rPr>
          <w:rFonts w:ascii="Arial" w:hAnsi="Arial" w:cs="Arial"/>
        </w:rPr>
        <w:t>and indicated</w:t>
      </w:r>
      <w:r w:rsidRPr="00EB395E">
        <w:rPr>
          <w:rFonts w:ascii="Arial" w:hAnsi="Arial" w:cs="Arial"/>
        </w:rPr>
        <w:t xml:space="preserve">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Pr>
          <w:rFonts w:ascii="Arial" w:hAnsi="Arial" w:cs="Arial"/>
          <w:vertAlign w:val="subscript"/>
        </w:rPr>
        <w:t xml:space="preserve"> </w:t>
      </w:r>
      <w:r>
        <w:rPr>
          <w:rFonts w:ascii="Arial" w:hAnsi="Arial" w:cs="Arial"/>
        </w:rPr>
        <w:t>(left)</w:t>
      </w:r>
      <w:r w:rsidRPr="00EB395E">
        <w:rPr>
          <w:rFonts w:ascii="Arial" w:hAnsi="Arial" w:cs="Arial"/>
        </w:rPr>
        <w:t xml:space="preserve">. (B) Density colored scatter plot of all cells </w:t>
      </w:r>
      <w:r>
        <w:rPr>
          <w:rFonts w:ascii="Arial" w:hAnsi="Arial" w:cs="Arial"/>
        </w:rPr>
        <w:t xml:space="preserve">used </w:t>
      </w:r>
      <w:r w:rsidRPr="00EB395E">
        <w:rPr>
          <w:rFonts w:ascii="Arial" w:hAnsi="Arial" w:cs="Arial"/>
        </w:rPr>
        <w:t>in Figure 2B to determine thresholds for the fraction of FOXO1 and nuclear levels of p53. Population density plots of nuclear fraction of FOXO1 (left side) and nuclear p53 (below) used for thresholding of the</w:t>
      </w:r>
      <w:r>
        <w:rPr>
          <w:rFonts w:ascii="Arial" w:hAnsi="Arial" w:cs="Arial"/>
        </w:rPr>
        <w:t xml:space="preserve"> density plots shown in Figure 1</w:t>
      </w:r>
      <w:r w:rsidRPr="00EB395E">
        <w:rPr>
          <w:rFonts w:ascii="Arial" w:hAnsi="Arial" w:cs="Arial"/>
        </w:rPr>
        <w:t xml:space="preserve">B. (C) Bar and whisker plots of nuclear </w:t>
      </w:r>
      <w:r>
        <w:rPr>
          <w:rFonts w:ascii="Arial" w:hAnsi="Arial" w:cs="Arial"/>
        </w:rPr>
        <w:t>γ</w:t>
      </w:r>
      <w:r w:rsidRPr="00EB395E">
        <w:rPr>
          <w:rFonts w:ascii="Arial" w:hAnsi="Arial" w:cs="Arial"/>
        </w:rPr>
        <w:t>H2AX and nuclear p53 levels after 3 hours of treatment with 400n</w:t>
      </w:r>
      <w:r>
        <w:rPr>
          <w:rFonts w:ascii="Arial" w:hAnsi="Arial" w:cs="Arial"/>
        </w:rPr>
        <w:t xml:space="preserve">g/ml of </w:t>
      </w:r>
      <w:proofErr w:type="spellStart"/>
      <w:r>
        <w:rPr>
          <w:rFonts w:ascii="Arial" w:hAnsi="Arial" w:cs="Arial"/>
        </w:rPr>
        <w:t>Neocarzinostatin</w:t>
      </w:r>
      <w:proofErr w:type="spellEnd"/>
      <w:r>
        <w:rPr>
          <w:rFonts w:ascii="Arial" w:hAnsi="Arial" w:cs="Arial"/>
        </w:rPr>
        <w:t xml:space="preserve"> (NCS). The central line indicates the median and the bottom and top edges of the box indicate the 25</w:t>
      </w:r>
      <w:r w:rsidRPr="002715D0">
        <w:rPr>
          <w:rFonts w:ascii="Arial" w:hAnsi="Arial" w:cs="Arial"/>
          <w:vertAlign w:val="superscript"/>
        </w:rPr>
        <w:t>th</w:t>
      </w:r>
      <w:r>
        <w:rPr>
          <w:rFonts w:ascii="Arial" w:hAnsi="Arial" w:cs="Arial"/>
        </w:rPr>
        <w:t xml:space="preserve"> and 75</w:t>
      </w:r>
      <w:r w:rsidRPr="002715D0">
        <w:rPr>
          <w:rFonts w:ascii="Arial" w:hAnsi="Arial" w:cs="Arial"/>
          <w:vertAlign w:val="superscript"/>
        </w:rPr>
        <w:t>th</w:t>
      </w:r>
      <w:r>
        <w:rPr>
          <w:rFonts w:ascii="Arial" w:hAnsi="Arial" w:cs="Arial"/>
        </w:rPr>
        <w:t xml:space="preserve"> percentiles respectively. The whiskers indicate the extreme data points not considered as outliers and outliers are indicated by ‘+’.</w:t>
      </w:r>
      <w:r>
        <w:rPr>
          <w:rFonts w:ascii="Arial" w:eastAsia="Times New Roman" w:hAnsi="Arial" w:cs="Arial"/>
        </w:rPr>
        <w:t xml:space="preserve"> </w:t>
      </w:r>
      <w:r>
        <w:rPr>
          <w:rFonts w:ascii="Arial" w:hAnsi="Arial" w:cs="Arial"/>
        </w:rPr>
        <w:t xml:space="preserve">(D-F) </w:t>
      </w:r>
      <w:r w:rsidRPr="00EB395E">
        <w:rPr>
          <w:rFonts w:ascii="Arial" w:hAnsi="Arial" w:cs="Arial"/>
        </w:rPr>
        <w:t xml:space="preserve">Immunofluorescence images and density colored scatter plots of nuclear fraction of FOXO1 and nuclear p53 at the indicated concentrations </w:t>
      </w:r>
      <w:r>
        <w:rPr>
          <w:rFonts w:ascii="Arial" w:hAnsi="Arial" w:cs="Arial"/>
        </w:rPr>
        <w:t>of</w:t>
      </w:r>
      <w:r w:rsidRPr="00EB395E">
        <w:rPr>
          <w:rFonts w:ascii="Arial" w:hAnsi="Arial" w:cs="Arial"/>
        </w:rPr>
        <w:t xml:space="preserve">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for 5 hours for (D) A549 (E) U2OS and (F) MCF10A cell lines. (G and H) Density colored scatter of cells treated with </w:t>
      </w:r>
      <w:r>
        <w:rPr>
          <w:rFonts w:ascii="Arial" w:hAnsi="Arial" w:cs="Arial"/>
        </w:rPr>
        <w:t>indicat</w:t>
      </w:r>
      <w:r w:rsidRPr="00EB395E">
        <w:rPr>
          <w:rFonts w:ascii="Arial" w:hAnsi="Arial" w:cs="Arial"/>
        </w:rPr>
        <w:t>ed concentrations of Menadione and tert-butyl hydroperoxide (TBHP) for 5</w:t>
      </w:r>
      <w:r>
        <w:rPr>
          <w:rFonts w:ascii="Arial" w:hAnsi="Arial" w:cs="Arial"/>
        </w:rPr>
        <w:t xml:space="preserve"> </w:t>
      </w:r>
      <w:r w:rsidRPr="00EB395E">
        <w:rPr>
          <w:rFonts w:ascii="Arial" w:hAnsi="Arial" w:cs="Arial"/>
        </w:rPr>
        <w:t xml:space="preserve">hours. </w:t>
      </w:r>
    </w:p>
    <w:p w14:paraId="0485D9B1" w14:textId="77777777" w:rsidR="005103D4" w:rsidRDefault="005103D4" w:rsidP="005103D4">
      <w:pPr>
        <w:spacing w:before="240" w:after="240" w:line="240" w:lineRule="auto"/>
        <w:jc w:val="both"/>
        <w:rPr>
          <w:rFonts w:ascii="Arial" w:hAnsi="Arial" w:cs="Arial"/>
          <w:color w:val="222222"/>
          <w:shd w:val="clear" w:color="auto" w:fill="FFFFFF"/>
        </w:rPr>
      </w:pPr>
      <w:r>
        <w:rPr>
          <w:noProof/>
        </w:rPr>
        <w:lastRenderedPageBreak/>
        <w:drawing>
          <wp:inline distT="0" distB="0" distL="0" distR="0" wp14:anchorId="0B17F292" wp14:editId="30C17706">
            <wp:extent cx="5937250" cy="2446917"/>
            <wp:effectExtent l="0" t="0" r="6350"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2933" cy="2449259"/>
                    </a:xfrm>
                    <a:prstGeom prst="rect">
                      <a:avLst/>
                    </a:prstGeom>
                    <a:noFill/>
                    <a:ln>
                      <a:noFill/>
                    </a:ln>
                  </pic:spPr>
                </pic:pic>
              </a:graphicData>
            </a:graphic>
          </wp:inline>
        </w:drawing>
      </w:r>
    </w:p>
    <w:p w14:paraId="1DFD0C02" w14:textId="77777777" w:rsidR="005103D4" w:rsidRDefault="005103D4" w:rsidP="005103D4">
      <w:pPr>
        <w:jc w:val="both"/>
        <w:rPr>
          <w:rFonts w:ascii="Arial" w:hAnsi="Arial" w:cs="Arial"/>
        </w:rPr>
      </w:pPr>
      <w:r w:rsidRPr="00A8224D">
        <w:rPr>
          <w:rFonts w:ascii="Arial" w:hAnsi="Arial" w:cs="Arial"/>
          <w:b/>
          <w:bCs/>
          <w:i/>
          <w:iCs/>
        </w:rPr>
        <w:t>Supplemental Fig 2:</w:t>
      </w:r>
      <w:r w:rsidRPr="00EB395E">
        <w:rPr>
          <w:rFonts w:ascii="Arial" w:hAnsi="Arial" w:cs="Arial"/>
        </w:rPr>
        <w:t xml:space="preserve"> </w:t>
      </w:r>
      <w:r w:rsidRPr="00EB395E">
        <w:rPr>
          <w:rFonts w:ascii="Arial" w:hAnsi="Arial" w:cs="Arial"/>
          <w:b/>
          <w:bCs/>
        </w:rPr>
        <w:t>p53 dynamics in response to H</w:t>
      </w:r>
      <w:r w:rsidRPr="00EB395E">
        <w:rPr>
          <w:rFonts w:ascii="Arial" w:hAnsi="Arial" w:cs="Arial"/>
          <w:b/>
          <w:bCs/>
          <w:vertAlign w:val="subscript"/>
        </w:rPr>
        <w:t>2</w:t>
      </w:r>
      <w:r w:rsidRPr="00EB395E">
        <w:rPr>
          <w:rFonts w:ascii="Arial" w:hAnsi="Arial" w:cs="Arial"/>
          <w:b/>
          <w:bCs/>
        </w:rPr>
        <w:t>O</w:t>
      </w:r>
      <w:r w:rsidRPr="00EB395E">
        <w:rPr>
          <w:rFonts w:ascii="Arial" w:hAnsi="Arial" w:cs="Arial"/>
          <w:b/>
          <w:bCs/>
          <w:vertAlign w:val="subscript"/>
        </w:rPr>
        <w:t>2</w:t>
      </w:r>
      <w:r w:rsidRPr="00EB395E">
        <w:rPr>
          <w:rFonts w:ascii="Arial" w:hAnsi="Arial" w:cs="Arial"/>
          <w:b/>
          <w:bCs/>
        </w:rPr>
        <w:t xml:space="preserve"> stress</w:t>
      </w:r>
      <w:r w:rsidRPr="00EB395E">
        <w:rPr>
          <w:rFonts w:ascii="Arial" w:hAnsi="Arial" w:cs="Arial"/>
        </w:rPr>
        <w:t>. (A) Autocorrelation of p53 trajectories of cells treated with 50µM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Pr>
          <w:rFonts w:ascii="Arial" w:hAnsi="Arial" w:cs="Arial"/>
        </w:rPr>
        <w:t xml:space="preserve"> from Figure 2</w:t>
      </w:r>
      <w:r w:rsidRPr="00EB395E">
        <w:rPr>
          <w:rFonts w:ascii="Arial" w:hAnsi="Arial" w:cs="Arial"/>
        </w:rPr>
        <w:t>B. (B) Autocorrelation of p53 trajectories after F</w:t>
      </w:r>
      <w:r>
        <w:rPr>
          <w:rFonts w:ascii="Arial" w:hAnsi="Arial" w:cs="Arial"/>
        </w:rPr>
        <w:t>OXO</w:t>
      </w:r>
      <w:r w:rsidRPr="00EB395E">
        <w:rPr>
          <w:rFonts w:ascii="Arial" w:hAnsi="Arial" w:cs="Arial"/>
        </w:rPr>
        <w:t xml:space="preserve">1 </w:t>
      </w:r>
      <w:r>
        <w:rPr>
          <w:rFonts w:ascii="Arial" w:hAnsi="Arial" w:cs="Arial"/>
        </w:rPr>
        <w:t>phase</w:t>
      </w:r>
      <w:r w:rsidRPr="00EB395E">
        <w:rPr>
          <w:rFonts w:ascii="Arial" w:hAnsi="Arial" w:cs="Arial"/>
        </w:rPr>
        <w:t xml:space="preserve"> of cells treated with 80µM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from Figure 2C (C) Autocorrelation of p53 trajectories after </w:t>
      </w:r>
      <w:r>
        <w:rPr>
          <w:rFonts w:ascii="Arial" w:hAnsi="Arial" w:cs="Arial"/>
        </w:rPr>
        <w:t>FOXO</w:t>
      </w:r>
      <w:r w:rsidRPr="00EB395E">
        <w:rPr>
          <w:rFonts w:ascii="Arial" w:hAnsi="Arial" w:cs="Arial"/>
        </w:rPr>
        <w:t xml:space="preserve">1 </w:t>
      </w:r>
      <w:r>
        <w:rPr>
          <w:rFonts w:ascii="Arial" w:hAnsi="Arial" w:cs="Arial"/>
        </w:rPr>
        <w:t>phas</w:t>
      </w:r>
      <w:r w:rsidRPr="00EB395E">
        <w:rPr>
          <w:rFonts w:ascii="Arial" w:hAnsi="Arial" w:cs="Arial"/>
        </w:rPr>
        <w:t>e of cells treated with 100µM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from Figure 2D. (D) Autocorrelation of p53 trajectories after </w:t>
      </w:r>
      <w:r>
        <w:rPr>
          <w:rFonts w:ascii="Arial" w:hAnsi="Arial" w:cs="Arial"/>
        </w:rPr>
        <w:t>FOXO1 phase</w:t>
      </w:r>
      <w:r w:rsidRPr="00EB395E">
        <w:rPr>
          <w:rFonts w:ascii="Arial" w:hAnsi="Arial" w:cs="Arial"/>
        </w:rPr>
        <w:t xml:space="preserve"> of cells treated with 300µM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from Figure 2E.</w:t>
      </w:r>
      <w:r>
        <w:rPr>
          <w:rFonts w:ascii="Arial" w:hAnsi="Arial" w:cs="Arial"/>
        </w:rPr>
        <w:t xml:space="preserve"> (E) FOXO1-mVenus levels in surviving (blue) and dead (red) cells treated with 100</w:t>
      </w:r>
      <w:r w:rsidRPr="00EB395E">
        <w:rPr>
          <w:rFonts w:ascii="Arial" w:hAnsi="Arial" w:cs="Arial"/>
        </w:rPr>
        <w:t>µ</w:t>
      </w:r>
      <w:r>
        <w:rPr>
          <w:rFonts w:ascii="Arial" w:hAnsi="Arial" w:cs="Arial"/>
        </w:rPr>
        <w:t>M of H</w:t>
      </w:r>
      <w:r w:rsidRPr="00BD1B82">
        <w:rPr>
          <w:rFonts w:ascii="Arial" w:hAnsi="Arial" w:cs="Arial"/>
          <w:vertAlign w:val="subscript"/>
        </w:rPr>
        <w:t>2</w:t>
      </w:r>
      <w:r>
        <w:rPr>
          <w:rFonts w:ascii="Arial" w:hAnsi="Arial" w:cs="Arial"/>
        </w:rPr>
        <w:t>O</w:t>
      </w:r>
      <w:r w:rsidRPr="00BD1B82">
        <w:rPr>
          <w:rFonts w:ascii="Arial" w:hAnsi="Arial" w:cs="Arial"/>
          <w:vertAlign w:val="subscript"/>
        </w:rPr>
        <w:t>2</w:t>
      </w:r>
      <w:r>
        <w:rPr>
          <w:rFonts w:ascii="Arial" w:hAnsi="Arial" w:cs="Arial"/>
        </w:rPr>
        <w:t xml:space="preserve"> over 24 hours. (F) FOXO1-mVenus levels in surviving (blue) and dead (red) cells treated with 300</w:t>
      </w:r>
      <w:r w:rsidRPr="00EB395E">
        <w:rPr>
          <w:rFonts w:ascii="Arial" w:hAnsi="Arial" w:cs="Arial"/>
        </w:rPr>
        <w:t>µ</w:t>
      </w:r>
      <w:r>
        <w:rPr>
          <w:rFonts w:ascii="Arial" w:hAnsi="Arial" w:cs="Arial"/>
        </w:rPr>
        <w:t>M of H</w:t>
      </w:r>
      <w:r w:rsidRPr="00BD1B82">
        <w:rPr>
          <w:rFonts w:ascii="Arial" w:hAnsi="Arial" w:cs="Arial"/>
          <w:vertAlign w:val="subscript"/>
        </w:rPr>
        <w:t>2</w:t>
      </w:r>
      <w:r>
        <w:rPr>
          <w:rFonts w:ascii="Arial" w:hAnsi="Arial" w:cs="Arial"/>
        </w:rPr>
        <w:t>O</w:t>
      </w:r>
      <w:r w:rsidRPr="00BD1B82">
        <w:rPr>
          <w:rFonts w:ascii="Arial" w:hAnsi="Arial" w:cs="Arial"/>
          <w:vertAlign w:val="subscript"/>
        </w:rPr>
        <w:t>2</w:t>
      </w:r>
      <w:r>
        <w:rPr>
          <w:rFonts w:ascii="Arial" w:hAnsi="Arial" w:cs="Arial"/>
        </w:rPr>
        <w:t xml:space="preserve"> over 24 hours. (G) p53-mCherry levels in surviving (blue) and dead (red) cells treated with 100</w:t>
      </w:r>
      <w:r w:rsidRPr="00EB395E">
        <w:rPr>
          <w:rFonts w:ascii="Arial" w:hAnsi="Arial" w:cs="Arial"/>
        </w:rPr>
        <w:t>µ</w:t>
      </w:r>
      <w:r>
        <w:rPr>
          <w:rFonts w:ascii="Arial" w:hAnsi="Arial" w:cs="Arial"/>
        </w:rPr>
        <w:t>M of H</w:t>
      </w:r>
      <w:r w:rsidRPr="00BD1B82">
        <w:rPr>
          <w:rFonts w:ascii="Arial" w:hAnsi="Arial" w:cs="Arial"/>
          <w:vertAlign w:val="subscript"/>
        </w:rPr>
        <w:t>2</w:t>
      </w:r>
      <w:r>
        <w:rPr>
          <w:rFonts w:ascii="Arial" w:hAnsi="Arial" w:cs="Arial"/>
        </w:rPr>
        <w:t>O</w:t>
      </w:r>
      <w:r w:rsidRPr="00BD1B82">
        <w:rPr>
          <w:rFonts w:ascii="Arial" w:hAnsi="Arial" w:cs="Arial"/>
          <w:vertAlign w:val="subscript"/>
        </w:rPr>
        <w:t>2</w:t>
      </w:r>
      <w:r>
        <w:rPr>
          <w:rFonts w:ascii="Arial" w:hAnsi="Arial" w:cs="Arial"/>
        </w:rPr>
        <w:t xml:space="preserve"> over 24 hours. (H) p53-mCherry levels in surviving (blue) and dead (red) cells treated with 100</w:t>
      </w:r>
      <w:r w:rsidRPr="00EB395E">
        <w:rPr>
          <w:rFonts w:ascii="Arial" w:hAnsi="Arial" w:cs="Arial"/>
        </w:rPr>
        <w:t>µ</w:t>
      </w:r>
      <w:r>
        <w:rPr>
          <w:rFonts w:ascii="Arial" w:hAnsi="Arial" w:cs="Arial"/>
        </w:rPr>
        <w:t>M of H</w:t>
      </w:r>
      <w:r w:rsidRPr="00BD1B82">
        <w:rPr>
          <w:rFonts w:ascii="Arial" w:hAnsi="Arial" w:cs="Arial"/>
          <w:vertAlign w:val="subscript"/>
        </w:rPr>
        <w:t>2</w:t>
      </w:r>
      <w:r>
        <w:rPr>
          <w:rFonts w:ascii="Arial" w:hAnsi="Arial" w:cs="Arial"/>
        </w:rPr>
        <w:t>O</w:t>
      </w:r>
      <w:r w:rsidRPr="00BD1B82">
        <w:rPr>
          <w:rFonts w:ascii="Arial" w:hAnsi="Arial" w:cs="Arial"/>
          <w:vertAlign w:val="subscript"/>
        </w:rPr>
        <w:t>2</w:t>
      </w:r>
      <w:r>
        <w:rPr>
          <w:rFonts w:ascii="Arial" w:hAnsi="Arial" w:cs="Arial"/>
        </w:rPr>
        <w:t xml:space="preserve"> over 24 hours.</w:t>
      </w:r>
    </w:p>
    <w:p w14:paraId="0FC275BF" w14:textId="77777777" w:rsidR="005103D4" w:rsidRDefault="005103D4" w:rsidP="005103D4">
      <w:pPr>
        <w:spacing w:before="240" w:after="240" w:line="240" w:lineRule="auto"/>
        <w:jc w:val="both"/>
        <w:rPr>
          <w:rFonts w:ascii="Arial" w:hAnsi="Arial" w:cs="Arial"/>
          <w:color w:val="222222"/>
          <w:shd w:val="clear" w:color="auto" w:fill="FFFFFF"/>
        </w:rPr>
      </w:pPr>
    </w:p>
    <w:p w14:paraId="322BE07D" w14:textId="77777777" w:rsidR="005103D4" w:rsidRDefault="005103D4" w:rsidP="005103D4">
      <w:pPr>
        <w:spacing w:before="240" w:after="240" w:line="240" w:lineRule="auto"/>
        <w:jc w:val="both"/>
        <w:rPr>
          <w:rFonts w:ascii="Arial" w:hAnsi="Arial" w:cs="Arial"/>
          <w:color w:val="222222"/>
          <w:shd w:val="clear" w:color="auto" w:fill="FFFFFF"/>
        </w:rPr>
      </w:pPr>
    </w:p>
    <w:p w14:paraId="584FF12A" w14:textId="77777777" w:rsidR="005103D4" w:rsidRDefault="005103D4" w:rsidP="005103D4">
      <w:pPr>
        <w:spacing w:before="240" w:after="240" w:line="240" w:lineRule="auto"/>
        <w:jc w:val="both"/>
        <w:rPr>
          <w:rFonts w:ascii="Arial" w:hAnsi="Arial" w:cs="Arial"/>
          <w:color w:val="222222"/>
          <w:shd w:val="clear" w:color="auto" w:fill="FFFFFF"/>
        </w:rPr>
      </w:pPr>
    </w:p>
    <w:p w14:paraId="0DE3C0F9" w14:textId="77777777" w:rsidR="005103D4" w:rsidRDefault="005103D4" w:rsidP="005103D4">
      <w:pPr>
        <w:spacing w:before="240" w:after="240" w:line="240" w:lineRule="auto"/>
        <w:jc w:val="both"/>
        <w:rPr>
          <w:rFonts w:ascii="Arial" w:hAnsi="Arial" w:cs="Arial"/>
          <w:color w:val="222222"/>
          <w:shd w:val="clear" w:color="auto" w:fill="FFFFFF"/>
        </w:rPr>
      </w:pPr>
    </w:p>
    <w:p w14:paraId="756ED10B" w14:textId="77777777" w:rsidR="005103D4" w:rsidRDefault="005103D4" w:rsidP="005103D4">
      <w:pPr>
        <w:spacing w:before="240" w:after="240" w:line="240" w:lineRule="auto"/>
        <w:jc w:val="both"/>
        <w:rPr>
          <w:rFonts w:ascii="Arial" w:hAnsi="Arial" w:cs="Arial"/>
          <w:color w:val="222222"/>
          <w:shd w:val="clear" w:color="auto" w:fill="FFFFFF"/>
        </w:rPr>
      </w:pPr>
    </w:p>
    <w:p w14:paraId="375682DD" w14:textId="77777777" w:rsidR="005103D4" w:rsidRDefault="005103D4" w:rsidP="005103D4">
      <w:pPr>
        <w:spacing w:before="240" w:after="240" w:line="240" w:lineRule="auto"/>
        <w:jc w:val="both"/>
        <w:rPr>
          <w:rFonts w:ascii="Arial" w:hAnsi="Arial" w:cs="Arial"/>
          <w:color w:val="222222"/>
          <w:shd w:val="clear" w:color="auto" w:fill="FFFFFF"/>
        </w:rPr>
      </w:pPr>
    </w:p>
    <w:p w14:paraId="0CE73978" w14:textId="77777777" w:rsidR="005103D4" w:rsidRDefault="005103D4" w:rsidP="005103D4">
      <w:pPr>
        <w:spacing w:before="240" w:after="240" w:line="240" w:lineRule="auto"/>
        <w:jc w:val="both"/>
        <w:rPr>
          <w:rFonts w:ascii="Arial" w:hAnsi="Arial" w:cs="Arial"/>
          <w:color w:val="222222"/>
          <w:shd w:val="clear" w:color="auto" w:fill="FFFFFF"/>
        </w:rPr>
      </w:pPr>
    </w:p>
    <w:p w14:paraId="1D947AA0" w14:textId="77777777" w:rsidR="005103D4" w:rsidRDefault="005103D4" w:rsidP="005103D4">
      <w:pPr>
        <w:spacing w:before="240" w:after="240" w:line="240" w:lineRule="auto"/>
        <w:jc w:val="both"/>
        <w:rPr>
          <w:rFonts w:ascii="Arial" w:hAnsi="Arial" w:cs="Arial"/>
          <w:color w:val="222222"/>
          <w:shd w:val="clear" w:color="auto" w:fill="FFFFFF"/>
        </w:rPr>
      </w:pPr>
    </w:p>
    <w:p w14:paraId="64311148" w14:textId="77777777" w:rsidR="005103D4" w:rsidRDefault="005103D4" w:rsidP="005103D4">
      <w:pPr>
        <w:spacing w:before="240" w:after="240" w:line="240" w:lineRule="auto"/>
        <w:jc w:val="both"/>
        <w:rPr>
          <w:rFonts w:ascii="Arial" w:hAnsi="Arial" w:cs="Arial"/>
          <w:color w:val="222222"/>
          <w:shd w:val="clear" w:color="auto" w:fill="FFFFFF"/>
        </w:rPr>
      </w:pPr>
    </w:p>
    <w:p w14:paraId="4970EA19" w14:textId="77777777" w:rsidR="005103D4" w:rsidRDefault="005103D4" w:rsidP="005103D4">
      <w:pPr>
        <w:spacing w:before="240" w:after="240" w:line="240" w:lineRule="auto"/>
        <w:jc w:val="both"/>
        <w:rPr>
          <w:rFonts w:ascii="Arial" w:hAnsi="Arial" w:cs="Arial"/>
          <w:color w:val="222222"/>
          <w:shd w:val="clear" w:color="auto" w:fill="FFFFFF"/>
        </w:rPr>
      </w:pPr>
    </w:p>
    <w:p w14:paraId="0BD18CFD" w14:textId="77777777" w:rsidR="005103D4" w:rsidRDefault="005103D4" w:rsidP="005103D4">
      <w:pPr>
        <w:spacing w:before="240" w:after="240" w:line="240" w:lineRule="auto"/>
        <w:jc w:val="both"/>
        <w:rPr>
          <w:rFonts w:ascii="Arial" w:hAnsi="Arial" w:cs="Arial"/>
          <w:color w:val="222222"/>
          <w:shd w:val="clear" w:color="auto" w:fill="FFFFFF"/>
        </w:rPr>
      </w:pPr>
    </w:p>
    <w:p w14:paraId="011A7977" w14:textId="77777777" w:rsidR="005103D4" w:rsidRDefault="005103D4" w:rsidP="005103D4">
      <w:pPr>
        <w:spacing w:before="240" w:after="240" w:line="240" w:lineRule="auto"/>
        <w:jc w:val="both"/>
        <w:rPr>
          <w:rFonts w:ascii="Arial" w:hAnsi="Arial" w:cs="Arial"/>
          <w:color w:val="222222"/>
          <w:shd w:val="clear" w:color="auto" w:fill="FFFFFF"/>
        </w:rPr>
      </w:pPr>
    </w:p>
    <w:p w14:paraId="6FB27C81" w14:textId="77777777" w:rsidR="005103D4" w:rsidRDefault="005103D4" w:rsidP="005103D4">
      <w:pPr>
        <w:spacing w:before="240" w:after="240" w:line="240" w:lineRule="auto"/>
        <w:jc w:val="both"/>
        <w:rPr>
          <w:rFonts w:ascii="Arial" w:hAnsi="Arial" w:cs="Arial"/>
          <w:color w:val="222222"/>
          <w:shd w:val="clear" w:color="auto" w:fill="FFFFFF"/>
        </w:rPr>
      </w:pPr>
    </w:p>
    <w:p w14:paraId="2D5F5C7F" w14:textId="77777777" w:rsidR="005103D4" w:rsidRDefault="005103D4" w:rsidP="005103D4">
      <w:pPr>
        <w:spacing w:before="240" w:after="240" w:line="240" w:lineRule="auto"/>
        <w:jc w:val="both"/>
        <w:rPr>
          <w:rFonts w:ascii="Arial" w:hAnsi="Arial" w:cs="Arial"/>
          <w:color w:val="222222"/>
          <w:shd w:val="clear" w:color="auto" w:fill="FFFFFF"/>
        </w:rPr>
      </w:pPr>
    </w:p>
    <w:p w14:paraId="3E6C4E47" w14:textId="77777777" w:rsidR="005103D4" w:rsidRDefault="005103D4" w:rsidP="005103D4">
      <w:pPr>
        <w:spacing w:before="240" w:after="240" w:line="240" w:lineRule="auto"/>
        <w:jc w:val="both"/>
        <w:rPr>
          <w:rFonts w:ascii="Arial" w:hAnsi="Arial" w:cs="Arial"/>
          <w:color w:val="222222"/>
          <w:shd w:val="clear" w:color="auto" w:fill="FFFFFF"/>
        </w:rPr>
      </w:pPr>
      <w:r>
        <w:rPr>
          <w:noProof/>
        </w:rPr>
        <w:lastRenderedPageBreak/>
        <w:drawing>
          <wp:inline distT="0" distB="0" distL="0" distR="0" wp14:anchorId="08FFEC90" wp14:editId="5D22F972">
            <wp:extent cx="4806950" cy="5687503"/>
            <wp:effectExtent l="0" t="0" r="0" b="8890"/>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29230" cy="5713864"/>
                    </a:xfrm>
                    <a:prstGeom prst="rect">
                      <a:avLst/>
                    </a:prstGeom>
                    <a:noFill/>
                    <a:ln>
                      <a:noFill/>
                    </a:ln>
                  </pic:spPr>
                </pic:pic>
              </a:graphicData>
            </a:graphic>
          </wp:inline>
        </w:drawing>
      </w:r>
    </w:p>
    <w:p w14:paraId="5C03C0F9" w14:textId="77777777" w:rsidR="005103D4" w:rsidRDefault="005103D4" w:rsidP="005103D4">
      <w:pPr>
        <w:jc w:val="both"/>
        <w:rPr>
          <w:rFonts w:ascii="Arial" w:hAnsi="Arial" w:cs="Arial"/>
        </w:rPr>
      </w:pPr>
      <w:r w:rsidRPr="00A8224D">
        <w:rPr>
          <w:rFonts w:ascii="Arial" w:hAnsi="Arial" w:cs="Arial"/>
          <w:b/>
          <w:bCs/>
          <w:i/>
          <w:iCs/>
        </w:rPr>
        <w:t>Supplemental Fig 3:</w:t>
      </w:r>
      <w:r w:rsidRPr="00EB395E">
        <w:rPr>
          <w:rFonts w:ascii="Arial" w:hAnsi="Arial" w:cs="Arial"/>
        </w:rPr>
        <w:t xml:space="preserve"> </w:t>
      </w:r>
      <w:r w:rsidRPr="00EB395E">
        <w:rPr>
          <w:rFonts w:ascii="Arial" w:hAnsi="Arial" w:cs="Arial"/>
          <w:b/>
          <w:bCs/>
        </w:rPr>
        <w:t xml:space="preserve">Other Transcription factors </w:t>
      </w:r>
      <w:r>
        <w:rPr>
          <w:rFonts w:ascii="Arial" w:hAnsi="Arial" w:cs="Arial"/>
          <w:b/>
          <w:bCs/>
        </w:rPr>
        <w:t>are</w:t>
      </w:r>
      <w:r w:rsidRPr="00EB395E">
        <w:rPr>
          <w:rFonts w:ascii="Arial" w:hAnsi="Arial" w:cs="Arial"/>
          <w:b/>
          <w:bCs/>
        </w:rPr>
        <w:t xml:space="preserve"> activated with F</w:t>
      </w:r>
      <w:r>
        <w:rPr>
          <w:rFonts w:ascii="Arial" w:hAnsi="Arial" w:cs="Arial"/>
          <w:b/>
          <w:bCs/>
        </w:rPr>
        <w:t>OXO</w:t>
      </w:r>
      <w:r w:rsidRPr="00EB395E">
        <w:rPr>
          <w:rFonts w:ascii="Arial" w:hAnsi="Arial" w:cs="Arial"/>
          <w:b/>
          <w:bCs/>
        </w:rPr>
        <w:t>1 and p53 in response to oxidative stress.</w:t>
      </w:r>
      <w:r w:rsidRPr="00EB395E">
        <w:rPr>
          <w:rFonts w:ascii="Arial" w:hAnsi="Arial" w:cs="Arial"/>
        </w:rPr>
        <w:t xml:space="preserve"> </w:t>
      </w:r>
      <w:r>
        <w:rPr>
          <w:rFonts w:ascii="Arial" w:hAnsi="Arial" w:cs="Arial"/>
        </w:rPr>
        <w:t xml:space="preserve">(A) </w:t>
      </w:r>
      <w:r w:rsidRPr="002D1D58">
        <w:rPr>
          <w:rFonts w:ascii="Arial" w:hAnsi="Arial" w:cs="Arial"/>
        </w:rPr>
        <w:t>TF binding motifs enriched in clusters 2 and 3 of single-cell ATAC data. Motifs of TFs not expressed in gene expression data (&gt;.1 counts per cell) were omitted.</w:t>
      </w:r>
      <w:r>
        <w:rPr>
          <w:rFonts w:ascii="Arial" w:hAnsi="Arial" w:cs="Arial"/>
        </w:rPr>
        <w:t xml:space="preserve"> (B) </w:t>
      </w:r>
      <w:r w:rsidRPr="002D1D58">
        <w:rPr>
          <w:rFonts w:ascii="Arial" w:hAnsi="Arial" w:cs="Arial"/>
        </w:rPr>
        <w:t>TF binding motifs enriched in cluster 6 of single-cell ATAC data. Motifs of TFs not expressed in gene expression data (&gt;.1 counts per cell) were omitted.</w:t>
      </w:r>
      <w:r>
        <w:rPr>
          <w:rFonts w:ascii="Arial" w:hAnsi="Arial" w:cs="Arial"/>
        </w:rPr>
        <w:t xml:space="preserve"> </w:t>
      </w:r>
      <w:r w:rsidRPr="00EB395E">
        <w:rPr>
          <w:rFonts w:ascii="Arial" w:hAnsi="Arial" w:cs="Arial"/>
        </w:rPr>
        <w:t>(</w:t>
      </w:r>
      <w:r>
        <w:rPr>
          <w:rFonts w:ascii="Arial" w:hAnsi="Arial" w:cs="Arial"/>
        </w:rPr>
        <w:t>C)</w:t>
      </w:r>
      <w:r w:rsidRPr="00EB395E">
        <w:rPr>
          <w:rFonts w:ascii="Arial" w:hAnsi="Arial" w:cs="Arial"/>
        </w:rPr>
        <w:t xml:space="preserve"> Density colored scatter plots of nuclear fraction of FOXO1 and log of nuclear levels of F</w:t>
      </w:r>
      <w:r>
        <w:rPr>
          <w:rFonts w:ascii="Arial" w:hAnsi="Arial" w:cs="Arial"/>
        </w:rPr>
        <w:t>OA</w:t>
      </w:r>
      <w:r w:rsidRPr="00EB395E">
        <w:rPr>
          <w:rFonts w:ascii="Arial" w:hAnsi="Arial" w:cs="Arial"/>
        </w:rPr>
        <w:t xml:space="preserve"> for cells treated at indicated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for 5 hours</w:t>
      </w:r>
      <w:r>
        <w:rPr>
          <w:rFonts w:ascii="Arial" w:hAnsi="Arial" w:cs="Arial"/>
        </w:rPr>
        <w:t>. (D) Density colored scatter plots of nuclear fraction of FOXO1 and nuclear fraction of HSF1 for cells treated with indicated concentrations of H</w:t>
      </w:r>
      <w:r w:rsidRPr="00CB661E">
        <w:rPr>
          <w:rFonts w:ascii="Arial" w:hAnsi="Arial" w:cs="Arial"/>
          <w:vertAlign w:val="subscript"/>
        </w:rPr>
        <w:t>2</w:t>
      </w:r>
      <w:r>
        <w:rPr>
          <w:rFonts w:ascii="Arial" w:hAnsi="Arial" w:cs="Arial"/>
        </w:rPr>
        <w:t>O</w:t>
      </w:r>
      <w:r w:rsidRPr="00CB661E">
        <w:rPr>
          <w:rFonts w:ascii="Arial" w:hAnsi="Arial" w:cs="Arial"/>
          <w:vertAlign w:val="subscript"/>
        </w:rPr>
        <w:t>2</w:t>
      </w:r>
      <w:r>
        <w:rPr>
          <w:rFonts w:ascii="Arial" w:hAnsi="Arial" w:cs="Arial"/>
        </w:rPr>
        <w:t xml:space="preserve"> for 5 hours.</w:t>
      </w:r>
    </w:p>
    <w:p w14:paraId="170EFFBA" w14:textId="77777777" w:rsidR="005103D4" w:rsidRDefault="005103D4" w:rsidP="005103D4">
      <w:pPr>
        <w:spacing w:before="240" w:after="240" w:line="240" w:lineRule="auto"/>
        <w:jc w:val="both"/>
        <w:rPr>
          <w:rFonts w:ascii="Arial" w:hAnsi="Arial" w:cs="Arial"/>
          <w:color w:val="222222"/>
          <w:shd w:val="clear" w:color="auto" w:fill="FFFFFF"/>
        </w:rPr>
      </w:pPr>
    </w:p>
    <w:p w14:paraId="3575524C" w14:textId="77777777" w:rsidR="005103D4" w:rsidRDefault="005103D4" w:rsidP="005103D4">
      <w:pPr>
        <w:spacing w:before="240" w:after="240" w:line="240" w:lineRule="auto"/>
        <w:jc w:val="both"/>
        <w:rPr>
          <w:rFonts w:ascii="Arial" w:hAnsi="Arial" w:cs="Arial"/>
          <w:color w:val="222222"/>
          <w:shd w:val="clear" w:color="auto" w:fill="FFFFFF"/>
        </w:rPr>
      </w:pPr>
      <w:r>
        <w:rPr>
          <w:noProof/>
        </w:rPr>
        <w:lastRenderedPageBreak/>
        <w:drawing>
          <wp:inline distT="0" distB="0" distL="0" distR="0" wp14:anchorId="21C87FE7" wp14:editId="23DF9391">
            <wp:extent cx="4191000" cy="5455287"/>
            <wp:effectExtent l="0" t="0" r="0" b="0"/>
            <wp:docPr id="10" name="Picture 10"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 engineering drawing&#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4755" cy="5473192"/>
                    </a:xfrm>
                    <a:prstGeom prst="rect">
                      <a:avLst/>
                    </a:prstGeom>
                    <a:noFill/>
                    <a:ln>
                      <a:noFill/>
                    </a:ln>
                  </pic:spPr>
                </pic:pic>
              </a:graphicData>
            </a:graphic>
          </wp:inline>
        </w:drawing>
      </w:r>
    </w:p>
    <w:p w14:paraId="70E2EB46" w14:textId="77777777" w:rsidR="005103D4" w:rsidRPr="002715D0" w:rsidRDefault="005103D4" w:rsidP="005103D4">
      <w:pPr>
        <w:spacing w:before="240" w:after="240" w:line="240" w:lineRule="auto"/>
        <w:jc w:val="both"/>
        <w:rPr>
          <w:rFonts w:ascii="Arial" w:eastAsia="Times New Roman" w:hAnsi="Arial" w:cs="Arial"/>
        </w:rPr>
      </w:pPr>
      <w:r w:rsidRPr="00A8224D">
        <w:rPr>
          <w:rFonts w:ascii="Arial" w:hAnsi="Arial" w:cs="Arial"/>
          <w:b/>
          <w:bCs/>
          <w:i/>
          <w:iCs/>
        </w:rPr>
        <w:t>Supplemental Figure 4:</w:t>
      </w:r>
      <w:r w:rsidRPr="00EB395E">
        <w:rPr>
          <w:rFonts w:ascii="Arial" w:hAnsi="Arial" w:cs="Arial"/>
        </w:rPr>
        <w:t xml:space="preserve"> </w:t>
      </w:r>
      <w:r w:rsidRPr="00EB395E">
        <w:rPr>
          <w:rFonts w:ascii="Arial" w:hAnsi="Arial" w:cs="Arial"/>
          <w:b/>
          <w:bCs/>
        </w:rPr>
        <w:t xml:space="preserve">Overexpression/Inhibition of </w:t>
      </w:r>
      <w:proofErr w:type="spellStart"/>
      <w:r>
        <w:rPr>
          <w:rFonts w:ascii="Arial" w:hAnsi="Arial" w:cs="Arial"/>
          <w:b/>
          <w:bCs/>
        </w:rPr>
        <w:t>Sulfiredoxin</w:t>
      </w:r>
      <w:proofErr w:type="spellEnd"/>
      <w:r>
        <w:rPr>
          <w:rFonts w:ascii="Arial" w:hAnsi="Arial" w:cs="Arial"/>
          <w:b/>
          <w:bCs/>
        </w:rPr>
        <w:t xml:space="preserve"> controls the </w:t>
      </w:r>
      <w:r w:rsidRPr="00EB395E">
        <w:rPr>
          <w:rFonts w:ascii="Arial" w:hAnsi="Arial" w:cs="Arial"/>
          <w:b/>
          <w:bCs/>
        </w:rPr>
        <w:t>activation of FOXO1 and p53</w:t>
      </w:r>
      <w:r w:rsidRPr="00EB395E">
        <w:rPr>
          <w:rFonts w:ascii="Arial" w:hAnsi="Arial" w:cs="Arial"/>
        </w:rPr>
        <w:t>. (A) Density colored scatter plots representing the nuclear fraction of FOXO1 and nuclear p53 levels of cells treated with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w:t>
      </w:r>
      <w:r>
        <w:rPr>
          <w:rFonts w:ascii="Arial" w:hAnsi="Arial" w:cs="Arial"/>
        </w:rPr>
        <w:t xml:space="preserve">alone (top) or </w:t>
      </w:r>
      <w:r w:rsidRPr="00EB395E">
        <w:rPr>
          <w:rFonts w:ascii="Arial" w:hAnsi="Arial" w:cs="Arial"/>
        </w:rPr>
        <w:t xml:space="preserve">with </w:t>
      </w:r>
      <w:r>
        <w:rPr>
          <w:rFonts w:ascii="Arial" w:hAnsi="Arial" w:cs="Arial"/>
        </w:rPr>
        <w:t>1</w:t>
      </w:r>
      <w:r w:rsidRPr="00CB661E">
        <w:rPr>
          <w:rFonts w:ascii="Arial" w:hAnsi="Arial" w:cs="Arial"/>
        </w:rPr>
        <w:t xml:space="preserve"> </w:t>
      </w:r>
      <w:r w:rsidRPr="00EB395E">
        <w:rPr>
          <w:rFonts w:ascii="Arial" w:hAnsi="Arial" w:cs="Arial"/>
        </w:rPr>
        <w:t>µM</w:t>
      </w:r>
      <w:r>
        <w:rPr>
          <w:rFonts w:ascii="Arial" w:hAnsi="Arial" w:cs="Arial"/>
        </w:rPr>
        <w:t xml:space="preserve"> (2</w:t>
      </w:r>
      <w:r w:rsidRPr="00A8224D">
        <w:rPr>
          <w:rFonts w:ascii="Arial" w:hAnsi="Arial" w:cs="Arial"/>
          <w:vertAlign w:val="superscript"/>
        </w:rPr>
        <w:t>nd</w:t>
      </w:r>
      <w:r>
        <w:rPr>
          <w:rFonts w:ascii="Arial" w:hAnsi="Arial" w:cs="Arial"/>
        </w:rPr>
        <w:t xml:space="preserve"> from top), </w:t>
      </w:r>
      <w:r w:rsidRPr="00EB395E">
        <w:rPr>
          <w:rFonts w:ascii="Arial" w:hAnsi="Arial" w:cs="Arial"/>
        </w:rPr>
        <w:t>5µM</w:t>
      </w:r>
      <w:r>
        <w:rPr>
          <w:rFonts w:ascii="Arial" w:hAnsi="Arial" w:cs="Arial"/>
        </w:rPr>
        <w:t xml:space="preserve"> (3</w:t>
      </w:r>
      <w:r w:rsidRPr="00A8224D">
        <w:rPr>
          <w:rFonts w:ascii="Arial" w:hAnsi="Arial" w:cs="Arial"/>
          <w:vertAlign w:val="superscript"/>
        </w:rPr>
        <w:t>rd</w:t>
      </w:r>
      <w:r>
        <w:rPr>
          <w:rFonts w:ascii="Arial" w:hAnsi="Arial" w:cs="Arial"/>
        </w:rPr>
        <w:t xml:space="preserve"> from top) and 10</w:t>
      </w:r>
      <w:r w:rsidRPr="00CB661E">
        <w:rPr>
          <w:rFonts w:ascii="Arial" w:hAnsi="Arial" w:cs="Arial"/>
        </w:rPr>
        <w:t xml:space="preserve"> </w:t>
      </w:r>
      <w:r w:rsidRPr="00EB395E">
        <w:rPr>
          <w:rFonts w:ascii="Arial" w:hAnsi="Arial" w:cs="Arial"/>
        </w:rPr>
        <w:t xml:space="preserve">µM </w:t>
      </w:r>
      <w:r>
        <w:rPr>
          <w:rFonts w:ascii="Arial" w:hAnsi="Arial" w:cs="Arial"/>
        </w:rPr>
        <w:t>(4</w:t>
      </w:r>
      <w:r w:rsidRPr="00A8224D">
        <w:rPr>
          <w:rFonts w:ascii="Arial" w:hAnsi="Arial" w:cs="Arial"/>
          <w:vertAlign w:val="superscript"/>
        </w:rPr>
        <w:t>th</w:t>
      </w:r>
      <w:r>
        <w:rPr>
          <w:rFonts w:ascii="Arial" w:hAnsi="Arial" w:cs="Arial"/>
        </w:rPr>
        <w:t xml:space="preserve"> from top) </w:t>
      </w:r>
      <w:r w:rsidRPr="00EB395E">
        <w:rPr>
          <w:rFonts w:ascii="Arial" w:hAnsi="Arial" w:cs="Arial"/>
        </w:rPr>
        <w:t xml:space="preserve">of </w:t>
      </w:r>
      <w:proofErr w:type="spellStart"/>
      <w:r w:rsidRPr="00EB395E">
        <w:rPr>
          <w:rFonts w:ascii="Arial" w:hAnsi="Arial" w:cs="Arial"/>
        </w:rPr>
        <w:t>Conoidin</w:t>
      </w:r>
      <w:proofErr w:type="spellEnd"/>
      <w:r w:rsidRPr="00EB395E">
        <w:rPr>
          <w:rFonts w:ascii="Arial" w:hAnsi="Arial" w:cs="Arial"/>
        </w:rPr>
        <w:t xml:space="preserve"> A at indicated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for 5 hours.</w:t>
      </w:r>
      <w:r>
        <w:rPr>
          <w:rFonts w:ascii="Arial" w:hAnsi="Arial" w:cs="Arial"/>
        </w:rPr>
        <w:t xml:space="preserve"> (B</w:t>
      </w:r>
      <w:r w:rsidRPr="00EB395E">
        <w:rPr>
          <w:rFonts w:ascii="Arial" w:hAnsi="Arial" w:cs="Arial"/>
        </w:rPr>
        <w:t xml:space="preserve">) Western Blot stained with PRDX1 antibody to validate </w:t>
      </w:r>
      <w:r>
        <w:rPr>
          <w:rFonts w:ascii="Arial" w:hAnsi="Arial" w:cs="Arial"/>
        </w:rPr>
        <w:t>PRDX1 knockout in MCF7 cells. (C</w:t>
      </w:r>
      <w:r w:rsidRPr="00EB395E">
        <w:rPr>
          <w:rFonts w:ascii="Arial" w:hAnsi="Arial" w:cs="Arial"/>
        </w:rPr>
        <w:t>) Bar and whisker plots of gamma H2AX levels in MCF7 cells and PRDX1 knockout cells treated with 20µM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Pr>
          <w:rFonts w:ascii="Arial" w:hAnsi="Arial" w:cs="Arial"/>
        </w:rPr>
        <w:t xml:space="preserve"> for 3 hours</w:t>
      </w:r>
      <w:r w:rsidRPr="00EB395E">
        <w:rPr>
          <w:rFonts w:ascii="Arial" w:hAnsi="Arial" w:cs="Arial"/>
        </w:rPr>
        <w:t>.</w:t>
      </w:r>
      <w:r>
        <w:rPr>
          <w:rFonts w:ascii="Arial" w:hAnsi="Arial" w:cs="Arial"/>
        </w:rPr>
        <w:t xml:space="preserve"> The central line indicates the median and the bottom and top edges of the box indicate the 25</w:t>
      </w:r>
      <w:r w:rsidRPr="002715D0">
        <w:rPr>
          <w:rFonts w:ascii="Arial" w:hAnsi="Arial" w:cs="Arial"/>
          <w:vertAlign w:val="superscript"/>
        </w:rPr>
        <w:t>th</w:t>
      </w:r>
      <w:r>
        <w:rPr>
          <w:rFonts w:ascii="Arial" w:hAnsi="Arial" w:cs="Arial"/>
        </w:rPr>
        <w:t xml:space="preserve"> and 75</w:t>
      </w:r>
      <w:r w:rsidRPr="002715D0">
        <w:rPr>
          <w:rFonts w:ascii="Arial" w:hAnsi="Arial" w:cs="Arial"/>
          <w:vertAlign w:val="superscript"/>
        </w:rPr>
        <w:t>th</w:t>
      </w:r>
      <w:r>
        <w:rPr>
          <w:rFonts w:ascii="Arial" w:hAnsi="Arial" w:cs="Arial"/>
        </w:rPr>
        <w:t xml:space="preserve"> percentiles respectively. The whiskers indicate the extreme data points not considered as outliers and outliers are indicated by ‘+’.</w:t>
      </w:r>
      <w:r w:rsidRPr="00EB395E">
        <w:rPr>
          <w:rFonts w:ascii="Arial" w:hAnsi="Arial" w:cs="Arial"/>
        </w:rPr>
        <w:t xml:space="preserve"> </w:t>
      </w:r>
      <w:r>
        <w:rPr>
          <w:rFonts w:ascii="Arial" w:hAnsi="Arial" w:cs="Arial"/>
        </w:rPr>
        <w:t>(D</w:t>
      </w:r>
      <w:r w:rsidRPr="00EB395E">
        <w:rPr>
          <w:rFonts w:ascii="Arial" w:hAnsi="Arial" w:cs="Arial"/>
        </w:rPr>
        <w:t>) Density scatter plots of cells treated with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as a control for cells with a SRXN1 knockdown treated with indicated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for 3 hours. </w:t>
      </w:r>
      <w:r>
        <w:rPr>
          <w:rFonts w:ascii="Arial" w:hAnsi="Arial" w:cs="Arial"/>
        </w:rPr>
        <w:t>(E</w:t>
      </w:r>
      <w:r w:rsidRPr="00EB395E">
        <w:rPr>
          <w:rFonts w:ascii="Arial" w:hAnsi="Arial" w:cs="Arial"/>
        </w:rPr>
        <w:t>) Heatmaps of single cell traces of the nuclear fraction of FOXO1-mVenus (left) and nuclear p53-mCherry (right) in cells treated with 50µM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w:t>
      </w:r>
      <w:r>
        <w:rPr>
          <w:rFonts w:ascii="Arial" w:hAnsi="Arial" w:cs="Arial"/>
        </w:rPr>
        <w:t xml:space="preserve">top, </w:t>
      </w:r>
      <w:r w:rsidRPr="00EB395E">
        <w:rPr>
          <w:rFonts w:ascii="Arial" w:hAnsi="Arial" w:cs="Arial"/>
        </w:rPr>
        <w:t>n=</w:t>
      </w:r>
      <w:r>
        <w:rPr>
          <w:rFonts w:ascii="Arial" w:hAnsi="Arial" w:cs="Arial"/>
        </w:rPr>
        <w:t>3</w:t>
      </w:r>
      <w:r w:rsidRPr="00EB395E">
        <w:rPr>
          <w:rFonts w:ascii="Arial" w:hAnsi="Arial" w:cs="Arial"/>
        </w:rPr>
        <w:t>06</w:t>
      </w:r>
      <w:r>
        <w:rPr>
          <w:rFonts w:ascii="Arial" w:hAnsi="Arial" w:cs="Arial"/>
        </w:rPr>
        <w:t>, 13% cell death</w:t>
      </w:r>
      <w:r w:rsidRPr="00EB395E">
        <w:rPr>
          <w:rFonts w:ascii="Arial" w:hAnsi="Arial" w:cs="Arial"/>
        </w:rPr>
        <w:t>) and 50µM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w:t>
      </w:r>
      <w:r>
        <w:rPr>
          <w:rFonts w:ascii="Arial" w:hAnsi="Arial" w:cs="Arial"/>
        </w:rPr>
        <w:t>+</w:t>
      </w:r>
      <w:r w:rsidRPr="00EB395E">
        <w:rPr>
          <w:rFonts w:ascii="Arial" w:hAnsi="Arial" w:cs="Arial"/>
        </w:rPr>
        <w:t xml:space="preserve"> 20µM J14 (n=</w:t>
      </w:r>
      <w:r>
        <w:rPr>
          <w:rFonts w:ascii="Arial" w:hAnsi="Arial" w:cs="Arial"/>
        </w:rPr>
        <w:t>406, 70% cell death</w:t>
      </w:r>
      <w:r w:rsidRPr="00EB395E">
        <w:rPr>
          <w:rFonts w:ascii="Arial" w:hAnsi="Arial" w:cs="Arial"/>
        </w:rPr>
        <w:t>)</w:t>
      </w:r>
      <w:r>
        <w:rPr>
          <w:rFonts w:ascii="Arial" w:hAnsi="Arial" w:cs="Arial"/>
        </w:rPr>
        <w:t xml:space="preserve"> </w:t>
      </w:r>
      <w:r w:rsidRPr="00EB395E">
        <w:rPr>
          <w:rFonts w:ascii="Arial" w:hAnsi="Arial" w:cs="Arial"/>
        </w:rPr>
        <w:t>for 24 hours. Each row of the heat maps is a single cell over time. Both FOXO1 and p53 heat maps were sorted by the duration that FOXO1-mVenus remained in the nucleus. Gray indicates cell death.</w:t>
      </w:r>
      <w:r>
        <w:rPr>
          <w:rFonts w:ascii="Arial" w:hAnsi="Arial" w:cs="Arial"/>
        </w:rPr>
        <w:t xml:space="preserve"> (F</w:t>
      </w:r>
      <w:r w:rsidRPr="00EB395E">
        <w:rPr>
          <w:rFonts w:ascii="Arial" w:hAnsi="Arial" w:cs="Arial"/>
        </w:rPr>
        <w:t>) Bar graphs</w:t>
      </w:r>
      <w:r>
        <w:rPr>
          <w:rFonts w:ascii="Arial" w:hAnsi="Arial" w:cs="Arial"/>
        </w:rPr>
        <w:t xml:space="preserve"> </w:t>
      </w:r>
      <w:r w:rsidRPr="00EB395E">
        <w:rPr>
          <w:rFonts w:ascii="Arial" w:hAnsi="Arial" w:cs="Arial"/>
        </w:rPr>
        <w:t xml:space="preserve">of mean </w:t>
      </w:r>
      <w:proofErr w:type="spellStart"/>
      <w:r w:rsidRPr="00EB395E">
        <w:rPr>
          <w:rFonts w:ascii="Arial" w:hAnsi="Arial" w:cs="Arial"/>
        </w:rPr>
        <w:t>Sulfiredoxin</w:t>
      </w:r>
      <w:proofErr w:type="spellEnd"/>
      <w:r w:rsidRPr="00EB395E">
        <w:rPr>
          <w:rFonts w:ascii="Arial" w:hAnsi="Arial" w:cs="Arial"/>
        </w:rPr>
        <w:t xml:space="preserve"> levels</w:t>
      </w:r>
      <w:r>
        <w:rPr>
          <w:rFonts w:ascii="Arial" w:hAnsi="Arial" w:cs="Arial"/>
        </w:rPr>
        <w:t xml:space="preserve"> and standard deviation (error bars)</w:t>
      </w:r>
      <w:r w:rsidRPr="00EB395E">
        <w:rPr>
          <w:rFonts w:ascii="Arial" w:hAnsi="Arial" w:cs="Arial"/>
        </w:rPr>
        <w:t xml:space="preserve"> in cells with the shRNA knockdown compared to the MCF7 control. </w:t>
      </w:r>
      <w:r>
        <w:rPr>
          <w:rFonts w:ascii="Arial" w:hAnsi="Arial" w:cs="Arial"/>
        </w:rPr>
        <w:t>(G</w:t>
      </w:r>
      <w:r w:rsidRPr="00EB395E">
        <w:rPr>
          <w:rFonts w:ascii="Arial" w:hAnsi="Arial" w:cs="Arial"/>
        </w:rPr>
        <w:t>) Bar graphs</w:t>
      </w:r>
      <w:r>
        <w:rPr>
          <w:rFonts w:ascii="Arial" w:hAnsi="Arial" w:cs="Arial"/>
        </w:rPr>
        <w:t xml:space="preserve"> </w:t>
      </w:r>
      <w:r w:rsidRPr="00EB395E">
        <w:rPr>
          <w:rFonts w:ascii="Arial" w:hAnsi="Arial" w:cs="Arial"/>
        </w:rPr>
        <w:t xml:space="preserve">of mean levels of </w:t>
      </w:r>
      <w:proofErr w:type="spellStart"/>
      <w:r w:rsidRPr="00EB395E">
        <w:rPr>
          <w:rFonts w:ascii="Arial" w:hAnsi="Arial" w:cs="Arial"/>
        </w:rPr>
        <w:t>Sulfiredoxin</w:t>
      </w:r>
      <w:proofErr w:type="spellEnd"/>
      <w:r>
        <w:rPr>
          <w:rFonts w:ascii="Arial" w:hAnsi="Arial" w:cs="Arial"/>
        </w:rPr>
        <w:t xml:space="preserve"> and standard deviation (error bars)</w:t>
      </w:r>
      <w:r w:rsidRPr="00EB395E">
        <w:rPr>
          <w:rFonts w:ascii="Arial" w:hAnsi="Arial" w:cs="Arial"/>
        </w:rPr>
        <w:t xml:space="preserve"> in cells with SRXN1 overexpression compared to MCF7 ce</w:t>
      </w:r>
      <w:r>
        <w:rPr>
          <w:rFonts w:ascii="Arial" w:hAnsi="Arial" w:cs="Arial"/>
        </w:rPr>
        <w:t>lls using immunofluorescence. (H</w:t>
      </w:r>
      <w:r w:rsidRPr="00EB395E">
        <w:rPr>
          <w:rFonts w:ascii="Arial" w:hAnsi="Arial" w:cs="Arial"/>
        </w:rPr>
        <w:t xml:space="preserve">) Western blot of MCF7 cells and </w:t>
      </w:r>
      <w:proofErr w:type="spellStart"/>
      <w:r w:rsidRPr="00EB395E">
        <w:rPr>
          <w:rFonts w:ascii="Arial" w:hAnsi="Arial" w:cs="Arial"/>
        </w:rPr>
        <w:t>Sulfiredoxin</w:t>
      </w:r>
      <w:proofErr w:type="spellEnd"/>
      <w:r w:rsidRPr="00EB395E">
        <w:rPr>
          <w:rFonts w:ascii="Arial" w:hAnsi="Arial" w:cs="Arial"/>
        </w:rPr>
        <w:t xml:space="preserve"> (SRXN1) overexpressing cells treated with indicated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for 3 hours and stained for hyperoxidized (SO</w:t>
      </w:r>
      <w:r w:rsidRPr="00EB395E">
        <w:rPr>
          <w:rFonts w:ascii="Arial" w:hAnsi="Arial" w:cs="Arial"/>
          <w:vertAlign w:val="subscript"/>
        </w:rPr>
        <w:t>2</w:t>
      </w:r>
      <w:r w:rsidRPr="00EB395E">
        <w:rPr>
          <w:rFonts w:ascii="Arial" w:hAnsi="Arial" w:cs="Arial"/>
        </w:rPr>
        <w:t>/SO</w:t>
      </w:r>
      <w:r w:rsidRPr="00EB395E">
        <w:rPr>
          <w:rFonts w:ascii="Arial" w:hAnsi="Arial" w:cs="Arial"/>
          <w:vertAlign w:val="subscript"/>
        </w:rPr>
        <w:t>3</w:t>
      </w:r>
      <w:r w:rsidRPr="00EB395E">
        <w:rPr>
          <w:rFonts w:ascii="Arial" w:hAnsi="Arial" w:cs="Arial"/>
        </w:rPr>
        <w:t xml:space="preserve">) PRDX1/2 and Actin. </w:t>
      </w:r>
      <w:r>
        <w:rPr>
          <w:rFonts w:ascii="Arial" w:hAnsi="Arial" w:cs="Arial"/>
        </w:rPr>
        <w:t>(I</w:t>
      </w:r>
      <w:r w:rsidRPr="00EB395E">
        <w:rPr>
          <w:rFonts w:ascii="Arial" w:hAnsi="Arial" w:cs="Arial"/>
        </w:rPr>
        <w:t xml:space="preserve">) Population density plots of nuclear fraction </w:t>
      </w:r>
      <w:r w:rsidRPr="00EB395E">
        <w:rPr>
          <w:rFonts w:ascii="Arial" w:hAnsi="Arial" w:cs="Arial"/>
        </w:rPr>
        <w:lastRenderedPageBreak/>
        <w:t xml:space="preserve">of FOXO1 and nuclear p53 levels in cells overexpressing </w:t>
      </w:r>
      <w:proofErr w:type="spellStart"/>
      <w:r w:rsidRPr="00EB395E">
        <w:rPr>
          <w:rFonts w:ascii="Arial" w:hAnsi="Arial" w:cs="Arial"/>
        </w:rPr>
        <w:t>Sulfiredoxin</w:t>
      </w:r>
      <w:proofErr w:type="spellEnd"/>
      <w:r w:rsidRPr="00EB395E">
        <w:rPr>
          <w:rFonts w:ascii="Arial" w:hAnsi="Arial" w:cs="Arial"/>
        </w:rPr>
        <w:t xml:space="preserve"> </w:t>
      </w:r>
      <w:r>
        <w:rPr>
          <w:rFonts w:ascii="Arial" w:hAnsi="Arial" w:cs="Arial"/>
        </w:rPr>
        <w:t xml:space="preserve">(SRXN1-OE) </w:t>
      </w:r>
      <w:r w:rsidRPr="00EB395E">
        <w:rPr>
          <w:rFonts w:ascii="Arial" w:hAnsi="Arial" w:cs="Arial"/>
        </w:rPr>
        <w:t>after treatment with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and the same cells treated with 20µM of J14 at indicated concentrations of H</w:t>
      </w:r>
      <w:r w:rsidRPr="00EB395E">
        <w:rPr>
          <w:rFonts w:ascii="Arial" w:hAnsi="Arial" w:cs="Arial"/>
          <w:vertAlign w:val="subscript"/>
        </w:rPr>
        <w:t>2</w:t>
      </w:r>
      <w:r w:rsidRPr="00EB395E">
        <w:rPr>
          <w:rFonts w:ascii="Arial" w:hAnsi="Arial" w:cs="Arial"/>
        </w:rPr>
        <w:t>O</w:t>
      </w:r>
      <w:r w:rsidRPr="00EB395E">
        <w:rPr>
          <w:rFonts w:ascii="Arial" w:hAnsi="Arial" w:cs="Arial"/>
          <w:vertAlign w:val="subscript"/>
        </w:rPr>
        <w:t>2</w:t>
      </w:r>
      <w:r w:rsidRPr="00EB395E">
        <w:rPr>
          <w:rFonts w:ascii="Arial" w:hAnsi="Arial" w:cs="Arial"/>
        </w:rPr>
        <w:t xml:space="preserve">. Blue line indicates cells with overexpression of </w:t>
      </w:r>
      <w:proofErr w:type="spellStart"/>
      <w:r w:rsidRPr="00EB395E">
        <w:rPr>
          <w:rFonts w:ascii="Arial" w:hAnsi="Arial" w:cs="Arial"/>
        </w:rPr>
        <w:t>Sulfiredoxin</w:t>
      </w:r>
      <w:proofErr w:type="spellEnd"/>
      <w:r w:rsidRPr="00EB395E">
        <w:rPr>
          <w:rFonts w:ascii="Arial" w:hAnsi="Arial" w:cs="Arial"/>
        </w:rPr>
        <w:t xml:space="preserve"> and the red line indicates cells overexpressing </w:t>
      </w:r>
      <w:proofErr w:type="spellStart"/>
      <w:r w:rsidRPr="00EB395E">
        <w:rPr>
          <w:rFonts w:ascii="Arial" w:hAnsi="Arial" w:cs="Arial"/>
        </w:rPr>
        <w:t>Sulfiredoxin</w:t>
      </w:r>
      <w:proofErr w:type="spellEnd"/>
      <w:r w:rsidRPr="00EB395E">
        <w:rPr>
          <w:rFonts w:ascii="Arial" w:hAnsi="Arial" w:cs="Arial"/>
        </w:rPr>
        <w:t xml:space="preserve"> treated with 20µM J14</w:t>
      </w:r>
      <w:r>
        <w:rPr>
          <w:rFonts w:ascii="Arial" w:hAnsi="Arial" w:cs="Arial"/>
        </w:rPr>
        <w:t>.</w:t>
      </w:r>
    </w:p>
    <w:p w14:paraId="4C68C913" w14:textId="77777777" w:rsidR="005103D4" w:rsidRDefault="005103D4" w:rsidP="005103D4">
      <w:pPr>
        <w:spacing w:before="240" w:after="240" w:line="240" w:lineRule="auto"/>
        <w:jc w:val="both"/>
        <w:rPr>
          <w:rFonts w:ascii="Arial" w:hAnsi="Arial" w:cs="Arial"/>
          <w:color w:val="222222"/>
          <w:shd w:val="clear" w:color="auto" w:fill="FFFFFF"/>
        </w:rPr>
      </w:pPr>
      <w:r>
        <w:rPr>
          <w:noProof/>
        </w:rPr>
        <w:drawing>
          <wp:inline distT="0" distB="0" distL="0" distR="0" wp14:anchorId="532CE290" wp14:editId="7BFC93B0">
            <wp:extent cx="5103457" cy="6191250"/>
            <wp:effectExtent l="0" t="0" r="2540" b="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07717" cy="6196419"/>
                    </a:xfrm>
                    <a:prstGeom prst="rect">
                      <a:avLst/>
                    </a:prstGeom>
                    <a:noFill/>
                    <a:ln>
                      <a:noFill/>
                    </a:ln>
                  </pic:spPr>
                </pic:pic>
              </a:graphicData>
            </a:graphic>
          </wp:inline>
        </w:drawing>
      </w:r>
    </w:p>
    <w:p w14:paraId="6AF6C66D" w14:textId="77777777" w:rsidR="005103D4" w:rsidRDefault="005103D4" w:rsidP="005103D4">
      <w:pPr>
        <w:spacing w:before="240" w:after="240" w:line="240" w:lineRule="auto"/>
        <w:jc w:val="both"/>
        <w:rPr>
          <w:rFonts w:ascii="Arial" w:eastAsia="Times New Roman" w:hAnsi="Arial" w:cs="Arial"/>
          <w:color w:val="000000"/>
        </w:rPr>
      </w:pPr>
      <w:r>
        <w:rPr>
          <w:rFonts w:ascii="Arial" w:hAnsi="Arial" w:cs="Arial"/>
          <w:b/>
          <w:bCs/>
          <w:color w:val="222222"/>
          <w:shd w:val="clear" w:color="auto" w:fill="FFFFFF"/>
        </w:rPr>
        <w:t xml:space="preserve">Supplemental Figure 5. Differential gene expression analysis of p53 and NRF2 target genes. </w:t>
      </w:r>
      <w:r>
        <w:rPr>
          <w:rFonts w:ascii="Arial" w:hAnsi="Arial" w:cs="Arial"/>
          <w:color w:val="222222"/>
          <w:shd w:val="clear" w:color="auto" w:fill="FFFFFF"/>
        </w:rPr>
        <w:t>(A) GSEA of p53 target genes in J14 + H</w:t>
      </w:r>
      <w:r w:rsidRPr="001C75BA">
        <w:rPr>
          <w:rFonts w:ascii="Arial" w:hAnsi="Arial" w:cs="Arial"/>
          <w:color w:val="222222"/>
          <w:shd w:val="clear" w:color="auto" w:fill="FFFFFF"/>
          <w:vertAlign w:val="subscript"/>
        </w:rPr>
        <w:t>2</w:t>
      </w:r>
      <w:r>
        <w:rPr>
          <w:rFonts w:ascii="Arial" w:hAnsi="Arial" w:cs="Arial"/>
          <w:color w:val="222222"/>
          <w:shd w:val="clear" w:color="auto" w:fill="FFFFFF"/>
        </w:rPr>
        <w:t>O</w:t>
      </w:r>
      <w:r w:rsidRPr="001C75BA">
        <w:rPr>
          <w:rFonts w:ascii="Arial" w:hAnsi="Arial" w:cs="Arial"/>
          <w:color w:val="222222"/>
          <w:shd w:val="clear" w:color="auto" w:fill="FFFFFF"/>
          <w:vertAlign w:val="subscript"/>
        </w:rPr>
        <w:t>2</w:t>
      </w:r>
      <w:r>
        <w:rPr>
          <w:rFonts w:ascii="Arial" w:hAnsi="Arial" w:cs="Arial"/>
          <w:color w:val="222222"/>
          <w:shd w:val="clear" w:color="auto" w:fill="FFFFFF"/>
          <w:vertAlign w:val="subscript"/>
        </w:rPr>
        <w:t xml:space="preserve"> </w:t>
      </w:r>
      <w:r>
        <w:rPr>
          <w:rFonts w:ascii="Arial" w:hAnsi="Arial" w:cs="Arial"/>
          <w:color w:val="222222"/>
          <w:shd w:val="clear" w:color="auto" w:fill="FFFFFF"/>
        </w:rPr>
        <w:t>samples as compared to SRXN1-OE +</w:t>
      </w:r>
      <w:r w:rsidRPr="001C75BA">
        <w:rPr>
          <w:rFonts w:ascii="Arial" w:hAnsi="Arial" w:cs="Arial"/>
          <w:color w:val="222222"/>
          <w:shd w:val="clear" w:color="auto" w:fill="FFFFFF"/>
        </w:rPr>
        <w:t xml:space="preserve"> </w:t>
      </w:r>
      <w:r>
        <w:rPr>
          <w:rFonts w:ascii="Arial" w:hAnsi="Arial" w:cs="Arial"/>
          <w:color w:val="222222"/>
          <w:shd w:val="clear" w:color="auto" w:fill="FFFFFF"/>
        </w:rPr>
        <w:t>H</w:t>
      </w:r>
      <w:r w:rsidRPr="001C75BA">
        <w:rPr>
          <w:rFonts w:ascii="Arial" w:hAnsi="Arial" w:cs="Arial"/>
          <w:color w:val="222222"/>
          <w:shd w:val="clear" w:color="auto" w:fill="FFFFFF"/>
          <w:vertAlign w:val="subscript"/>
        </w:rPr>
        <w:t>2</w:t>
      </w:r>
      <w:r>
        <w:rPr>
          <w:rFonts w:ascii="Arial" w:hAnsi="Arial" w:cs="Arial"/>
          <w:color w:val="222222"/>
          <w:shd w:val="clear" w:color="auto" w:fill="FFFFFF"/>
        </w:rPr>
        <w:t>O</w:t>
      </w:r>
      <w:r w:rsidRPr="001C75BA">
        <w:rPr>
          <w:rFonts w:ascii="Arial" w:hAnsi="Arial" w:cs="Arial"/>
          <w:color w:val="222222"/>
          <w:shd w:val="clear" w:color="auto" w:fill="FFFFFF"/>
          <w:vertAlign w:val="subscript"/>
        </w:rPr>
        <w:t>2</w:t>
      </w:r>
      <w:r>
        <w:rPr>
          <w:rFonts w:ascii="Arial" w:hAnsi="Arial" w:cs="Arial"/>
          <w:color w:val="222222"/>
          <w:shd w:val="clear" w:color="auto" w:fill="FFFFFF"/>
          <w:vertAlign w:val="subscript"/>
        </w:rPr>
        <w:t xml:space="preserve"> </w:t>
      </w:r>
      <w:r>
        <w:rPr>
          <w:rFonts w:ascii="Arial" w:hAnsi="Arial" w:cs="Arial"/>
          <w:color w:val="222222"/>
          <w:shd w:val="clear" w:color="auto" w:fill="FFFFFF"/>
        </w:rPr>
        <w:t>samples (B) GSEA of NRF2 target genes in J14 + H</w:t>
      </w:r>
      <w:r w:rsidRPr="001C75BA">
        <w:rPr>
          <w:rFonts w:ascii="Arial" w:hAnsi="Arial" w:cs="Arial"/>
          <w:color w:val="222222"/>
          <w:shd w:val="clear" w:color="auto" w:fill="FFFFFF"/>
          <w:vertAlign w:val="subscript"/>
        </w:rPr>
        <w:t>2</w:t>
      </w:r>
      <w:r>
        <w:rPr>
          <w:rFonts w:ascii="Arial" w:hAnsi="Arial" w:cs="Arial"/>
          <w:color w:val="222222"/>
          <w:shd w:val="clear" w:color="auto" w:fill="FFFFFF"/>
        </w:rPr>
        <w:t>O</w:t>
      </w:r>
      <w:r w:rsidRPr="001C75BA">
        <w:rPr>
          <w:rFonts w:ascii="Arial" w:hAnsi="Arial" w:cs="Arial"/>
          <w:color w:val="222222"/>
          <w:shd w:val="clear" w:color="auto" w:fill="FFFFFF"/>
          <w:vertAlign w:val="subscript"/>
        </w:rPr>
        <w:t>2</w:t>
      </w:r>
      <w:r>
        <w:rPr>
          <w:rFonts w:ascii="Arial" w:hAnsi="Arial" w:cs="Arial"/>
          <w:color w:val="222222"/>
          <w:shd w:val="clear" w:color="auto" w:fill="FFFFFF"/>
          <w:vertAlign w:val="subscript"/>
        </w:rPr>
        <w:t xml:space="preserve"> </w:t>
      </w:r>
      <w:r>
        <w:rPr>
          <w:rFonts w:ascii="Arial" w:hAnsi="Arial" w:cs="Arial"/>
          <w:color w:val="222222"/>
          <w:shd w:val="clear" w:color="auto" w:fill="FFFFFF"/>
        </w:rPr>
        <w:t>samples as compared to SRXN1-OE +</w:t>
      </w:r>
      <w:r w:rsidRPr="001C75BA">
        <w:rPr>
          <w:rFonts w:ascii="Arial" w:hAnsi="Arial" w:cs="Arial"/>
          <w:color w:val="222222"/>
          <w:shd w:val="clear" w:color="auto" w:fill="FFFFFF"/>
        </w:rPr>
        <w:t xml:space="preserve"> </w:t>
      </w:r>
      <w:r>
        <w:rPr>
          <w:rFonts w:ascii="Arial" w:hAnsi="Arial" w:cs="Arial"/>
          <w:color w:val="222222"/>
          <w:shd w:val="clear" w:color="auto" w:fill="FFFFFF"/>
        </w:rPr>
        <w:t>H</w:t>
      </w:r>
      <w:r w:rsidRPr="001C75BA">
        <w:rPr>
          <w:rFonts w:ascii="Arial" w:hAnsi="Arial" w:cs="Arial"/>
          <w:color w:val="222222"/>
          <w:shd w:val="clear" w:color="auto" w:fill="FFFFFF"/>
          <w:vertAlign w:val="subscript"/>
        </w:rPr>
        <w:t>2</w:t>
      </w:r>
      <w:r>
        <w:rPr>
          <w:rFonts w:ascii="Arial" w:hAnsi="Arial" w:cs="Arial"/>
          <w:color w:val="222222"/>
          <w:shd w:val="clear" w:color="auto" w:fill="FFFFFF"/>
        </w:rPr>
        <w:t>O</w:t>
      </w:r>
      <w:r w:rsidRPr="001C75BA">
        <w:rPr>
          <w:rFonts w:ascii="Arial" w:hAnsi="Arial" w:cs="Arial"/>
          <w:color w:val="222222"/>
          <w:shd w:val="clear" w:color="auto" w:fill="FFFFFF"/>
          <w:vertAlign w:val="subscript"/>
        </w:rPr>
        <w:t>2</w:t>
      </w:r>
      <w:r>
        <w:rPr>
          <w:rFonts w:ascii="Arial" w:hAnsi="Arial" w:cs="Arial"/>
          <w:color w:val="222222"/>
          <w:shd w:val="clear" w:color="auto" w:fill="FFFFFF"/>
          <w:vertAlign w:val="subscript"/>
        </w:rPr>
        <w:t xml:space="preserve"> </w:t>
      </w:r>
      <w:r>
        <w:rPr>
          <w:rFonts w:ascii="Arial" w:hAnsi="Arial" w:cs="Arial"/>
          <w:color w:val="222222"/>
          <w:shd w:val="clear" w:color="auto" w:fill="FFFFFF"/>
        </w:rPr>
        <w:t>samples. (C) Wald statistic and (D) log</w:t>
      </w:r>
      <w:r w:rsidRPr="008F28FF">
        <w:rPr>
          <w:rFonts w:ascii="Arial" w:hAnsi="Arial" w:cs="Arial"/>
          <w:color w:val="222222"/>
          <w:shd w:val="clear" w:color="auto" w:fill="FFFFFF"/>
          <w:vertAlign w:val="subscript"/>
        </w:rPr>
        <w:t>2</w:t>
      </w:r>
      <w:r>
        <w:rPr>
          <w:rFonts w:ascii="Arial" w:hAnsi="Arial" w:cs="Arial"/>
          <w:color w:val="222222"/>
          <w:shd w:val="clear" w:color="auto" w:fill="FFFFFF"/>
        </w:rPr>
        <w:t xml:space="preserve"> fold changes of p53 target genes</w:t>
      </w:r>
      <w:r>
        <w:rPr>
          <w:rFonts w:ascii="Arial" w:eastAsia="Times New Roman" w:hAnsi="Arial" w:cs="Arial"/>
          <w:color w:val="000000"/>
        </w:rPr>
        <w:t xml:space="preserve"> in H</w:t>
      </w:r>
      <w:r w:rsidRPr="00F13B2C">
        <w:rPr>
          <w:rFonts w:ascii="Arial" w:eastAsia="Times New Roman" w:hAnsi="Arial" w:cs="Arial"/>
          <w:color w:val="000000"/>
          <w:vertAlign w:val="subscript"/>
        </w:rPr>
        <w:t>2</w:t>
      </w:r>
      <w:r>
        <w:rPr>
          <w:rFonts w:ascii="Arial" w:eastAsia="Times New Roman" w:hAnsi="Arial" w:cs="Arial"/>
          <w:color w:val="000000"/>
        </w:rPr>
        <w:t>O</w:t>
      </w:r>
      <w:r w:rsidRPr="00F13B2C">
        <w:rPr>
          <w:rFonts w:ascii="Arial" w:eastAsia="Times New Roman" w:hAnsi="Arial" w:cs="Arial"/>
          <w:color w:val="000000"/>
          <w:vertAlign w:val="subscript"/>
        </w:rPr>
        <w:t>2</w:t>
      </w:r>
      <w:r>
        <w:rPr>
          <w:rFonts w:ascii="Arial" w:eastAsia="Times New Roman" w:hAnsi="Arial" w:cs="Arial"/>
          <w:color w:val="000000"/>
          <w:vertAlign w:val="subscript"/>
        </w:rPr>
        <w:t xml:space="preserve"> </w:t>
      </w:r>
      <w:r>
        <w:rPr>
          <w:rFonts w:ascii="Arial" w:eastAsia="Times New Roman" w:hAnsi="Arial" w:cs="Arial"/>
          <w:color w:val="000000"/>
        </w:rPr>
        <w:t>treated cells vs. PBS controls, H</w:t>
      </w:r>
      <w:r>
        <w:rPr>
          <w:rFonts w:ascii="Arial" w:eastAsia="Times New Roman" w:hAnsi="Arial" w:cs="Arial"/>
          <w:color w:val="000000"/>
          <w:vertAlign w:val="subscript"/>
        </w:rPr>
        <w:t>2</w:t>
      </w:r>
      <w:r>
        <w:rPr>
          <w:rFonts w:ascii="Arial" w:eastAsia="Times New Roman" w:hAnsi="Arial" w:cs="Arial"/>
          <w:color w:val="000000"/>
        </w:rPr>
        <w:t>O</w:t>
      </w:r>
      <w:r>
        <w:rPr>
          <w:rFonts w:ascii="Arial" w:eastAsia="Times New Roman" w:hAnsi="Arial" w:cs="Arial"/>
          <w:color w:val="000000"/>
          <w:vertAlign w:val="subscript"/>
        </w:rPr>
        <w:t>2</w:t>
      </w:r>
      <w:r>
        <w:rPr>
          <w:rFonts w:ascii="Arial" w:eastAsia="Times New Roman" w:hAnsi="Arial" w:cs="Arial"/>
          <w:color w:val="000000"/>
        </w:rPr>
        <w:t xml:space="preserve"> + J14 treated cells vs J14 treated controls and H</w:t>
      </w:r>
      <w:r w:rsidRPr="00F13B2C">
        <w:rPr>
          <w:rFonts w:ascii="Arial" w:eastAsia="Times New Roman" w:hAnsi="Arial" w:cs="Arial"/>
          <w:color w:val="000000"/>
          <w:vertAlign w:val="subscript"/>
        </w:rPr>
        <w:t>2</w:t>
      </w:r>
      <w:r>
        <w:rPr>
          <w:rFonts w:ascii="Arial" w:eastAsia="Times New Roman" w:hAnsi="Arial" w:cs="Arial"/>
          <w:color w:val="000000"/>
        </w:rPr>
        <w:t>O</w:t>
      </w:r>
      <w:r w:rsidRPr="00F13B2C">
        <w:rPr>
          <w:rFonts w:ascii="Arial" w:eastAsia="Times New Roman" w:hAnsi="Arial" w:cs="Arial"/>
          <w:color w:val="000000"/>
          <w:vertAlign w:val="subscript"/>
        </w:rPr>
        <w:t xml:space="preserve">2 </w:t>
      </w:r>
      <w:r>
        <w:rPr>
          <w:rFonts w:ascii="Arial" w:eastAsia="Times New Roman" w:hAnsi="Arial" w:cs="Arial"/>
          <w:color w:val="000000"/>
        </w:rPr>
        <w:t xml:space="preserve">treated SRXN1-OE cells vs. SRXN1-OE PBS controls. (E) </w:t>
      </w:r>
      <w:r>
        <w:rPr>
          <w:rFonts w:ascii="Arial" w:hAnsi="Arial" w:cs="Arial"/>
          <w:color w:val="222222"/>
          <w:shd w:val="clear" w:color="auto" w:fill="FFFFFF"/>
        </w:rPr>
        <w:t>Wald statistic and (F) log</w:t>
      </w:r>
      <w:r w:rsidRPr="008F28FF">
        <w:rPr>
          <w:rFonts w:ascii="Arial" w:hAnsi="Arial" w:cs="Arial"/>
          <w:color w:val="222222"/>
          <w:shd w:val="clear" w:color="auto" w:fill="FFFFFF"/>
          <w:vertAlign w:val="subscript"/>
        </w:rPr>
        <w:t>2</w:t>
      </w:r>
      <w:r>
        <w:rPr>
          <w:rFonts w:ascii="Arial" w:hAnsi="Arial" w:cs="Arial"/>
          <w:color w:val="222222"/>
          <w:shd w:val="clear" w:color="auto" w:fill="FFFFFF"/>
        </w:rPr>
        <w:t xml:space="preserve"> fold changes of NRF2 target genes</w:t>
      </w:r>
      <w:r>
        <w:rPr>
          <w:rFonts w:ascii="Arial" w:eastAsia="Times New Roman" w:hAnsi="Arial" w:cs="Arial"/>
          <w:color w:val="000000"/>
        </w:rPr>
        <w:t xml:space="preserve"> in H</w:t>
      </w:r>
      <w:r w:rsidRPr="00F13B2C">
        <w:rPr>
          <w:rFonts w:ascii="Arial" w:eastAsia="Times New Roman" w:hAnsi="Arial" w:cs="Arial"/>
          <w:color w:val="000000"/>
          <w:vertAlign w:val="subscript"/>
        </w:rPr>
        <w:t>2</w:t>
      </w:r>
      <w:r>
        <w:rPr>
          <w:rFonts w:ascii="Arial" w:eastAsia="Times New Roman" w:hAnsi="Arial" w:cs="Arial"/>
          <w:color w:val="000000"/>
        </w:rPr>
        <w:t>O</w:t>
      </w:r>
      <w:r w:rsidRPr="00F13B2C">
        <w:rPr>
          <w:rFonts w:ascii="Arial" w:eastAsia="Times New Roman" w:hAnsi="Arial" w:cs="Arial"/>
          <w:color w:val="000000"/>
          <w:vertAlign w:val="subscript"/>
        </w:rPr>
        <w:t>2</w:t>
      </w:r>
      <w:r>
        <w:rPr>
          <w:rFonts w:ascii="Arial" w:eastAsia="Times New Roman" w:hAnsi="Arial" w:cs="Arial"/>
          <w:color w:val="000000"/>
          <w:vertAlign w:val="subscript"/>
        </w:rPr>
        <w:t xml:space="preserve"> </w:t>
      </w:r>
      <w:r>
        <w:rPr>
          <w:rFonts w:ascii="Arial" w:eastAsia="Times New Roman" w:hAnsi="Arial" w:cs="Arial"/>
          <w:color w:val="000000"/>
        </w:rPr>
        <w:t>treated cells vs. PBS controls, H</w:t>
      </w:r>
      <w:r>
        <w:rPr>
          <w:rFonts w:ascii="Arial" w:eastAsia="Times New Roman" w:hAnsi="Arial" w:cs="Arial"/>
          <w:color w:val="000000"/>
          <w:vertAlign w:val="subscript"/>
        </w:rPr>
        <w:t>2</w:t>
      </w:r>
      <w:r>
        <w:rPr>
          <w:rFonts w:ascii="Arial" w:eastAsia="Times New Roman" w:hAnsi="Arial" w:cs="Arial"/>
          <w:color w:val="000000"/>
        </w:rPr>
        <w:t>O</w:t>
      </w:r>
      <w:r>
        <w:rPr>
          <w:rFonts w:ascii="Arial" w:eastAsia="Times New Roman" w:hAnsi="Arial" w:cs="Arial"/>
          <w:color w:val="000000"/>
          <w:vertAlign w:val="subscript"/>
        </w:rPr>
        <w:t>2</w:t>
      </w:r>
      <w:r>
        <w:rPr>
          <w:rFonts w:ascii="Arial" w:eastAsia="Times New Roman" w:hAnsi="Arial" w:cs="Arial"/>
          <w:color w:val="000000"/>
        </w:rPr>
        <w:t xml:space="preserve"> + J14 treated cells vs J14 treated controls and H</w:t>
      </w:r>
      <w:r w:rsidRPr="00F13B2C">
        <w:rPr>
          <w:rFonts w:ascii="Arial" w:eastAsia="Times New Roman" w:hAnsi="Arial" w:cs="Arial"/>
          <w:color w:val="000000"/>
          <w:vertAlign w:val="subscript"/>
        </w:rPr>
        <w:t>2</w:t>
      </w:r>
      <w:r>
        <w:rPr>
          <w:rFonts w:ascii="Arial" w:eastAsia="Times New Roman" w:hAnsi="Arial" w:cs="Arial"/>
          <w:color w:val="000000"/>
        </w:rPr>
        <w:t>O</w:t>
      </w:r>
      <w:r w:rsidRPr="00F13B2C">
        <w:rPr>
          <w:rFonts w:ascii="Arial" w:eastAsia="Times New Roman" w:hAnsi="Arial" w:cs="Arial"/>
          <w:color w:val="000000"/>
          <w:vertAlign w:val="subscript"/>
        </w:rPr>
        <w:t xml:space="preserve">2 </w:t>
      </w:r>
      <w:r>
        <w:rPr>
          <w:rFonts w:ascii="Arial" w:eastAsia="Times New Roman" w:hAnsi="Arial" w:cs="Arial"/>
          <w:color w:val="000000"/>
        </w:rPr>
        <w:t>treated SRXN1-OE cells vs. SRXN1-OE PBS controls. H</w:t>
      </w:r>
      <w:r>
        <w:rPr>
          <w:rFonts w:ascii="Arial" w:eastAsia="Times New Roman" w:hAnsi="Arial" w:cs="Arial"/>
          <w:color w:val="000000"/>
          <w:vertAlign w:val="subscript"/>
        </w:rPr>
        <w:t>2</w:t>
      </w:r>
      <w:r>
        <w:rPr>
          <w:rFonts w:ascii="Arial" w:eastAsia="Times New Roman" w:hAnsi="Arial" w:cs="Arial"/>
          <w:color w:val="000000"/>
        </w:rPr>
        <w:t>O</w:t>
      </w:r>
      <w:r>
        <w:rPr>
          <w:rFonts w:ascii="Arial" w:eastAsia="Times New Roman" w:hAnsi="Arial" w:cs="Arial"/>
          <w:color w:val="000000"/>
          <w:vertAlign w:val="subscript"/>
        </w:rPr>
        <w:t xml:space="preserve">2 </w:t>
      </w:r>
      <w:r>
        <w:rPr>
          <w:rFonts w:ascii="Arial" w:eastAsia="Times New Roman" w:hAnsi="Arial" w:cs="Arial"/>
          <w:color w:val="000000"/>
        </w:rPr>
        <w:t>concentration is 50</w:t>
      </w:r>
      <w:r>
        <w:rPr>
          <w:rFonts w:ascii="Calibri" w:eastAsia="Times New Roman" w:hAnsi="Calibri" w:cs="Calibri"/>
          <w:color w:val="000000"/>
        </w:rPr>
        <w:t>μ</w:t>
      </w:r>
      <w:r>
        <w:rPr>
          <w:rFonts w:ascii="Arial" w:eastAsia="Times New Roman" w:hAnsi="Arial" w:cs="Arial"/>
          <w:color w:val="000000"/>
        </w:rPr>
        <w:t>M, J14 20</w:t>
      </w:r>
      <w:r>
        <w:rPr>
          <w:rFonts w:ascii="Calibri" w:eastAsia="Times New Roman" w:hAnsi="Calibri" w:cs="Calibri"/>
          <w:color w:val="000000"/>
        </w:rPr>
        <w:t>μ</w:t>
      </w:r>
      <w:r>
        <w:rPr>
          <w:rFonts w:ascii="Arial" w:eastAsia="Times New Roman" w:hAnsi="Arial" w:cs="Arial"/>
          <w:color w:val="000000"/>
        </w:rPr>
        <w:t>M.</w:t>
      </w:r>
    </w:p>
    <w:p w14:paraId="18272C5A" w14:textId="77777777" w:rsidR="005103D4" w:rsidRDefault="005103D4" w:rsidP="005103D4">
      <w:pPr>
        <w:spacing w:before="240" w:after="240" w:line="240" w:lineRule="auto"/>
        <w:jc w:val="both"/>
        <w:rPr>
          <w:rFonts w:ascii="Arial" w:hAnsi="Arial" w:cs="Arial"/>
          <w:color w:val="222222"/>
          <w:shd w:val="clear" w:color="auto" w:fill="FFFFFF"/>
        </w:rPr>
      </w:pPr>
    </w:p>
    <w:p w14:paraId="31DD29C6" w14:textId="77777777" w:rsidR="005103D4" w:rsidRDefault="005103D4" w:rsidP="005103D4">
      <w:pPr>
        <w:spacing w:before="240" w:after="240" w:line="240" w:lineRule="auto"/>
        <w:jc w:val="both"/>
        <w:rPr>
          <w:rFonts w:ascii="Arial" w:hAnsi="Arial" w:cs="Arial"/>
          <w:color w:val="222222"/>
          <w:shd w:val="clear" w:color="auto" w:fill="FFFFFF"/>
        </w:rPr>
      </w:pPr>
    </w:p>
    <w:p w14:paraId="0C9869CC" w14:textId="77777777" w:rsidR="005103D4" w:rsidRDefault="005103D4" w:rsidP="005103D4">
      <w:pPr>
        <w:spacing w:before="240" w:after="240" w:line="240" w:lineRule="auto"/>
        <w:jc w:val="both"/>
        <w:rPr>
          <w:rFonts w:ascii="Arial" w:eastAsia="Times New Roman" w:hAnsi="Arial" w:cs="Arial"/>
          <w:color w:val="000000"/>
        </w:rPr>
      </w:pPr>
      <w:r w:rsidRPr="006545E4">
        <w:rPr>
          <w:rFonts w:ascii="Arial" w:eastAsia="Times New Roman" w:hAnsi="Arial" w:cs="Arial"/>
          <w:b/>
          <w:bCs/>
          <w:color w:val="000000"/>
        </w:rPr>
        <w:t>Supplemental Movie 1</w:t>
      </w:r>
      <w:r>
        <w:rPr>
          <w:rFonts w:ascii="Arial" w:eastAsia="Times New Roman" w:hAnsi="Arial" w:cs="Arial"/>
          <w:color w:val="000000"/>
        </w:rPr>
        <w:t>: Example movie showing FOXO1-mVenus and p53-mCherry activity after treatment with 50</w:t>
      </w:r>
      <w:r w:rsidRPr="00EB395E">
        <w:rPr>
          <w:rFonts w:ascii="Arial" w:hAnsi="Arial" w:cs="Arial"/>
        </w:rPr>
        <w:t>µ</w:t>
      </w:r>
      <w:r>
        <w:rPr>
          <w:rFonts w:ascii="Arial" w:eastAsia="Times New Roman" w:hAnsi="Arial" w:cs="Arial"/>
          <w:color w:val="000000"/>
        </w:rPr>
        <w:t>M of 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in MCF7 cells for a period of 24hrs.H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was added at the 20-minute timepoint.</w:t>
      </w:r>
    </w:p>
    <w:p w14:paraId="4E1F7AEB" w14:textId="77777777" w:rsidR="005103D4" w:rsidRPr="006545E4" w:rsidRDefault="005103D4" w:rsidP="005103D4">
      <w:pPr>
        <w:spacing w:before="240" w:after="240" w:line="240" w:lineRule="auto"/>
        <w:jc w:val="both"/>
        <w:rPr>
          <w:rFonts w:ascii="Arial" w:eastAsia="Times New Roman" w:hAnsi="Arial" w:cs="Arial"/>
          <w:color w:val="000000"/>
        </w:rPr>
      </w:pPr>
      <w:r w:rsidRPr="006545E4">
        <w:rPr>
          <w:rFonts w:ascii="Arial" w:eastAsia="Times New Roman" w:hAnsi="Arial" w:cs="Arial"/>
          <w:b/>
          <w:bCs/>
          <w:color w:val="000000"/>
        </w:rPr>
        <w:t xml:space="preserve">Supplemental Movie </w:t>
      </w:r>
      <w:r>
        <w:rPr>
          <w:rFonts w:ascii="Arial" w:eastAsia="Times New Roman" w:hAnsi="Arial" w:cs="Arial"/>
          <w:b/>
          <w:bCs/>
          <w:color w:val="000000"/>
        </w:rPr>
        <w:t>2</w:t>
      </w:r>
      <w:r>
        <w:rPr>
          <w:rFonts w:ascii="Arial" w:eastAsia="Times New Roman" w:hAnsi="Arial" w:cs="Arial"/>
          <w:color w:val="000000"/>
        </w:rPr>
        <w:t>: Example movie showing FOXO1-mVenus and p53-mCherry activity after treatment with 80</w:t>
      </w:r>
      <w:r w:rsidRPr="00EB395E">
        <w:rPr>
          <w:rFonts w:ascii="Arial" w:hAnsi="Arial" w:cs="Arial"/>
        </w:rPr>
        <w:t>µ</w:t>
      </w:r>
      <w:r>
        <w:rPr>
          <w:rFonts w:ascii="Arial" w:eastAsia="Times New Roman" w:hAnsi="Arial" w:cs="Arial"/>
          <w:color w:val="000000"/>
        </w:rPr>
        <w:t>M of 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in MCF7 cells for a period of 24hrs.H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was added at the 20-minute timepoint.</w:t>
      </w:r>
    </w:p>
    <w:p w14:paraId="28BB71F9" w14:textId="77777777" w:rsidR="005103D4" w:rsidRPr="006545E4" w:rsidRDefault="005103D4" w:rsidP="005103D4">
      <w:pPr>
        <w:spacing w:before="240" w:after="240" w:line="240" w:lineRule="auto"/>
        <w:jc w:val="both"/>
        <w:rPr>
          <w:rFonts w:ascii="Arial" w:eastAsia="Times New Roman" w:hAnsi="Arial" w:cs="Arial"/>
          <w:color w:val="000000"/>
        </w:rPr>
      </w:pPr>
      <w:r w:rsidRPr="006545E4">
        <w:rPr>
          <w:rFonts w:ascii="Arial" w:eastAsia="Times New Roman" w:hAnsi="Arial" w:cs="Arial"/>
          <w:b/>
          <w:bCs/>
          <w:color w:val="000000"/>
        </w:rPr>
        <w:t xml:space="preserve">Supplemental Movie </w:t>
      </w:r>
      <w:r>
        <w:rPr>
          <w:rFonts w:ascii="Arial" w:eastAsia="Times New Roman" w:hAnsi="Arial" w:cs="Arial"/>
          <w:b/>
          <w:bCs/>
          <w:color w:val="000000"/>
        </w:rPr>
        <w:t>3</w:t>
      </w:r>
      <w:r>
        <w:rPr>
          <w:rFonts w:ascii="Arial" w:eastAsia="Times New Roman" w:hAnsi="Arial" w:cs="Arial"/>
          <w:color w:val="000000"/>
        </w:rPr>
        <w:t>: Example movie showing FOXO1-mVenus and p53-mCherry activity after treatment with 100</w:t>
      </w:r>
      <w:r w:rsidRPr="00EB395E">
        <w:rPr>
          <w:rFonts w:ascii="Arial" w:hAnsi="Arial" w:cs="Arial"/>
        </w:rPr>
        <w:t>µ</w:t>
      </w:r>
      <w:r>
        <w:rPr>
          <w:rFonts w:ascii="Arial" w:eastAsia="Times New Roman" w:hAnsi="Arial" w:cs="Arial"/>
          <w:color w:val="000000"/>
        </w:rPr>
        <w:t>M of 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in MCF7 cells for a period of 24hrs.H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was added at the 20-minute timepoint.</w:t>
      </w:r>
    </w:p>
    <w:p w14:paraId="3A1026D0" w14:textId="77777777" w:rsidR="005103D4" w:rsidRPr="006545E4" w:rsidRDefault="005103D4" w:rsidP="005103D4">
      <w:pPr>
        <w:spacing w:before="240" w:after="240" w:line="240" w:lineRule="auto"/>
        <w:jc w:val="both"/>
        <w:rPr>
          <w:rFonts w:ascii="Arial" w:eastAsia="Times New Roman" w:hAnsi="Arial" w:cs="Arial"/>
          <w:color w:val="000000"/>
        </w:rPr>
      </w:pPr>
      <w:r w:rsidRPr="006545E4">
        <w:rPr>
          <w:rFonts w:ascii="Arial" w:eastAsia="Times New Roman" w:hAnsi="Arial" w:cs="Arial"/>
          <w:b/>
          <w:bCs/>
          <w:color w:val="000000"/>
        </w:rPr>
        <w:t xml:space="preserve">Supplemental Movie </w:t>
      </w:r>
      <w:r>
        <w:rPr>
          <w:rFonts w:ascii="Arial" w:eastAsia="Times New Roman" w:hAnsi="Arial" w:cs="Arial"/>
          <w:b/>
          <w:bCs/>
          <w:color w:val="000000"/>
        </w:rPr>
        <w:t>4</w:t>
      </w:r>
      <w:r>
        <w:rPr>
          <w:rFonts w:ascii="Arial" w:eastAsia="Times New Roman" w:hAnsi="Arial" w:cs="Arial"/>
          <w:color w:val="000000"/>
        </w:rPr>
        <w:t>: Example movie showing FOXO1-mVenus and p53-mCherry activity after treatment with 300</w:t>
      </w:r>
      <w:r w:rsidRPr="00EB395E">
        <w:rPr>
          <w:rFonts w:ascii="Arial" w:hAnsi="Arial" w:cs="Arial"/>
        </w:rPr>
        <w:t>µ</w:t>
      </w:r>
      <w:r>
        <w:rPr>
          <w:rFonts w:ascii="Arial" w:eastAsia="Times New Roman" w:hAnsi="Arial" w:cs="Arial"/>
          <w:color w:val="000000"/>
        </w:rPr>
        <w:t>M of 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in MCF7 cells for a period of 24hrs.H</w:t>
      </w:r>
      <w:r w:rsidRPr="006545E4">
        <w:rPr>
          <w:rFonts w:ascii="Arial" w:eastAsia="Times New Roman" w:hAnsi="Arial" w:cs="Arial"/>
          <w:color w:val="000000"/>
          <w:vertAlign w:val="subscript"/>
        </w:rPr>
        <w:t>2</w:t>
      </w:r>
      <w:r>
        <w:rPr>
          <w:rFonts w:ascii="Arial" w:eastAsia="Times New Roman" w:hAnsi="Arial" w:cs="Arial"/>
          <w:color w:val="000000"/>
        </w:rPr>
        <w:t>O</w:t>
      </w:r>
      <w:r w:rsidRPr="006545E4">
        <w:rPr>
          <w:rFonts w:ascii="Arial" w:eastAsia="Times New Roman" w:hAnsi="Arial" w:cs="Arial"/>
          <w:color w:val="000000"/>
          <w:vertAlign w:val="subscript"/>
        </w:rPr>
        <w:t>2</w:t>
      </w:r>
      <w:r>
        <w:rPr>
          <w:rFonts w:ascii="Arial" w:eastAsia="Times New Roman" w:hAnsi="Arial" w:cs="Arial"/>
          <w:color w:val="000000"/>
        </w:rPr>
        <w:t xml:space="preserve"> was added at the 20-minute timepoint.</w:t>
      </w:r>
    </w:p>
    <w:p w14:paraId="18ADCCBC" w14:textId="77777777" w:rsidR="005103D4" w:rsidRDefault="005103D4" w:rsidP="005103D4">
      <w:pPr>
        <w:spacing w:before="240" w:after="240" w:line="240" w:lineRule="auto"/>
        <w:jc w:val="both"/>
        <w:rPr>
          <w:rFonts w:ascii="Arial" w:hAnsi="Arial" w:cs="Arial"/>
          <w:color w:val="222222"/>
          <w:shd w:val="clear" w:color="auto" w:fill="FFFFFF"/>
        </w:rPr>
      </w:pPr>
    </w:p>
    <w:p w14:paraId="5FB8B20E" w14:textId="77777777" w:rsidR="00962AED" w:rsidRDefault="00962AED"/>
    <w:sectPr w:rsidR="00962AED" w:rsidSect="00B56F33">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8E4B4" w14:textId="77777777" w:rsidR="00317F17" w:rsidRDefault="005103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6313934"/>
      <w:docPartObj>
        <w:docPartGallery w:val="Page Numbers (Bottom of Page)"/>
        <w:docPartUnique/>
      </w:docPartObj>
    </w:sdtPr>
    <w:sdtEndPr>
      <w:rPr>
        <w:noProof/>
      </w:rPr>
    </w:sdtEndPr>
    <w:sdtContent>
      <w:p w14:paraId="6D9967C3" w14:textId="77777777" w:rsidR="00317F17" w:rsidRDefault="005103D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2E89D2" w14:textId="77777777" w:rsidR="00317F17" w:rsidRDefault="005103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E85BC" w14:textId="77777777" w:rsidR="00317F17" w:rsidRDefault="005103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ABDED" w14:textId="77777777" w:rsidR="00317F17" w:rsidRDefault="005103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79B97" w14:textId="77777777" w:rsidR="00317F17" w:rsidRDefault="005103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292A6" w14:textId="77777777" w:rsidR="00317F17" w:rsidRDefault="005103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3D4"/>
    <w:rsid w:val="005103D4"/>
    <w:rsid w:val="00962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D1378"/>
  <w15:chartTrackingRefBased/>
  <w15:docId w15:val="{08C9977B-9351-47E9-961B-B9EF0702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3D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0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03D4"/>
    <w:rPr>
      <w:kern w:val="0"/>
      <w14:ligatures w14:val="none"/>
    </w:rPr>
  </w:style>
  <w:style w:type="paragraph" w:styleId="Footer">
    <w:name w:val="footer"/>
    <w:basedOn w:val="Normal"/>
    <w:link w:val="FooterChar"/>
    <w:uiPriority w:val="99"/>
    <w:unhideWhenUsed/>
    <w:rsid w:val="00510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03D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oter" Target="footer1.xm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image" Target="media/image1.jpeg"/><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1057</Words>
  <Characters>5740</Characters>
  <Application>Microsoft Office Word</Application>
  <DocSecurity>0</DocSecurity>
  <Lines>110</Lines>
  <Paragraphs>29</Paragraphs>
  <ScaleCrop>false</ScaleCrop>
  <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Paek, Andrew L - (apaek)</dc:creator>
  <cp:keywords/>
  <dc:description/>
  <cp:lastModifiedBy>Paek, Andrew L - (apaek)</cp:lastModifiedBy>
  <cp:revision>1</cp:revision>
  <dcterms:created xsi:type="dcterms:W3CDTF">2023-04-07T19:14:00Z</dcterms:created>
  <dcterms:modified xsi:type="dcterms:W3CDTF">2023-04-07T19:14:00Z</dcterms:modified>
</cp:coreProperties>
</file>