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6A795" w14:textId="77777777" w:rsidR="00F848AA" w:rsidRDefault="00000000">
      <w:pPr>
        <w:pStyle w:val="Heading1"/>
        <w:spacing w:line="480" w:lineRule="auto"/>
        <w:jc w:val="center"/>
        <w:rPr>
          <w:color w:val="222222"/>
          <w:sz w:val="62"/>
          <w:szCs w:val="62"/>
          <w:highlight w:val="white"/>
        </w:rPr>
      </w:pPr>
      <w:bookmarkStart w:id="0" w:name="_gjdgxs" w:colFirst="0" w:colLast="0"/>
      <w:bookmarkEnd w:id="0"/>
      <w:r>
        <w:t>Supplementary Appendix</w:t>
      </w:r>
    </w:p>
    <w:p w14:paraId="2E37F19F" w14:textId="179CB7D7" w:rsidR="00F848AA" w:rsidRDefault="337CF91E">
      <w:pPr>
        <w:spacing w:line="480" w:lineRule="auto"/>
        <w:jc w:val="center"/>
        <w:rPr>
          <w:rFonts w:ascii="Arial" w:eastAsia="Arial" w:hAnsi="Arial" w:cs="Arial"/>
        </w:rPr>
      </w:pPr>
      <w:r w:rsidRPr="337CF91E">
        <w:rPr>
          <w:rFonts w:ascii="Arial" w:eastAsia="Arial" w:hAnsi="Arial" w:cs="Arial"/>
          <w:color w:val="222222"/>
          <w:highlight w:val="white"/>
        </w:rPr>
        <w:t>Supplementary Appendix for: Artificial Intelligence Predictive Model for Hormone Therapy Use in Localized Prostate Cancer</w:t>
      </w:r>
    </w:p>
    <w:p w14:paraId="333D2938" w14:textId="77777777" w:rsidR="00F848AA" w:rsidRDefault="00000000">
      <w:pPr>
        <w:spacing w:line="480" w:lineRule="auto"/>
        <w:jc w:val="center"/>
        <w:rPr>
          <w:rFonts w:ascii="Times New Roman" w:eastAsia="Times New Roman" w:hAnsi="Times New Roman" w:cs="Times New Roman"/>
        </w:rPr>
      </w:pPr>
      <w:r>
        <w:br w:type="page"/>
      </w:r>
    </w:p>
    <w:p w14:paraId="4C63159F" w14:textId="77777777" w:rsidR="00F848AA" w:rsidRDefault="00000000">
      <w:pPr>
        <w:pBdr>
          <w:top w:val="nil"/>
          <w:left w:val="nil"/>
          <w:bottom w:val="nil"/>
          <w:right w:val="nil"/>
          <w:between w:val="nil"/>
        </w:pBdr>
        <w:spacing w:after="0" w:line="480" w:lineRule="auto"/>
        <w:jc w:val="both"/>
        <w:rPr>
          <w:rFonts w:ascii="Times New Roman" w:eastAsia="Times New Roman" w:hAnsi="Times New Roman" w:cs="Times New Roman"/>
          <w:color w:val="366091"/>
          <w:sz w:val="28"/>
          <w:szCs w:val="28"/>
        </w:rPr>
      </w:pPr>
      <w:r>
        <w:rPr>
          <w:rFonts w:ascii="Times New Roman" w:eastAsia="Times New Roman" w:hAnsi="Times New Roman" w:cs="Times New Roman"/>
          <w:color w:val="366091"/>
          <w:sz w:val="28"/>
          <w:szCs w:val="28"/>
        </w:rPr>
        <w:lastRenderedPageBreak/>
        <w:t>Table Of Contents</w:t>
      </w:r>
    </w:p>
    <w:sdt>
      <w:sdtPr>
        <w:id w:val="357936819"/>
        <w:docPartObj>
          <w:docPartGallery w:val="Table of Contents"/>
          <w:docPartUnique/>
        </w:docPartObj>
      </w:sdtPr>
      <w:sdtContent>
        <w:p w14:paraId="10414B28"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r>
            <w:fldChar w:fldCharType="begin"/>
          </w:r>
          <w:r>
            <w:instrText xml:space="preserve"> TOC \h \u \z \t "Heading 1,1,Heading 2,2,Heading 3,3,Heading 4,4,Heading 5,5,Heading 6,6,"</w:instrText>
          </w:r>
          <w:r>
            <w:fldChar w:fldCharType="separate"/>
          </w:r>
          <w:hyperlink w:anchor="_gjdgxs">
            <w:r>
              <w:rPr>
                <w:color w:val="000000"/>
              </w:rPr>
              <w:t>Supplementary Appendix</w:t>
            </w:r>
            <w:r>
              <w:rPr>
                <w:color w:val="000000"/>
              </w:rPr>
              <w:tab/>
              <w:t>1</w:t>
            </w:r>
          </w:hyperlink>
        </w:p>
        <w:p w14:paraId="33ED0191"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30j0zll">
            <w:r>
              <w:rPr>
                <w:color w:val="000000"/>
                <w:highlight w:val="white"/>
              </w:rPr>
              <w:t>NRG Prostate Cancer AI Consortium Members</w:t>
            </w:r>
          </w:hyperlink>
          <w:hyperlink w:anchor="_30j0zll">
            <w:r>
              <w:rPr>
                <w:color w:val="000000"/>
              </w:rPr>
              <w:tab/>
              <w:t>3</w:t>
            </w:r>
          </w:hyperlink>
        </w:p>
        <w:p w14:paraId="2661EED2"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1fob9te">
            <w:r>
              <w:rPr>
                <w:color w:val="000000"/>
                <w:highlight w:val="white"/>
              </w:rPr>
              <w:t>Clinical Risk Group Defined by NCCN Guidelines Prostate Cancer V.1.2022</w:t>
            </w:r>
          </w:hyperlink>
          <w:hyperlink w:anchor="_1fob9te">
            <w:r>
              <w:rPr>
                <w:color w:val="000000"/>
              </w:rPr>
              <w:tab/>
              <w:t>4</w:t>
            </w:r>
          </w:hyperlink>
        </w:p>
        <w:p w14:paraId="1613AB49"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3znysh7">
            <w:r>
              <w:rPr>
                <w:color w:val="000000"/>
              </w:rPr>
              <w:t>Methods for Multimodal Deep Learning Model Development</w:t>
            </w:r>
            <w:r>
              <w:rPr>
                <w:color w:val="000000"/>
              </w:rPr>
              <w:tab/>
              <w:t>4</w:t>
            </w:r>
          </w:hyperlink>
        </w:p>
        <w:p w14:paraId="0B9EBD74"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2et92p0">
            <w:r>
              <w:rPr>
                <w:color w:val="000000"/>
              </w:rPr>
              <w:t>Supplementary Figures and Tables</w:t>
            </w:r>
            <w:r>
              <w:rPr>
                <w:color w:val="000000"/>
              </w:rPr>
              <w:tab/>
              <w:t>9</w:t>
            </w:r>
          </w:hyperlink>
        </w:p>
        <w:p w14:paraId="63D6CBE0"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tyjcwt">
            <w:r>
              <w:rPr>
                <w:color w:val="000000"/>
              </w:rPr>
              <w:t>Figure S1. Multimodal deep learning architecture and distribution of delta for development and validation set.</w:t>
            </w:r>
            <w:r>
              <w:rPr>
                <w:color w:val="000000"/>
              </w:rPr>
              <w:tab/>
              <w:t>9</w:t>
            </w:r>
          </w:hyperlink>
        </w:p>
        <w:p w14:paraId="42584E2E"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3dy6vkm">
            <w:r>
              <w:rPr>
                <w:color w:val="000000"/>
              </w:rPr>
              <w:t>Figure S2. Model feature weights and their associated feature importance.</w:t>
            </w:r>
            <w:r>
              <w:rPr>
                <w:color w:val="000000"/>
              </w:rPr>
              <w:tab/>
              <w:t>11</w:t>
            </w:r>
          </w:hyperlink>
        </w:p>
        <w:p w14:paraId="50BC1393"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1t3h5sf">
            <w:r>
              <w:rPr>
                <w:color w:val="000000"/>
              </w:rPr>
              <w:t>Figure S3. Forest plots for all endpoints in positive and negative biomarker groups of NRG/RTOG 9408 (validation set) for the subgroup of NCCN low-intermediate-risk patients.</w:t>
            </w:r>
            <w:r>
              <w:rPr>
                <w:color w:val="000000"/>
              </w:rPr>
              <w:tab/>
              <w:t>12</w:t>
            </w:r>
          </w:hyperlink>
        </w:p>
        <w:p w14:paraId="5A47D893"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4d34og8">
            <w:r>
              <w:rPr>
                <w:color w:val="000000"/>
              </w:rPr>
              <w:t>Figure S4. Forest plots for exploratory endpoints in positive and negative biomarker groups of NRG/RTOG 9408 (validation set) for all patients.</w:t>
            </w:r>
            <w:r>
              <w:rPr>
                <w:color w:val="000000"/>
              </w:rPr>
              <w:tab/>
              <w:t>13</w:t>
            </w:r>
          </w:hyperlink>
        </w:p>
        <w:p w14:paraId="114C6801"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2s8eyo1">
            <w:r>
              <w:rPr>
                <w:color w:val="000000"/>
              </w:rPr>
              <w:t>Table S1. Trials included in meta-analyses.</w:t>
            </w:r>
            <w:r>
              <w:rPr>
                <w:color w:val="000000"/>
              </w:rPr>
              <w:tab/>
              <w:t>14</w:t>
            </w:r>
          </w:hyperlink>
        </w:p>
        <w:p w14:paraId="3B3EB7B8"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17dp8vu">
            <w:r>
              <w:rPr>
                <w:color w:val="000000"/>
              </w:rPr>
              <w:t>Table S2. Study summary and patient baseline characteristics for all NRG/RTOG trials used for model development and validation.</w:t>
            </w:r>
            <w:r>
              <w:rPr>
                <w:color w:val="000000"/>
              </w:rPr>
              <w:tab/>
              <w:t>16</w:t>
            </w:r>
          </w:hyperlink>
        </w:p>
        <w:p w14:paraId="701AE103"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3rdcrjn">
            <w:r>
              <w:rPr>
                <w:color w:val="000000"/>
              </w:rPr>
              <w:t>Table S3. Representativeness of patient cohort</w:t>
            </w:r>
            <w:r>
              <w:rPr>
                <w:color w:val="000000"/>
              </w:rPr>
              <w:tab/>
              <w:t>18</w:t>
            </w:r>
          </w:hyperlink>
        </w:p>
        <w:p w14:paraId="523721C1"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lnxbz9">
            <w:r>
              <w:rPr>
                <w:color w:val="000000"/>
              </w:rPr>
              <w:t>Table S4. Patient baseline characteristics for the development cohort.</w:t>
            </w:r>
            <w:r>
              <w:rPr>
                <w:color w:val="000000"/>
              </w:rPr>
              <w:tab/>
              <w:t>19</w:t>
            </w:r>
          </w:hyperlink>
        </w:p>
        <w:p w14:paraId="2816D815"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35nkun2">
            <w:r>
              <w:rPr>
                <w:color w:val="000000"/>
              </w:rPr>
              <w:t>Table S5. Patient baseline characteristics by biomarker group in NRG/RTOG 9408.</w:t>
            </w:r>
            <w:r>
              <w:rPr>
                <w:color w:val="000000"/>
              </w:rPr>
              <w:tab/>
              <w:t>20</w:t>
            </w:r>
          </w:hyperlink>
        </w:p>
        <w:p w14:paraId="0F6C77D9"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44sinio">
            <w:r>
              <w:rPr>
                <w:color w:val="000000"/>
              </w:rPr>
              <w:t>Table S6. Prognostic evaluation of the biomarker in NRG/RTOG 9408</w:t>
            </w:r>
            <w:r>
              <w:rPr>
                <w:color w:val="000000"/>
              </w:rPr>
              <w:tab/>
              <w:t>22</w:t>
            </w:r>
          </w:hyperlink>
        </w:p>
        <w:p w14:paraId="4F3E679E" w14:textId="77777777" w:rsidR="00F848AA" w:rsidRDefault="00000000">
          <w:pPr>
            <w:pBdr>
              <w:top w:val="nil"/>
              <w:left w:val="nil"/>
              <w:bottom w:val="nil"/>
              <w:right w:val="nil"/>
              <w:between w:val="nil"/>
            </w:pBdr>
            <w:tabs>
              <w:tab w:val="right" w:pos="9350"/>
            </w:tabs>
            <w:spacing w:after="100"/>
            <w:rPr>
              <w:rFonts w:ascii="Cambria" w:eastAsia="Cambria" w:hAnsi="Cambria" w:cs="Cambria"/>
              <w:color w:val="000000"/>
              <w:sz w:val="24"/>
              <w:szCs w:val="24"/>
            </w:rPr>
          </w:pPr>
          <w:hyperlink w:anchor="_z337ya">
            <w:r>
              <w:rPr>
                <w:color w:val="000000"/>
              </w:rPr>
              <w:t>References</w:t>
            </w:r>
            <w:r>
              <w:rPr>
                <w:color w:val="000000"/>
              </w:rPr>
              <w:tab/>
              <w:t>23</w:t>
            </w:r>
          </w:hyperlink>
        </w:p>
        <w:p w14:paraId="281A038C" w14:textId="77777777" w:rsidR="00F848AA" w:rsidRDefault="00000000">
          <w:pPr>
            <w:tabs>
              <w:tab w:val="right" w:pos="9360"/>
            </w:tabs>
            <w:spacing w:before="200" w:after="80" w:line="240" w:lineRule="auto"/>
            <w:rPr>
              <w:rFonts w:ascii="Arial" w:eastAsia="Arial" w:hAnsi="Arial" w:cs="Arial"/>
              <w:b/>
              <w:smallCaps/>
              <w:color w:val="000000"/>
              <w:sz w:val="20"/>
              <w:szCs w:val="20"/>
            </w:rPr>
          </w:pPr>
          <w:r>
            <w:fldChar w:fldCharType="end"/>
          </w:r>
        </w:p>
      </w:sdtContent>
    </w:sdt>
    <w:p w14:paraId="0906E1F6" w14:textId="77777777" w:rsidR="00F848AA" w:rsidRDefault="00000000">
      <w:pPr>
        <w:spacing w:line="480" w:lineRule="auto"/>
        <w:rPr>
          <w:rFonts w:ascii="Times New Roman" w:eastAsia="Times New Roman" w:hAnsi="Times New Roman" w:cs="Times New Roman"/>
          <w:color w:val="222222"/>
          <w:highlight w:val="white"/>
        </w:rPr>
      </w:pPr>
      <w:r>
        <w:br w:type="page"/>
      </w:r>
    </w:p>
    <w:p w14:paraId="68175482" w14:textId="77777777" w:rsidR="00F848AA" w:rsidRDefault="00000000">
      <w:pPr>
        <w:pStyle w:val="Heading1"/>
        <w:rPr>
          <w:highlight w:val="white"/>
        </w:rPr>
      </w:pPr>
      <w:bookmarkStart w:id="1" w:name="_30j0zll" w:colFirst="0" w:colLast="0"/>
      <w:bookmarkEnd w:id="1"/>
      <w:r>
        <w:rPr>
          <w:highlight w:val="white"/>
        </w:rPr>
        <w:lastRenderedPageBreak/>
        <w:t>NRG Prostate Cancer AI Consortium Members</w:t>
      </w:r>
    </w:p>
    <w:p w14:paraId="6211FDA1" w14:textId="77777777" w:rsidR="00F848AA" w:rsidRDefault="00000000">
      <w:pPr>
        <w:spacing w:after="0" w:line="480" w:lineRule="auto"/>
        <w:rPr>
          <w:rFonts w:ascii="Arial" w:eastAsia="Arial" w:hAnsi="Arial" w:cs="Arial"/>
        </w:rPr>
      </w:pPr>
      <w:r>
        <w:rPr>
          <w:rFonts w:ascii="Arial" w:eastAsia="Arial" w:hAnsi="Arial" w:cs="Arial"/>
        </w:rPr>
        <w:t xml:space="preserve">The following authors were critical to the accrual of the trials used in this study: </w:t>
      </w:r>
    </w:p>
    <w:p w14:paraId="673BF3BC" w14:textId="77777777" w:rsidR="00F848AA" w:rsidRDefault="00000000">
      <w:pPr>
        <w:spacing w:after="0" w:line="480" w:lineRule="auto"/>
        <w:rPr>
          <w:rFonts w:ascii="Arial" w:eastAsia="Arial" w:hAnsi="Arial" w:cs="Arial"/>
        </w:rPr>
      </w:pPr>
      <w:r>
        <w:rPr>
          <w:rFonts w:ascii="Arial" w:eastAsia="Arial" w:hAnsi="Arial" w:cs="Arial"/>
        </w:rPr>
        <w:t xml:space="preserve">Michael </w:t>
      </w:r>
      <w:proofErr w:type="spellStart"/>
      <w:r>
        <w:rPr>
          <w:rFonts w:ascii="Arial" w:eastAsia="Arial" w:hAnsi="Arial" w:cs="Arial"/>
        </w:rPr>
        <w:t>Kucharczyk</w:t>
      </w:r>
      <w:proofErr w:type="spellEnd"/>
      <w:r>
        <w:rPr>
          <w:rFonts w:ascii="Arial" w:eastAsia="Arial" w:hAnsi="Arial" w:cs="Arial"/>
        </w:rPr>
        <w:t xml:space="preserve">, Luis </w:t>
      </w:r>
      <w:proofErr w:type="spellStart"/>
      <w:r>
        <w:rPr>
          <w:rFonts w:ascii="Arial" w:eastAsia="Arial" w:hAnsi="Arial" w:cs="Arial"/>
        </w:rPr>
        <w:t>Souhami</w:t>
      </w:r>
      <w:proofErr w:type="spellEnd"/>
      <w:r>
        <w:rPr>
          <w:rFonts w:ascii="Arial" w:eastAsia="Arial" w:hAnsi="Arial" w:cs="Arial"/>
        </w:rPr>
        <w:t xml:space="preserve">, Leslie Ballas, Christopher A. Peters, Sandy Liu, Alexander G. Balogh, Pamela D. Randolph-Jackson, David L. Schwartz, Michael R. </w:t>
      </w:r>
      <w:proofErr w:type="spellStart"/>
      <w:r>
        <w:rPr>
          <w:rFonts w:ascii="Arial" w:eastAsia="Arial" w:hAnsi="Arial" w:cs="Arial"/>
        </w:rPr>
        <w:t>Girvigian</w:t>
      </w:r>
      <w:proofErr w:type="spellEnd"/>
      <w:r>
        <w:rPr>
          <w:rFonts w:ascii="Arial" w:eastAsia="Arial" w:hAnsi="Arial" w:cs="Arial"/>
        </w:rPr>
        <w:t xml:space="preserve">, </w:t>
      </w:r>
      <w:proofErr w:type="spellStart"/>
      <w:r>
        <w:rPr>
          <w:rFonts w:ascii="Arial" w:eastAsia="Arial" w:hAnsi="Arial" w:cs="Arial"/>
        </w:rPr>
        <w:t>Naoyuki</w:t>
      </w:r>
      <w:proofErr w:type="spellEnd"/>
      <w:r>
        <w:rPr>
          <w:rFonts w:ascii="Arial" w:eastAsia="Arial" w:hAnsi="Arial" w:cs="Arial"/>
        </w:rPr>
        <w:t xml:space="preserve"> G. Saito, Adam </w:t>
      </w:r>
      <w:proofErr w:type="spellStart"/>
      <w:r>
        <w:rPr>
          <w:rFonts w:ascii="Arial" w:eastAsia="Arial" w:hAnsi="Arial" w:cs="Arial"/>
        </w:rPr>
        <w:t>Raben</w:t>
      </w:r>
      <w:proofErr w:type="spellEnd"/>
      <w:r>
        <w:rPr>
          <w:rFonts w:ascii="Arial" w:eastAsia="Arial" w:hAnsi="Arial" w:cs="Arial"/>
        </w:rPr>
        <w:t xml:space="preserve">, Rachel A. Rabinovitch &amp; Khalil </w:t>
      </w:r>
      <w:proofErr w:type="spellStart"/>
      <w:r>
        <w:rPr>
          <w:rFonts w:ascii="Arial" w:eastAsia="Arial" w:hAnsi="Arial" w:cs="Arial"/>
        </w:rPr>
        <w:t>Katato</w:t>
      </w:r>
      <w:proofErr w:type="spellEnd"/>
    </w:p>
    <w:p w14:paraId="020262DF" w14:textId="77777777" w:rsidR="00F848AA" w:rsidRDefault="00000000">
      <w:pPr>
        <w:pStyle w:val="Heading1"/>
        <w:rPr>
          <w:highlight w:val="white"/>
        </w:rPr>
      </w:pPr>
      <w:r>
        <w:br w:type="page"/>
      </w:r>
    </w:p>
    <w:p w14:paraId="3097A3E2" w14:textId="77777777" w:rsidR="00F848AA" w:rsidRDefault="00000000">
      <w:pPr>
        <w:pStyle w:val="Heading1"/>
        <w:spacing w:line="480" w:lineRule="auto"/>
        <w:rPr>
          <w:color w:val="222222"/>
          <w:highlight w:val="white"/>
        </w:rPr>
      </w:pPr>
      <w:bookmarkStart w:id="2" w:name="_1fob9te" w:colFirst="0" w:colLast="0"/>
      <w:bookmarkEnd w:id="2"/>
      <w:r>
        <w:rPr>
          <w:color w:val="222222"/>
          <w:highlight w:val="white"/>
        </w:rPr>
        <w:lastRenderedPageBreak/>
        <w:t xml:space="preserve">Clinical Risk Group Defined by </w:t>
      </w:r>
      <w:hyperlink r:id="rId6">
        <w:r>
          <w:rPr>
            <w:color w:val="222222"/>
            <w:highlight w:val="white"/>
          </w:rPr>
          <w:t>NCCN Guidelines Prostate Cancer V.1.2022</w:t>
        </w:r>
      </w:hyperlink>
    </w:p>
    <w:p w14:paraId="4476E8A6" w14:textId="77777777" w:rsidR="00F848AA" w:rsidRDefault="00000000">
      <w:pPr>
        <w:spacing w:before="120" w:after="120" w:line="480" w:lineRule="auto"/>
        <w:jc w:val="both"/>
        <w:rPr>
          <w:rFonts w:ascii="Arial" w:eastAsia="Arial" w:hAnsi="Arial" w:cs="Arial"/>
        </w:rPr>
      </w:pPr>
      <w:r>
        <w:rPr>
          <w:rFonts w:ascii="Arial" w:eastAsia="Arial" w:hAnsi="Arial" w:cs="Arial"/>
        </w:rPr>
        <w:t>Patients were considered to be in the high- risk group if they had any of the following: a PSA &gt; 20ng/mL, Gleason score of 8 to 10, clinical stage T3 or higher; in the intermediate-risk group if they had Gleason score of 7 or a Gleason score of 6 or less with a PSA 10-20 ng/mL o</w:t>
      </w:r>
      <w:r>
        <w:rPr>
          <w:rFonts w:ascii="Arial" w:eastAsia="Arial" w:hAnsi="Arial" w:cs="Arial"/>
          <w:highlight w:val="white"/>
        </w:rPr>
        <w:t xml:space="preserve">r a clinical stage T2b and not high-risk; and in the </w:t>
      </w:r>
      <w:r>
        <w:rPr>
          <w:rFonts w:ascii="Arial" w:eastAsia="Arial" w:hAnsi="Arial" w:cs="Arial"/>
        </w:rPr>
        <w:t>low-risk group if they had a Gleason score of 6 or less, a PSA &lt; 10 ng/mL, and a clinical T-stage of T2a or lower.</w:t>
      </w:r>
    </w:p>
    <w:p w14:paraId="20C80717" w14:textId="77777777" w:rsidR="00F848AA" w:rsidRDefault="00F848AA">
      <w:pPr>
        <w:spacing w:before="120" w:after="120" w:line="480" w:lineRule="auto"/>
        <w:jc w:val="both"/>
        <w:rPr>
          <w:rFonts w:ascii="Arial" w:eastAsia="Arial" w:hAnsi="Arial" w:cs="Arial"/>
        </w:rPr>
      </w:pPr>
    </w:p>
    <w:p w14:paraId="34C4CE94" w14:textId="77777777" w:rsidR="00F848AA" w:rsidRDefault="00000000">
      <w:pPr>
        <w:pStyle w:val="Heading1"/>
        <w:spacing w:line="480" w:lineRule="auto"/>
      </w:pPr>
      <w:bookmarkStart w:id="3" w:name="_3znysh7" w:colFirst="0" w:colLast="0"/>
      <w:bookmarkEnd w:id="3"/>
      <w:r>
        <w:t>Methods for Multimodal Deep Learning Model Development</w:t>
      </w:r>
    </w:p>
    <w:p w14:paraId="7D35D9B4" w14:textId="77777777" w:rsidR="00F848AA" w:rsidRDefault="00000000">
      <w:pPr>
        <w:spacing w:after="16" w:line="480" w:lineRule="auto"/>
        <w:rPr>
          <w:rFonts w:ascii="Arial" w:eastAsia="Arial" w:hAnsi="Arial" w:cs="Arial"/>
        </w:rPr>
      </w:pPr>
      <w:r>
        <w:rPr>
          <w:rFonts w:ascii="Arial" w:eastAsia="Arial" w:hAnsi="Arial" w:cs="Arial"/>
          <w:b/>
          <w:i/>
        </w:rPr>
        <w:t>Clinical Data Preprocessing</w:t>
      </w:r>
    </w:p>
    <w:p w14:paraId="61127868" w14:textId="6578C364" w:rsidR="00F848AA" w:rsidRPr="00FE7729" w:rsidRDefault="00FE7729" w:rsidP="00FE7729">
      <w:pPr>
        <w:spacing w:after="16" w:line="480" w:lineRule="auto"/>
        <w:jc w:val="both"/>
        <w:rPr>
          <w:rFonts w:ascii="Arial" w:eastAsia="Arial" w:hAnsi="Arial" w:cs="Arial"/>
          <w:bCs/>
          <w:iCs/>
        </w:rPr>
      </w:pPr>
      <w:r w:rsidRPr="00FE7729">
        <w:rPr>
          <w:rFonts w:ascii="Arial" w:eastAsia="Arial" w:hAnsi="Arial" w:cs="Arial"/>
          <w:bCs/>
          <w:iCs/>
        </w:rPr>
        <w:t>Categorical clinical variables (T-stage, Gleason score and primary/secondary Gleason pattern) and binary treatment type (0 for radiotherapy [RT] alone, 1 for RT with ST-ADT) were fed through neural network embedding layers to generate continuous vector embeddings. Groupings are as follows: Gleason total (≤6, 7, 8, and ≥9), both primary and secondary Gleason patterns (≤3, 4, and 5), T-stage (Tx, T0, T1a, T1b, T1c or T1, T2a, T2b, T2c or T2, T3a, T3b, T3c or T3, T4a, T4b, T4</w:t>
      </w:r>
      <w:proofErr w:type="gramStart"/>
      <w:r w:rsidRPr="00FE7729">
        <w:rPr>
          <w:rFonts w:ascii="Arial" w:eastAsia="Arial" w:hAnsi="Arial" w:cs="Arial"/>
          <w:bCs/>
          <w:iCs/>
        </w:rPr>
        <w:t>) .</w:t>
      </w:r>
      <w:proofErr w:type="gramEnd"/>
      <w:r w:rsidRPr="00FE7729">
        <w:rPr>
          <w:rFonts w:ascii="Arial" w:eastAsia="Arial" w:hAnsi="Arial" w:cs="Arial"/>
          <w:bCs/>
          <w:iCs/>
        </w:rPr>
        <w:t xml:space="preserve"> Continuous clinical variables (age, baseline PSA) were standardized based on the mean and standard deviation of the training data. In the development set, missing continuous clinical variables (age and PSA) were imputed using </w:t>
      </w:r>
      <w:proofErr w:type="spellStart"/>
      <w:r w:rsidRPr="00FE7729">
        <w:rPr>
          <w:rFonts w:ascii="Arial" w:eastAsia="Arial" w:hAnsi="Arial" w:cs="Arial"/>
          <w:bCs/>
          <w:iCs/>
        </w:rPr>
        <w:t>sklearn</w:t>
      </w:r>
      <w:proofErr w:type="spellEnd"/>
      <w:r w:rsidRPr="00FE7729">
        <w:rPr>
          <w:rFonts w:ascii="Arial" w:eastAsia="Arial" w:hAnsi="Arial" w:cs="Arial"/>
          <w:bCs/>
          <w:iCs/>
        </w:rPr>
        <w:t xml:space="preserve"> </w:t>
      </w:r>
      <w:proofErr w:type="spellStart"/>
      <w:r w:rsidRPr="00FE7729">
        <w:rPr>
          <w:rFonts w:ascii="Arial" w:eastAsia="Arial" w:hAnsi="Arial" w:cs="Arial"/>
          <w:bCs/>
          <w:iCs/>
        </w:rPr>
        <w:t>SimpleImputer</w:t>
      </w:r>
      <w:proofErr w:type="spellEnd"/>
      <w:r w:rsidRPr="00FE7729">
        <w:rPr>
          <w:rFonts w:ascii="Arial" w:eastAsia="Arial" w:hAnsi="Arial" w:cs="Arial"/>
          <w:bCs/>
          <w:iCs/>
        </w:rPr>
        <w:t xml:space="preserve"> with the default mean </w:t>
      </w:r>
      <w:proofErr w:type="gramStart"/>
      <w:r w:rsidRPr="00FE7729">
        <w:rPr>
          <w:rFonts w:ascii="Arial" w:eastAsia="Arial" w:hAnsi="Arial" w:cs="Arial"/>
          <w:bCs/>
          <w:iCs/>
        </w:rPr>
        <w:t>strategy;</w:t>
      </w:r>
      <w:proofErr w:type="gramEnd"/>
      <w:r w:rsidRPr="00FE7729">
        <w:rPr>
          <w:rFonts w:ascii="Arial" w:eastAsia="Arial" w:hAnsi="Arial" w:cs="Arial"/>
          <w:bCs/>
          <w:iCs/>
        </w:rPr>
        <w:t xml:space="preserve"> missing categorical clinical variables (T stage and Gleason information) were treated as separate “N/A” category by the encoder. In the validation set, NRG/RTOG 9408, missing clinical variables (age, Gleason total, T stage, and PSA) were considered numeric and imputed using </w:t>
      </w:r>
      <w:proofErr w:type="spellStart"/>
      <w:r w:rsidRPr="00FE7729">
        <w:rPr>
          <w:rFonts w:ascii="Arial" w:eastAsia="Arial" w:hAnsi="Arial" w:cs="Arial"/>
          <w:bCs/>
          <w:iCs/>
        </w:rPr>
        <w:t>sklearn</w:t>
      </w:r>
      <w:proofErr w:type="spellEnd"/>
      <w:r w:rsidRPr="00FE7729">
        <w:rPr>
          <w:rFonts w:ascii="Arial" w:eastAsia="Arial" w:hAnsi="Arial" w:cs="Arial"/>
          <w:bCs/>
          <w:iCs/>
        </w:rPr>
        <w:t xml:space="preserve"> </w:t>
      </w:r>
      <w:proofErr w:type="spellStart"/>
      <w:r w:rsidRPr="00FE7729">
        <w:rPr>
          <w:rFonts w:ascii="Arial" w:eastAsia="Arial" w:hAnsi="Arial" w:cs="Arial"/>
          <w:bCs/>
          <w:iCs/>
        </w:rPr>
        <w:t>KNNImputer</w:t>
      </w:r>
      <w:proofErr w:type="spellEnd"/>
      <w:r w:rsidRPr="00FE7729">
        <w:rPr>
          <w:rFonts w:ascii="Arial" w:eastAsia="Arial" w:hAnsi="Arial" w:cs="Arial"/>
          <w:bCs/>
          <w:iCs/>
        </w:rPr>
        <w:t xml:space="preserve"> with the default parameters (average of 5 nearest neighbors)1. Missing Gleason primary or secondary patterns were imputed based on the most frequent patterns of their non-missing Gleason combination.</w:t>
      </w:r>
    </w:p>
    <w:p w14:paraId="1CA21CD4" w14:textId="77777777" w:rsidR="00F848AA" w:rsidRDefault="00000000">
      <w:pPr>
        <w:spacing w:after="16" w:line="480" w:lineRule="auto"/>
        <w:jc w:val="both"/>
        <w:rPr>
          <w:rFonts w:ascii="Arial" w:eastAsia="Arial" w:hAnsi="Arial" w:cs="Arial"/>
          <w:b/>
          <w:i/>
        </w:rPr>
      </w:pPr>
      <w:r>
        <w:rPr>
          <w:rFonts w:ascii="Arial" w:eastAsia="Arial" w:hAnsi="Arial" w:cs="Arial"/>
          <w:b/>
          <w:i/>
        </w:rPr>
        <w:t>Image Feature Extraction Model Development</w:t>
      </w:r>
    </w:p>
    <w:p w14:paraId="1238ABD6" w14:textId="77777777" w:rsidR="00F848AA" w:rsidRDefault="00000000">
      <w:pPr>
        <w:spacing w:after="16" w:line="480" w:lineRule="auto"/>
        <w:jc w:val="both"/>
        <w:rPr>
          <w:rFonts w:ascii="Arial" w:eastAsia="Arial" w:hAnsi="Arial" w:cs="Arial"/>
          <w:b/>
          <w:i/>
        </w:rPr>
      </w:pPr>
      <w:r>
        <w:rPr>
          <w:rFonts w:ascii="Arial" w:eastAsia="Arial" w:hAnsi="Arial" w:cs="Arial"/>
        </w:rPr>
        <w:lastRenderedPageBreak/>
        <w:t>For each patch from a patient’s histopathology images, a 128-dimensional feature vector was extracted using the self-supervised pre-trained Resnet-50 image feature extraction model and was standardized based on the mean and standard deviation of the training data. All the patch-level feature vectors from the same patient were stacked to form an image feature tensor, which was fed to the downstream predictive model.</w:t>
      </w:r>
    </w:p>
    <w:p w14:paraId="2324FAC6" w14:textId="77777777" w:rsidR="00F848AA" w:rsidRDefault="00F848AA">
      <w:pPr>
        <w:spacing w:after="16" w:line="480" w:lineRule="auto"/>
        <w:ind w:firstLine="720"/>
        <w:jc w:val="both"/>
        <w:rPr>
          <w:rFonts w:ascii="Arial" w:eastAsia="Arial" w:hAnsi="Arial" w:cs="Arial"/>
        </w:rPr>
      </w:pPr>
    </w:p>
    <w:p w14:paraId="5CB54316" w14:textId="77777777" w:rsidR="00F848AA" w:rsidRDefault="00000000">
      <w:pPr>
        <w:spacing w:after="16" w:line="480" w:lineRule="auto"/>
        <w:jc w:val="both"/>
        <w:rPr>
          <w:rFonts w:ascii="Arial" w:eastAsia="Arial" w:hAnsi="Arial" w:cs="Arial"/>
          <w:b/>
          <w:i/>
        </w:rPr>
      </w:pPr>
      <w:r>
        <w:rPr>
          <w:rFonts w:ascii="Arial" w:eastAsia="Arial" w:hAnsi="Arial" w:cs="Arial"/>
          <w:b/>
          <w:i/>
        </w:rPr>
        <w:t>Inverse Probability Treatment Weighting</w:t>
      </w:r>
    </w:p>
    <w:p w14:paraId="30DB95EF" w14:textId="77777777" w:rsidR="00F848AA" w:rsidRDefault="00000000">
      <w:pPr>
        <w:spacing w:after="16" w:line="480" w:lineRule="auto"/>
        <w:jc w:val="both"/>
        <w:rPr>
          <w:rFonts w:ascii="Arial" w:eastAsia="Arial" w:hAnsi="Arial" w:cs="Arial"/>
        </w:rPr>
      </w:pPr>
      <w:r>
        <w:rPr>
          <w:rFonts w:ascii="Arial" w:eastAsia="Arial" w:hAnsi="Arial" w:cs="Arial"/>
        </w:rPr>
        <w:t>As the development set comprised two phase III randomized trials (NRG/RTOG 9910 and 0126), inverse probability of treatment weighting (IPTW) was used to ensure that patients in two treatment types had comparable clinical baseline characteristics</w:t>
      </w:r>
      <w:hyperlink r:id="rId7">
        <w:r>
          <w:rPr>
            <w:rFonts w:ascii="Arial" w:eastAsia="Arial" w:hAnsi="Arial" w:cs="Arial"/>
            <w:color w:val="000000"/>
            <w:vertAlign w:val="superscript"/>
          </w:rPr>
          <w:t>2</w:t>
        </w:r>
      </w:hyperlink>
      <w:r>
        <w:rPr>
          <w:rFonts w:ascii="Arial" w:eastAsia="Arial" w:hAnsi="Arial" w:cs="Arial"/>
        </w:rPr>
        <w:t>. Propensity score was calculated using a logistic regression model with elastic net penalty, where treatment types were regressed against patients’ age, baseline PSA, Gleason score, Gleason primary/secondary patterns, and T-stage variables. To mitigate the high variability introduced by large weights, IPTW weights were trimmed based on the 1st and 99th percentiles</w:t>
      </w:r>
      <w:hyperlink r:id="rId8">
        <w:r>
          <w:rPr>
            <w:rFonts w:ascii="Arial" w:eastAsia="Arial" w:hAnsi="Arial" w:cs="Arial"/>
            <w:color w:val="000000"/>
            <w:vertAlign w:val="superscript"/>
          </w:rPr>
          <w:t>3,4</w:t>
        </w:r>
      </w:hyperlink>
      <w:r>
        <w:rPr>
          <w:rFonts w:ascii="Arial" w:eastAsia="Arial" w:hAnsi="Arial" w:cs="Arial"/>
        </w:rPr>
        <w:t>.</w:t>
      </w:r>
    </w:p>
    <w:p w14:paraId="7313BDB9" w14:textId="77777777" w:rsidR="00F848AA" w:rsidRDefault="00F848AA">
      <w:pPr>
        <w:spacing w:after="16" w:line="480" w:lineRule="auto"/>
        <w:jc w:val="both"/>
        <w:rPr>
          <w:rFonts w:ascii="Arial" w:eastAsia="Arial" w:hAnsi="Arial" w:cs="Arial"/>
          <w:b/>
          <w:i/>
        </w:rPr>
      </w:pPr>
    </w:p>
    <w:p w14:paraId="5762627C" w14:textId="77777777" w:rsidR="00F848AA" w:rsidRDefault="00000000">
      <w:pPr>
        <w:spacing w:after="16" w:line="480" w:lineRule="auto"/>
        <w:jc w:val="both"/>
        <w:rPr>
          <w:rFonts w:ascii="Arial" w:eastAsia="Arial" w:hAnsi="Arial" w:cs="Arial"/>
          <w:b/>
          <w:i/>
        </w:rPr>
      </w:pPr>
      <w:r>
        <w:rPr>
          <w:rFonts w:ascii="Arial" w:eastAsia="Arial" w:hAnsi="Arial" w:cs="Arial"/>
          <w:b/>
          <w:i/>
        </w:rPr>
        <w:t>Downstream Predictive Model Development</w:t>
      </w:r>
    </w:p>
    <w:p w14:paraId="746907AF" w14:textId="77777777" w:rsidR="00F848AA" w:rsidRDefault="00000000">
      <w:pPr>
        <w:spacing w:after="16" w:line="480" w:lineRule="auto"/>
        <w:jc w:val="both"/>
        <w:rPr>
          <w:rFonts w:ascii="Arial" w:eastAsia="Arial" w:hAnsi="Arial" w:cs="Arial"/>
          <w:b/>
          <w:i/>
        </w:rPr>
      </w:pPr>
      <w:r>
        <w:rPr>
          <w:rFonts w:ascii="Arial" w:eastAsia="Arial" w:hAnsi="Arial" w:cs="Arial"/>
        </w:rPr>
        <w:t>The downstream predictive model took the image feature tensor, preprocessed clinical data, and treatment type (</w:t>
      </w:r>
      <w:proofErr w:type="spellStart"/>
      <w:r>
        <w:rPr>
          <w:rFonts w:ascii="Arial" w:eastAsia="Arial" w:hAnsi="Arial" w:cs="Arial"/>
        </w:rPr>
        <w:t>rx</w:t>
      </w:r>
      <w:proofErr w:type="spellEnd"/>
      <w:r>
        <w:rPr>
          <w:rFonts w:ascii="Arial" w:eastAsia="Arial" w:hAnsi="Arial" w:cs="Arial"/>
        </w:rPr>
        <w:t xml:space="preserve">) as input for each patient. An attention multiple </w:t>
      </w:r>
      <w:proofErr w:type="gramStart"/>
      <w:r>
        <w:rPr>
          <w:rFonts w:ascii="Arial" w:eastAsia="Arial" w:hAnsi="Arial" w:cs="Arial"/>
        </w:rPr>
        <w:t>instance</w:t>
      </w:r>
      <w:proofErr w:type="gramEnd"/>
      <w:r>
        <w:rPr>
          <w:rFonts w:ascii="Arial" w:eastAsia="Arial" w:hAnsi="Arial" w:cs="Arial"/>
        </w:rPr>
        <w:t xml:space="preserve"> learning network was employed to learn a weight for each patch from the patient</w:t>
      </w:r>
      <w:hyperlink r:id="rId9">
        <w:r>
          <w:rPr>
            <w:rFonts w:ascii="Arial" w:eastAsia="Arial" w:hAnsi="Arial" w:cs="Arial"/>
            <w:color w:val="000000"/>
            <w:vertAlign w:val="superscript"/>
          </w:rPr>
          <w:t>5</w:t>
        </w:r>
      </w:hyperlink>
      <w:r>
        <w:rPr>
          <w:rFonts w:ascii="Arial" w:eastAsia="Arial" w:hAnsi="Arial" w:cs="Arial"/>
        </w:rPr>
        <w:t>. A single 128-dimensional image vector was generated from the image feature tensor for each patient by taking the weighted sum of the image vectors of all patches from the same patient, where the weights were learned by the attention mechanism. A concatenation of this single 128-dimensional image vector, preprocessed clinical data, and treatment type was further processed through the joint fusion pipeline to effectively learn predictive feature encodings of differential treatment benefit from the addition of ST-ADT to RT.</w:t>
      </w:r>
    </w:p>
    <w:p w14:paraId="7C58C034" w14:textId="77777777" w:rsidR="00F848AA" w:rsidRDefault="00000000">
      <w:pPr>
        <w:spacing w:before="120" w:after="120" w:line="480" w:lineRule="auto"/>
        <w:rPr>
          <w:rFonts w:ascii="Arial" w:eastAsia="Arial" w:hAnsi="Arial" w:cs="Arial"/>
          <w:highlight w:val="white"/>
        </w:rPr>
      </w:pPr>
      <w:r>
        <w:rPr>
          <w:rFonts w:ascii="Arial" w:eastAsia="Arial" w:hAnsi="Arial" w:cs="Arial"/>
        </w:rPr>
        <w:lastRenderedPageBreak/>
        <w:t xml:space="preserve">The multimodal predictive model was trained in a multitask manner. </w:t>
      </w:r>
      <w:r>
        <w:rPr>
          <w:rFonts w:ascii="Arial" w:eastAsia="Arial" w:hAnsi="Arial" w:cs="Arial"/>
          <w:highlight w:val="white"/>
        </w:rPr>
        <w:t xml:space="preserve">The first task was to predict the relative risk of DM using the factual </w:t>
      </w:r>
      <w:proofErr w:type="spellStart"/>
      <w:r>
        <w:rPr>
          <w:rFonts w:ascii="Arial" w:eastAsia="Arial" w:hAnsi="Arial" w:cs="Arial"/>
          <w:highlight w:val="white"/>
        </w:rPr>
        <w:t>rx</w:t>
      </w:r>
      <w:proofErr w:type="spellEnd"/>
      <w:r>
        <w:rPr>
          <w:rFonts w:ascii="Arial" w:eastAsia="Arial" w:hAnsi="Arial" w:cs="Arial"/>
          <w:highlight w:val="white"/>
        </w:rPr>
        <w:t xml:space="preserve"> (“Task 1” in Supplementary Figure 1A). The image, clinical, and factual </w:t>
      </w:r>
      <w:proofErr w:type="spellStart"/>
      <w:r>
        <w:rPr>
          <w:rFonts w:ascii="Arial" w:eastAsia="Arial" w:hAnsi="Arial" w:cs="Arial"/>
          <w:highlight w:val="white"/>
        </w:rPr>
        <w:t>rx</w:t>
      </w:r>
      <w:proofErr w:type="spellEnd"/>
      <w:r>
        <w:rPr>
          <w:rFonts w:ascii="Arial" w:eastAsia="Arial" w:hAnsi="Arial" w:cs="Arial"/>
          <w:highlight w:val="white"/>
        </w:rPr>
        <w:t xml:space="preserve"> vectors were concatenated and fed through a few layers of fully connected neural networks to produce a continuous score for each patient that estimates the relative risk of DM (referred to as “factual model prediction score” hereafter). The negative log-partial likelihood was used as the training objective for the first task and the factual model prediction scores were the estimated log relative hazards</w:t>
      </w:r>
      <w:hyperlink r:id="rId10">
        <w:r>
          <w:rPr>
            <w:rFonts w:ascii="Arial" w:eastAsia="Arial" w:hAnsi="Arial" w:cs="Arial"/>
            <w:color w:val="000000"/>
            <w:highlight w:val="white"/>
            <w:vertAlign w:val="superscript"/>
          </w:rPr>
          <w:t>6</w:t>
        </w:r>
      </w:hyperlink>
      <w:r>
        <w:rPr>
          <w:rFonts w:ascii="Arial" w:eastAsia="Arial" w:hAnsi="Arial" w:cs="Arial"/>
          <w:highlight w:val="white"/>
        </w:rPr>
        <w:t>.</w:t>
      </w:r>
    </w:p>
    <w:p w14:paraId="73D28000" w14:textId="77777777" w:rsidR="00F848AA" w:rsidRDefault="00000000">
      <w:pPr>
        <w:spacing w:after="16" w:line="480" w:lineRule="auto"/>
        <w:jc w:val="both"/>
        <w:rPr>
          <w:rFonts w:ascii="Arial" w:eastAsia="Arial" w:hAnsi="Arial" w:cs="Arial"/>
        </w:rPr>
      </w:pPr>
      <w:r>
        <w:rPr>
          <w:rFonts w:ascii="Arial" w:eastAsia="Arial" w:hAnsi="Arial" w:cs="Arial"/>
          <w:highlight w:val="white"/>
        </w:rPr>
        <w:t xml:space="preserve">The negative log-partial likelihood loss was parameterized by the model weights </w:t>
      </w:r>
      <w:r>
        <w:rPr>
          <w:rFonts w:ascii="Arial" w:eastAsia="Arial" w:hAnsi="Arial" w:cs="Arial"/>
          <w:noProof/>
        </w:rPr>
        <w:drawing>
          <wp:inline distT="0" distB="0" distL="0" distR="0" wp14:anchorId="5DD17E89" wp14:editId="48F029A2">
            <wp:extent cx="69215" cy="115570"/>
            <wp:effectExtent l="0" t="0" r="0" b="0"/>
            <wp:docPr id="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1"/>
                    <a:srcRect/>
                    <a:stretch>
                      <a:fillRect/>
                    </a:stretch>
                  </pic:blipFill>
                  <pic:spPr>
                    <a:xfrm>
                      <a:off x="0" y="0"/>
                      <a:ext cx="69215" cy="115570"/>
                    </a:xfrm>
                    <a:prstGeom prst="rect">
                      <a:avLst/>
                    </a:prstGeom>
                    <a:ln/>
                  </pic:spPr>
                </pic:pic>
              </a:graphicData>
            </a:graphic>
          </wp:inline>
        </w:drawing>
      </w:r>
      <w:r>
        <w:rPr>
          <w:rFonts w:ascii="Arial" w:eastAsia="Arial" w:hAnsi="Arial" w:cs="Arial"/>
          <w:highlight w:val="white"/>
        </w:rPr>
        <w:t xml:space="preserve"> and formulated as follows:</w:t>
      </w:r>
    </w:p>
    <w:p w14:paraId="6D857C9A" w14:textId="77777777" w:rsidR="00F848AA" w:rsidRDefault="00000000">
      <w:pPr>
        <w:spacing w:after="0" w:line="480" w:lineRule="auto"/>
        <w:jc w:val="center"/>
        <w:rPr>
          <w:rFonts w:ascii="Arial" w:eastAsia="Arial" w:hAnsi="Arial" w:cs="Arial"/>
        </w:rPr>
      </w:pPr>
      <w:r>
        <w:rPr>
          <w:rFonts w:ascii="Arial" w:eastAsia="Arial" w:hAnsi="Arial" w:cs="Arial"/>
          <w:noProof/>
        </w:rPr>
        <w:drawing>
          <wp:inline distT="0" distB="0" distL="0" distR="0" wp14:anchorId="4079F9DA" wp14:editId="2272FD69">
            <wp:extent cx="3449320" cy="555625"/>
            <wp:effectExtent l="0" t="0" r="0" b="0"/>
            <wp:docPr id="5" name="image19.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9.png" descr="Shape&#10;&#10;Description automatically generated with medium confidence"/>
                    <pic:cNvPicPr preferRelativeResize="0"/>
                  </pic:nvPicPr>
                  <pic:blipFill>
                    <a:blip r:embed="rId12"/>
                    <a:srcRect/>
                    <a:stretch>
                      <a:fillRect/>
                    </a:stretch>
                  </pic:blipFill>
                  <pic:spPr>
                    <a:xfrm>
                      <a:off x="0" y="0"/>
                      <a:ext cx="3449320" cy="555625"/>
                    </a:xfrm>
                    <a:prstGeom prst="rect">
                      <a:avLst/>
                    </a:prstGeom>
                    <a:ln/>
                  </pic:spPr>
                </pic:pic>
              </a:graphicData>
            </a:graphic>
          </wp:inline>
        </w:drawing>
      </w:r>
      <w:r>
        <w:rPr>
          <w:rFonts w:ascii="Arial" w:eastAsia="Arial" w:hAnsi="Arial" w:cs="Arial"/>
        </w:rPr>
        <w:t>,</w:t>
      </w:r>
    </w:p>
    <w:p w14:paraId="350A22D9" w14:textId="77777777" w:rsidR="00F848AA" w:rsidRDefault="00000000">
      <w:pPr>
        <w:spacing w:after="16" w:line="480" w:lineRule="auto"/>
        <w:jc w:val="both"/>
        <w:rPr>
          <w:rFonts w:ascii="Arial" w:eastAsia="Arial" w:hAnsi="Arial" w:cs="Arial"/>
        </w:rPr>
      </w:pPr>
      <w:r>
        <w:rPr>
          <w:rFonts w:ascii="Arial" w:eastAsia="Arial" w:hAnsi="Arial" w:cs="Arial"/>
        </w:rPr>
        <w:t xml:space="preserve">where the values </w:t>
      </w:r>
      <w:r>
        <w:rPr>
          <w:rFonts w:ascii="Arial" w:eastAsia="Arial" w:hAnsi="Arial" w:cs="Arial"/>
          <w:noProof/>
        </w:rPr>
        <w:drawing>
          <wp:inline distT="0" distB="0" distL="0" distR="0" wp14:anchorId="3070571F" wp14:editId="60CB2005">
            <wp:extent cx="115570" cy="127635"/>
            <wp:effectExtent l="0" t="0" r="0" b="0"/>
            <wp:docPr id="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3"/>
                    <a:srcRect/>
                    <a:stretch>
                      <a:fillRect/>
                    </a:stretch>
                  </pic:blipFill>
                  <pic:spPr>
                    <a:xfrm>
                      <a:off x="0" y="0"/>
                      <a:ext cx="115570" cy="127635"/>
                    </a:xfrm>
                    <a:prstGeom prst="rect">
                      <a:avLst/>
                    </a:prstGeom>
                    <a:ln/>
                  </pic:spPr>
                </pic:pic>
              </a:graphicData>
            </a:graphic>
          </wp:inline>
        </w:drawing>
      </w:r>
      <w:r>
        <w:rPr>
          <w:rFonts w:ascii="Arial" w:eastAsia="Arial" w:hAnsi="Arial" w:cs="Arial"/>
        </w:rPr>
        <w:t xml:space="preserve">, </w:t>
      </w:r>
      <w:r>
        <w:rPr>
          <w:rFonts w:ascii="Arial" w:eastAsia="Arial" w:hAnsi="Arial" w:cs="Arial"/>
          <w:noProof/>
        </w:rPr>
        <w:drawing>
          <wp:inline distT="0" distB="0" distL="0" distR="0" wp14:anchorId="6B983EE6" wp14:editId="4AB1EAA6">
            <wp:extent cx="139065" cy="127635"/>
            <wp:effectExtent l="0" t="0" r="0" b="0"/>
            <wp:docPr id="7"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4"/>
                    <a:srcRect/>
                    <a:stretch>
                      <a:fillRect/>
                    </a:stretch>
                  </pic:blipFill>
                  <pic:spPr>
                    <a:xfrm>
                      <a:off x="0" y="0"/>
                      <a:ext cx="139065" cy="127635"/>
                    </a:xfrm>
                    <a:prstGeom prst="rect">
                      <a:avLst/>
                    </a:prstGeom>
                    <a:ln/>
                  </pic:spPr>
                </pic:pic>
              </a:graphicData>
            </a:graphic>
          </wp:inline>
        </w:drawing>
      </w:r>
      <w:r>
        <w:rPr>
          <w:rFonts w:ascii="Arial" w:eastAsia="Arial" w:hAnsi="Arial" w:cs="Arial"/>
        </w:rPr>
        <w:t xml:space="preserve">, and </w:t>
      </w:r>
      <w:r>
        <w:rPr>
          <w:rFonts w:ascii="Arial" w:eastAsia="Arial" w:hAnsi="Arial" w:cs="Arial"/>
          <w:noProof/>
        </w:rPr>
        <w:drawing>
          <wp:inline distT="0" distB="0" distL="0" distR="0" wp14:anchorId="2683CE21" wp14:editId="29878A14">
            <wp:extent cx="115570" cy="92710"/>
            <wp:effectExtent l="0" t="0" r="0" b="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115570" cy="92710"/>
                    </a:xfrm>
                    <a:prstGeom prst="rect">
                      <a:avLst/>
                    </a:prstGeom>
                    <a:ln/>
                  </pic:spPr>
                </pic:pic>
              </a:graphicData>
            </a:graphic>
          </wp:inline>
        </w:drawing>
      </w:r>
      <w:r>
        <w:rPr>
          <w:rFonts w:ascii="Arial" w:eastAsia="Arial" w:hAnsi="Arial" w:cs="Arial"/>
        </w:rPr>
        <w:t xml:space="preserve"> are the respective event time or time of last follow-up, an indicator variable for whether the event is observed, and the model input for the </w:t>
      </w:r>
      <w:r>
        <w:rPr>
          <w:rFonts w:ascii="Arial" w:eastAsia="Arial" w:hAnsi="Arial" w:cs="Arial"/>
          <w:noProof/>
        </w:rPr>
        <w:drawing>
          <wp:inline distT="0" distB="0" distL="0" distR="0" wp14:anchorId="4FC8DCAF" wp14:editId="67C700FC">
            <wp:extent cx="150495" cy="139065"/>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150495" cy="139065"/>
                    </a:xfrm>
                    <a:prstGeom prst="rect">
                      <a:avLst/>
                    </a:prstGeom>
                    <a:ln/>
                  </pic:spPr>
                </pic:pic>
              </a:graphicData>
            </a:graphic>
          </wp:inline>
        </w:drawing>
      </w:r>
      <w:r>
        <w:rPr>
          <w:rFonts w:ascii="Arial" w:eastAsia="Arial" w:hAnsi="Arial" w:cs="Arial"/>
        </w:rPr>
        <w:t xml:space="preserve"> observation. The function </w:t>
      </w:r>
      <w:r>
        <w:rPr>
          <w:rFonts w:ascii="Arial" w:eastAsia="Arial" w:hAnsi="Arial" w:cs="Arial"/>
          <w:noProof/>
        </w:rPr>
        <w:drawing>
          <wp:inline distT="0" distB="0" distL="0" distR="0" wp14:anchorId="587DB476" wp14:editId="698108CD">
            <wp:extent cx="115570" cy="139065"/>
            <wp:effectExtent l="0" t="0" r="0" b="0"/>
            <wp:docPr id="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7"/>
                    <a:srcRect/>
                    <a:stretch>
                      <a:fillRect/>
                    </a:stretch>
                  </pic:blipFill>
                  <pic:spPr>
                    <a:xfrm>
                      <a:off x="0" y="0"/>
                      <a:ext cx="115570" cy="139065"/>
                    </a:xfrm>
                    <a:prstGeom prst="rect">
                      <a:avLst/>
                    </a:prstGeom>
                    <a:ln/>
                  </pic:spPr>
                </pic:pic>
              </a:graphicData>
            </a:graphic>
          </wp:inline>
        </w:drawing>
      </w:r>
      <w:r>
        <w:rPr>
          <w:rFonts w:ascii="Arial" w:eastAsia="Arial" w:hAnsi="Arial" w:cs="Arial"/>
        </w:rPr>
        <w:t xml:space="preserve"> represents the factual branch of the multimodal model, and </w:t>
      </w:r>
      <w:r>
        <w:rPr>
          <w:rFonts w:ascii="Arial" w:eastAsia="Arial" w:hAnsi="Arial" w:cs="Arial"/>
          <w:noProof/>
        </w:rPr>
        <w:drawing>
          <wp:inline distT="0" distB="0" distL="0" distR="0" wp14:anchorId="163B9CEE" wp14:editId="080024FD">
            <wp:extent cx="312420" cy="150495"/>
            <wp:effectExtent l="0" t="0" r="0" b="0"/>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8"/>
                    <a:srcRect/>
                    <a:stretch>
                      <a:fillRect/>
                    </a:stretch>
                  </pic:blipFill>
                  <pic:spPr>
                    <a:xfrm>
                      <a:off x="0" y="0"/>
                      <a:ext cx="312420" cy="150495"/>
                    </a:xfrm>
                    <a:prstGeom prst="rect">
                      <a:avLst/>
                    </a:prstGeom>
                    <a:ln/>
                  </pic:spPr>
                </pic:pic>
              </a:graphicData>
            </a:graphic>
          </wp:inline>
        </w:drawing>
      </w:r>
      <w:r>
        <w:rPr>
          <w:rFonts w:ascii="Arial" w:eastAsia="Arial" w:hAnsi="Arial" w:cs="Arial"/>
        </w:rPr>
        <w:t xml:space="preserve"> is the estimated log relative hazard given an input </w:t>
      </w:r>
      <w:r>
        <w:rPr>
          <w:rFonts w:ascii="Arial" w:eastAsia="Arial" w:hAnsi="Arial" w:cs="Arial"/>
          <w:noProof/>
        </w:rPr>
        <w:drawing>
          <wp:inline distT="0" distB="0" distL="0" distR="0" wp14:anchorId="0897BF2D" wp14:editId="408DDCD7">
            <wp:extent cx="81280" cy="69215"/>
            <wp:effectExtent l="0" t="0" r="0" b="0"/>
            <wp:docPr id="1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9"/>
                    <a:srcRect/>
                    <a:stretch>
                      <a:fillRect/>
                    </a:stretch>
                  </pic:blipFill>
                  <pic:spPr>
                    <a:xfrm>
                      <a:off x="0" y="0"/>
                      <a:ext cx="81280" cy="69215"/>
                    </a:xfrm>
                    <a:prstGeom prst="rect">
                      <a:avLst/>
                    </a:prstGeom>
                    <a:ln/>
                  </pic:spPr>
                </pic:pic>
              </a:graphicData>
            </a:graphic>
          </wp:inline>
        </w:drawing>
      </w:r>
      <w:r>
        <w:rPr>
          <w:rFonts w:ascii="Arial" w:eastAsia="Arial" w:hAnsi="Arial" w:cs="Arial"/>
        </w:rPr>
        <w:t xml:space="preserve">. The value </w:t>
      </w:r>
      <w:r>
        <w:rPr>
          <w:rFonts w:ascii="Arial" w:eastAsia="Arial" w:hAnsi="Arial" w:cs="Arial"/>
          <w:noProof/>
        </w:rPr>
        <w:drawing>
          <wp:inline distT="0" distB="0" distL="0" distR="0" wp14:anchorId="1D5E067D" wp14:editId="3B2BAFD8">
            <wp:extent cx="335915" cy="127635"/>
            <wp:effectExtent l="0" t="0" r="0" b="0"/>
            <wp:docPr id="1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0"/>
                    <a:srcRect/>
                    <a:stretch>
                      <a:fillRect/>
                    </a:stretch>
                  </pic:blipFill>
                  <pic:spPr>
                    <a:xfrm>
                      <a:off x="0" y="0"/>
                      <a:ext cx="335915" cy="127635"/>
                    </a:xfrm>
                    <a:prstGeom prst="rect">
                      <a:avLst/>
                    </a:prstGeom>
                    <a:ln/>
                  </pic:spPr>
                </pic:pic>
              </a:graphicData>
            </a:graphic>
          </wp:inline>
        </w:drawing>
      </w:r>
      <w:r>
        <w:rPr>
          <w:rFonts w:ascii="Arial" w:eastAsia="Arial" w:hAnsi="Arial" w:cs="Arial"/>
        </w:rPr>
        <w:t xml:space="preserve"> represents the number of patients with an observable event. The set of patients with an observable event is represented as </w:t>
      </w:r>
      <w:r>
        <w:rPr>
          <w:rFonts w:ascii="Arial" w:eastAsia="Arial" w:hAnsi="Arial" w:cs="Arial"/>
          <w:noProof/>
        </w:rPr>
        <w:drawing>
          <wp:inline distT="0" distB="0" distL="0" distR="0" wp14:anchorId="1605C16C" wp14:editId="75D9F870">
            <wp:extent cx="416560" cy="127635"/>
            <wp:effectExtent l="0" t="0" r="0" b="0"/>
            <wp:docPr id="1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1"/>
                    <a:srcRect/>
                    <a:stretch>
                      <a:fillRect/>
                    </a:stretch>
                  </pic:blipFill>
                  <pic:spPr>
                    <a:xfrm>
                      <a:off x="0" y="0"/>
                      <a:ext cx="416560" cy="127635"/>
                    </a:xfrm>
                    <a:prstGeom prst="rect">
                      <a:avLst/>
                    </a:prstGeom>
                    <a:ln/>
                  </pic:spPr>
                </pic:pic>
              </a:graphicData>
            </a:graphic>
          </wp:inline>
        </w:drawing>
      </w:r>
      <w:r>
        <w:rPr>
          <w:rFonts w:ascii="Arial" w:eastAsia="Arial" w:hAnsi="Arial" w:cs="Arial"/>
        </w:rPr>
        <w:t xml:space="preserve">. The risk set </w:t>
      </w:r>
      <w:r>
        <w:rPr>
          <w:rFonts w:ascii="Arial" w:eastAsia="Arial" w:hAnsi="Arial" w:cs="Arial"/>
          <w:noProof/>
        </w:rPr>
        <w:drawing>
          <wp:inline distT="0" distB="0" distL="0" distR="0" wp14:anchorId="461CE755" wp14:editId="5DE39174">
            <wp:extent cx="1215390" cy="150495"/>
            <wp:effectExtent l="0" t="0" r="0" b="0"/>
            <wp:docPr id="1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2"/>
                    <a:srcRect/>
                    <a:stretch>
                      <a:fillRect/>
                    </a:stretch>
                  </pic:blipFill>
                  <pic:spPr>
                    <a:xfrm>
                      <a:off x="0" y="0"/>
                      <a:ext cx="1215390" cy="150495"/>
                    </a:xfrm>
                    <a:prstGeom prst="rect">
                      <a:avLst/>
                    </a:prstGeom>
                    <a:ln/>
                  </pic:spPr>
                </pic:pic>
              </a:graphicData>
            </a:graphic>
          </wp:inline>
        </w:drawing>
      </w:r>
      <w:r>
        <w:rPr>
          <w:rFonts w:ascii="Arial" w:eastAsia="Arial" w:hAnsi="Arial" w:cs="Arial"/>
        </w:rPr>
        <w:t xml:space="preserve"> is the set of patients still at risk of failure at time </w:t>
      </w:r>
      <w:r>
        <w:rPr>
          <w:rFonts w:ascii="Arial" w:eastAsia="Arial" w:hAnsi="Arial" w:cs="Arial"/>
          <w:noProof/>
        </w:rPr>
        <w:drawing>
          <wp:inline distT="0" distB="0" distL="0" distR="0" wp14:anchorId="7E4FE65B" wp14:editId="5A451B61">
            <wp:extent cx="34925" cy="92710"/>
            <wp:effectExtent l="0" t="0" r="0" b="0"/>
            <wp:docPr id="1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3"/>
                    <a:srcRect/>
                    <a:stretch>
                      <a:fillRect/>
                    </a:stretch>
                  </pic:blipFill>
                  <pic:spPr>
                    <a:xfrm>
                      <a:off x="0" y="0"/>
                      <a:ext cx="34925" cy="92710"/>
                    </a:xfrm>
                    <a:prstGeom prst="rect">
                      <a:avLst/>
                    </a:prstGeom>
                    <a:ln/>
                  </pic:spPr>
                </pic:pic>
              </a:graphicData>
            </a:graphic>
          </wp:inline>
        </w:drawing>
      </w:r>
      <w:r>
        <w:rPr>
          <w:rFonts w:ascii="Arial" w:eastAsia="Arial" w:hAnsi="Arial" w:cs="Arial"/>
        </w:rPr>
        <w:t>. We used Breslow’s approximation for handling tied event times</w:t>
      </w:r>
      <w:hyperlink r:id="rId24">
        <w:r>
          <w:rPr>
            <w:rFonts w:ascii="Arial" w:eastAsia="Arial" w:hAnsi="Arial" w:cs="Arial"/>
            <w:color w:val="000000"/>
            <w:vertAlign w:val="superscript"/>
          </w:rPr>
          <w:t>7</w:t>
        </w:r>
      </w:hyperlink>
      <w:r>
        <w:rPr>
          <w:rFonts w:ascii="Arial" w:eastAsia="Arial" w:hAnsi="Arial" w:cs="Arial"/>
        </w:rPr>
        <w:t>.</w:t>
      </w:r>
    </w:p>
    <w:p w14:paraId="60E79EE5" w14:textId="77777777" w:rsidR="00F848AA" w:rsidRDefault="00F848AA">
      <w:pPr>
        <w:spacing w:after="16" w:line="480" w:lineRule="auto"/>
        <w:jc w:val="both"/>
        <w:rPr>
          <w:rFonts w:ascii="Arial" w:eastAsia="Arial" w:hAnsi="Arial" w:cs="Arial"/>
        </w:rPr>
      </w:pPr>
    </w:p>
    <w:p w14:paraId="30C79CA5" w14:textId="77777777" w:rsidR="00F848AA" w:rsidRDefault="00000000">
      <w:pPr>
        <w:spacing w:after="16" w:line="480" w:lineRule="auto"/>
        <w:jc w:val="both"/>
        <w:rPr>
          <w:rFonts w:ascii="Arial" w:eastAsia="Arial" w:hAnsi="Arial" w:cs="Arial"/>
        </w:rPr>
      </w:pPr>
      <w:r>
        <w:rPr>
          <w:rFonts w:ascii="Arial" w:eastAsia="Arial" w:hAnsi="Arial" w:cs="Arial"/>
        </w:rPr>
        <w:t xml:space="preserve">Based on the estimated relative risk on the first task, the second task was to predict the delta score, defined as the difference in factual model prediction score and counterfactual model prediction score (“Task 2” in Supplementary Figure 1A). To this end, a counterfactual </w:t>
      </w:r>
      <w:proofErr w:type="spellStart"/>
      <w:r>
        <w:rPr>
          <w:rFonts w:ascii="Arial" w:eastAsia="Arial" w:hAnsi="Arial" w:cs="Arial"/>
        </w:rPr>
        <w:t>rx</w:t>
      </w:r>
      <w:proofErr w:type="spellEnd"/>
      <w:r>
        <w:rPr>
          <w:rFonts w:ascii="Arial" w:eastAsia="Arial" w:hAnsi="Arial" w:cs="Arial"/>
        </w:rPr>
        <w:t xml:space="preserve"> variable was created by toggling the patient’s factual </w:t>
      </w:r>
      <w:proofErr w:type="spellStart"/>
      <w:r>
        <w:rPr>
          <w:rFonts w:ascii="Arial" w:eastAsia="Arial" w:hAnsi="Arial" w:cs="Arial"/>
        </w:rPr>
        <w:t>rx</w:t>
      </w:r>
      <w:proofErr w:type="spellEnd"/>
      <w:r>
        <w:rPr>
          <w:rFonts w:ascii="Arial" w:eastAsia="Arial" w:hAnsi="Arial" w:cs="Arial"/>
        </w:rPr>
        <w:t xml:space="preserve"> (RT for patients who received RT with short-term ADT, and vice versa). The counterfactual </w:t>
      </w:r>
      <w:proofErr w:type="spellStart"/>
      <w:r>
        <w:rPr>
          <w:rFonts w:ascii="Arial" w:eastAsia="Arial" w:hAnsi="Arial" w:cs="Arial"/>
        </w:rPr>
        <w:t>rx</w:t>
      </w:r>
      <w:proofErr w:type="spellEnd"/>
      <w:r>
        <w:rPr>
          <w:rFonts w:ascii="Arial" w:eastAsia="Arial" w:hAnsi="Arial" w:cs="Arial"/>
        </w:rPr>
        <w:t xml:space="preserve"> variable was fed through the same </w:t>
      </w:r>
      <w:proofErr w:type="spellStart"/>
      <w:r>
        <w:rPr>
          <w:rFonts w:ascii="Arial" w:eastAsia="Arial" w:hAnsi="Arial" w:cs="Arial"/>
        </w:rPr>
        <w:t>rx</w:t>
      </w:r>
      <w:proofErr w:type="spellEnd"/>
      <w:r>
        <w:rPr>
          <w:rFonts w:ascii="Arial" w:eastAsia="Arial" w:hAnsi="Arial" w:cs="Arial"/>
        </w:rPr>
        <w:t xml:space="preserve"> embedding layer and concatenated with the image and clinical vectors. Then, the concatenated vectors were </w:t>
      </w:r>
      <w:r>
        <w:rPr>
          <w:rFonts w:ascii="Arial" w:eastAsia="Arial" w:hAnsi="Arial" w:cs="Arial"/>
        </w:rPr>
        <w:lastRenderedPageBreak/>
        <w:t xml:space="preserve">fed through the same fully connected neural network layers yielding another continuous score (referred to as “counterfactual model prediction score” hereafter). For patients who received RT alone, delta would be the factual model prediction score minus the counterfactual prediction </w:t>
      </w:r>
      <w:proofErr w:type="gramStart"/>
      <w:r>
        <w:rPr>
          <w:rFonts w:ascii="Arial" w:eastAsia="Arial" w:hAnsi="Arial" w:cs="Arial"/>
        </w:rPr>
        <w:t>score;</w:t>
      </w:r>
      <w:proofErr w:type="gramEnd"/>
      <w:r>
        <w:rPr>
          <w:rFonts w:ascii="Arial" w:eastAsia="Arial" w:hAnsi="Arial" w:cs="Arial"/>
        </w:rPr>
        <w:t xml:space="preserve"> whereas for patients with RT+ST-ADT treatment, delta would be the counterfactual prediction score minus the factual model prediction score. The delta indicates the magnitude of therapeutic benefit for each patient, where a larger delta suggests a larger benefit from additional ST-ADT, and vice versa. </w:t>
      </w:r>
    </w:p>
    <w:p w14:paraId="74D13D88" w14:textId="77777777" w:rsidR="00F848AA" w:rsidRDefault="00F848AA">
      <w:pPr>
        <w:spacing w:after="16" w:line="480" w:lineRule="auto"/>
        <w:jc w:val="both"/>
        <w:rPr>
          <w:rFonts w:ascii="Arial" w:eastAsia="Arial" w:hAnsi="Arial" w:cs="Arial"/>
        </w:rPr>
      </w:pPr>
    </w:p>
    <w:p w14:paraId="1A327136" w14:textId="77777777" w:rsidR="00F848AA" w:rsidRDefault="00000000">
      <w:pPr>
        <w:spacing w:after="16" w:line="480" w:lineRule="auto"/>
        <w:jc w:val="both"/>
        <w:rPr>
          <w:rFonts w:ascii="Arial" w:eastAsia="Arial" w:hAnsi="Arial" w:cs="Arial"/>
        </w:rPr>
      </w:pPr>
      <w:r>
        <w:rPr>
          <w:rFonts w:ascii="Arial" w:eastAsia="Arial" w:hAnsi="Arial" w:cs="Arial"/>
        </w:rPr>
        <w:t xml:space="preserve">For this predictive task, the delta loss was designed and used as the training objective. Essentially, the delta loss was the deviation between the predicted delta scores and the expected delta scores. The expected delta scores were dependent on patients falling into one of four subgroups based on their treatment types and DM outcomes as follows: (a) Subgroup A consisted of metastasis-free patients who received RT alone; (b) Subgroup B consisted of patients who received RT alone and had DM; (c) Subgroup C comprised of metastasis-free patients who received RT with ST-ADT; (d) Subgroup D consisted of patients who received RT with ST-ADT and had DM. For Subgroup A, the delta should be close to 0 as the patients had no DM when receiving RT alone treatment and additional ST-ADT would not affect their risk of DM; for Subgroup B, the delta should be greater than or equal to 0 since the patients may benefit from additional ST-ADT treatment; for Subgroup C, the delta should be greater than 0 since the patients were free of DM when receiving additional ST-ADT; finally, Subgroup D’s delta should be close to 0 as the patients had DM even if they received additional ST-ADT treatment. During training, the model was penalized when the delta scores did not fall in the expected range described above. The training objective for the predictive task was defined using the </w:t>
      </w:r>
      <w:proofErr w:type="spellStart"/>
      <w:r>
        <w:rPr>
          <w:rFonts w:ascii="Arial" w:eastAsia="Arial" w:hAnsi="Arial" w:cs="Arial"/>
        </w:rPr>
        <w:t>softplus</w:t>
      </w:r>
      <w:proofErr w:type="spellEnd"/>
      <w:r>
        <w:rPr>
          <w:rFonts w:ascii="Arial" w:eastAsia="Arial" w:hAnsi="Arial" w:cs="Arial"/>
        </w:rPr>
        <w:t xml:space="preserve"> function</w:t>
      </w:r>
      <w:hyperlink r:id="rId25">
        <w:r>
          <w:rPr>
            <w:rFonts w:ascii="Arial" w:eastAsia="Arial" w:hAnsi="Arial" w:cs="Arial"/>
            <w:color w:val="000000"/>
            <w:vertAlign w:val="superscript"/>
          </w:rPr>
          <w:t>8</w:t>
        </w:r>
      </w:hyperlink>
      <w:r>
        <w:rPr>
          <w:rFonts w:ascii="Arial" w:eastAsia="Arial" w:hAnsi="Arial" w:cs="Arial"/>
        </w:rPr>
        <w:t xml:space="preserve">. </w:t>
      </w:r>
    </w:p>
    <w:p w14:paraId="1C2DE030" w14:textId="77777777" w:rsidR="00F848AA" w:rsidRDefault="00F848AA">
      <w:pPr>
        <w:spacing w:after="16" w:line="480" w:lineRule="auto"/>
        <w:jc w:val="both"/>
        <w:rPr>
          <w:rFonts w:ascii="Arial" w:eastAsia="Arial" w:hAnsi="Arial" w:cs="Arial"/>
        </w:rPr>
      </w:pPr>
    </w:p>
    <w:p w14:paraId="26FE546D" w14:textId="77777777" w:rsidR="00F848AA" w:rsidRDefault="00000000">
      <w:pPr>
        <w:spacing w:after="16" w:line="480" w:lineRule="auto"/>
        <w:jc w:val="both"/>
        <w:rPr>
          <w:rFonts w:ascii="Arial" w:eastAsia="Arial" w:hAnsi="Arial" w:cs="Arial"/>
        </w:rPr>
      </w:pPr>
      <w:r>
        <w:rPr>
          <w:rFonts w:ascii="Arial" w:eastAsia="Arial" w:hAnsi="Arial" w:cs="Arial"/>
        </w:rPr>
        <w:lastRenderedPageBreak/>
        <w:t xml:space="preserve">During training, we approximated the weighted sum of both losses from the prognostic task and the predictive task, and each data point was weighted by its IPTW weight. Once the model was trained, a cutoff was selected at the 67th percentile of the delta scores in the development set such that all patients in the validation set with a delta score greater than the cutoff </w:t>
      </w:r>
      <w:proofErr w:type="gramStart"/>
      <w:r>
        <w:rPr>
          <w:rFonts w:ascii="Arial" w:eastAsia="Arial" w:hAnsi="Arial" w:cs="Arial"/>
        </w:rPr>
        <w:t>were</w:t>
      </w:r>
      <w:proofErr w:type="gramEnd"/>
      <w:r>
        <w:rPr>
          <w:rFonts w:ascii="Arial" w:eastAsia="Arial" w:hAnsi="Arial" w:cs="Arial"/>
        </w:rPr>
        <w:t xml:space="preserve"> considered to be biomarker positive, with predicted benefit of additional ST-ADT, and those with a delta score less than the cutoff were considered to be biomarker negative. The final model was chosen based on the lowest ratio of IPTW-weighted hazard ratios of biomarker positive and negative subgroups on the tuning set. </w:t>
      </w:r>
    </w:p>
    <w:p w14:paraId="05F99BEA" w14:textId="77777777" w:rsidR="00F848AA" w:rsidRDefault="00F848AA">
      <w:pPr>
        <w:spacing w:line="480" w:lineRule="auto"/>
        <w:jc w:val="both"/>
        <w:rPr>
          <w:rFonts w:ascii="Arial" w:eastAsia="Arial" w:hAnsi="Arial" w:cs="Arial"/>
          <w:b/>
        </w:rPr>
      </w:pPr>
    </w:p>
    <w:p w14:paraId="53DF09F7" w14:textId="77777777" w:rsidR="00F848AA" w:rsidRDefault="00000000">
      <w:pPr>
        <w:spacing w:line="480" w:lineRule="auto"/>
        <w:rPr>
          <w:rFonts w:ascii="Arial" w:eastAsia="Arial" w:hAnsi="Arial" w:cs="Arial"/>
          <w:b/>
          <w:sz w:val="28"/>
          <w:szCs w:val="28"/>
        </w:rPr>
      </w:pPr>
      <w:r>
        <w:br w:type="page"/>
      </w:r>
    </w:p>
    <w:p w14:paraId="2E8E3E25" w14:textId="77777777" w:rsidR="00F848AA" w:rsidRDefault="00000000">
      <w:pPr>
        <w:pStyle w:val="Heading1"/>
        <w:spacing w:line="480" w:lineRule="auto"/>
      </w:pPr>
      <w:bookmarkStart w:id="4" w:name="_2et92p0" w:colFirst="0" w:colLast="0"/>
      <w:bookmarkEnd w:id="4"/>
      <w:r>
        <w:lastRenderedPageBreak/>
        <w:t>Supplementary Figures and Tables</w:t>
      </w:r>
    </w:p>
    <w:p w14:paraId="21F2DD1F" w14:textId="77777777" w:rsidR="00F848AA" w:rsidRDefault="00000000">
      <w:pPr>
        <w:spacing w:line="480" w:lineRule="auto"/>
        <w:jc w:val="both"/>
        <w:rPr>
          <w:rFonts w:ascii="Arial" w:eastAsia="Arial" w:hAnsi="Arial" w:cs="Arial"/>
          <w:b/>
        </w:rPr>
      </w:pPr>
      <w:r>
        <w:rPr>
          <w:rFonts w:ascii="Arial" w:eastAsia="Arial" w:hAnsi="Arial" w:cs="Arial"/>
          <w:b/>
        </w:rPr>
        <w:t>A</w:t>
      </w:r>
    </w:p>
    <w:p w14:paraId="7D19B344" w14:textId="77777777" w:rsidR="00F848AA" w:rsidRDefault="00000000">
      <w:pPr>
        <w:spacing w:line="480" w:lineRule="auto"/>
        <w:jc w:val="both"/>
        <w:rPr>
          <w:rFonts w:ascii="Arial" w:eastAsia="Arial" w:hAnsi="Arial" w:cs="Arial"/>
          <w:b/>
        </w:rPr>
      </w:pPr>
      <w:r>
        <w:rPr>
          <w:rFonts w:ascii="Arial" w:eastAsia="Arial" w:hAnsi="Arial" w:cs="Arial"/>
          <w:b/>
          <w:noProof/>
        </w:rPr>
        <w:drawing>
          <wp:inline distT="0" distB="0" distL="0" distR="0" wp14:anchorId="28384EDA" wp14:editId="1335C948">
            <wp:extent cx="5937885" cy="2002155"/>
            <wp:effectExtent l="0" t="0" r="0" b="0"/>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6"/>
                    <a:srcRect/>
                    <a:stretch>
                      <a:fillRect/>
                    </a:stretch>
                  </pic:blipFill>
                  <pic:spPr>
                    <a:xfrm>
                      <a:off x="0" y="0"/>
                      <a:ext cx="5937885" cy="2002155"/>
                    </a:xfrm>
                    <a:prstGeom prst="rect">
                      <a:avLst/>
                    </a:prstGeom>
                    <a:ln/>
                  </pic:spPr>
                </pic:pic>
              </a:graphicData>
            </a:graphic>
          </wp:inline>
        </w:drawing>
      </w:r>
    </w:p>
    <w:p w14:paraId="5DFF4311" w14:textId="77777777" w:rsidR="00F848AA" w:rsidRDefault="00000000">
      <w:pPr>
        <w:spacing w:line="480" w:lineRule="auto"/>
        <w:jc w:val="both"/>
        <w:rPr>
          <w:rFonts w:ascii="Arial" w:eastAsia="Arial" w:hAnsi="Arial" w:cs="Arial"/>
          <w:b/>
        </w:rPr>
      </w:pPr>
      <w:r>
        <w:rPr>
          <w:rFonts w:ascii="Arial" w:eastAsia="Arial" w:hAnsi="Arial" w:cs="Arial"/>
          <w:b/>
        </w:rPr>
        <w:t>B</w:t>
      </w:r>
    </w:p>
    <w:p w14:paraId="24BCDDAF" w14:textId="77777777" w:rsidR="00F848AA" w:rsidRDefault="00000000">
      <w:pPr>
        <w:spacing w:line="480" w:lineRule="auto"/>
        <w:jc w:val="both"/>
        <w:rPr>
          <w:rFonts w:ascii="Arial" w:eastAsia="Arial" w:hAnsi="Arial" w:cs="Arial"/>
          <w:b/>
        </w:rPr>
      </w:pPr>
      <w:r>
        <w:rPr>
          <w:rFonts w:ascii="Arial" w:eastAsia="Arial" w:hAnsi="Arial" w:cs="Arial"/>
          <w:b/>
          <w:noProof/>
        </w:rPr>
        <w:drawing>
          <wp:inline distT="0" distB="0" distL="0" distR="0" wp14:anchorId="11777898" wp14:editId="2F5A23DB">
            <wp:extent cx="5254625" cy="2615565"/>
            <wp:effectExtent l="0" t="0" r="0" b="0"/>
            <wp:docPr id="17"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7"/>
                    <a:srcRect/>
                    <a:stretch>
                      <a:fillRect/>
                    </a:stretch>
                  </pic:blipFill>
                  <pic:spPr>
                    <a:xfrm>
                      <a:off x="0" y="0"/>
                      <a:ext cx="5254625" cy="2615565"/>
                    </a:xfrm>
                    <a:prstGeom prst="rect">
                      <a:avLst/>
                    </a:prstGeom>
                    <a:ln/>
                  </pic:spPr>
                </pic:pic>
              </a:graphicData>
            </a:graphic>
          </wp:inline>
        </w:drawing>
      </w:r>
    </w:p>
    <w:p w14:paraId="7C915BBC" w14:textId="77777777" w:rsidR="00F848AA" w:rsidRDefault="00000000">
      <w:pPr>
        <w:pStyle w:val="Heading1"/>
        <w:spacing w:line="480" w:lineRule="auto"/>
      </w:pPr>
      <w:bookmarkStart w:id="5" w:name="_tyjcwt" w:colFirst="0" w:colLast="0"/>
      <w:bookmarkEnd w:id="5"/>
      <w:r>
        <w:t xml:space="preserve">Figure S1. Multimodal deep learning architecture and distribution of delta for development and validation set. </w:t>
      </w:r>
    </w:p>
    <w:p w14:paraId="6F794157" w14:textId="77777777" w:rsidR="00F848AA" w:rsidRDefault="00000000">
      <w:pPr>
        <w:spacing w:line="480" w:lineRule="auto"/>
        <w:jc w:val="both"/>
        <w:rPr>
          <w:rFonts w:ascii="Arial" w:eastAsia="Arial" w:hAnsi="Arial" w:cs="Arial"/>
        </w:rPr>
      </w:pPr>
      <w:r>
        <w:rPr>
          <w:rFonts w:ascii="Arial" w:eastAsia="Arial" w:hAnsi="Arial" w:cs="Arial"/>
        </w:rPr>
        <w:t xml:space="preserve">(A) The multimodal architecture accepts both clinical data and histopathology image data and outputs a delta score that captures the magnitude of therapeutic benefit. (B) The 67th percentile of the delta scores in the development set was selected as the cutoff threshold such that </w:t>
      </w:r>
      <w:r>
        <w:rPr>
          <w:rFonts w:ascii="Arial" w:eastAsia="Arial" w:hAnsi="Arial" w:cs="Arial"/>
        </w:rPr>
        <w:lastRenderedPageBreak/>
        <w:t>biomarker positive patients had a delta greater than the cutoff, and biomarker negative patients had a delta less than the cutoff.</w:t>
      </w:r>
    </w:p>
    <w:p w14:paraId="19CCA529" w14:textId="77777777" w:rsidR="00F848AA" w:rsidRDefault="00000000">
      <w:pPr>
        <w:spacing w:line="480" w:lineRule="auto"/>
        <w:jc w:val="both"/>
        <w:rPr>
          <w:rFonts w:ascii="Arial" w:eastAsia="Arial" w:hAnsi="Arial" w:cs="Arial"/>
          <w:highlight w:val="yellow"/>
        </w:rPr>
      </w:pPr>
      <w:r>
        <w:rPr>
          <w:rFonts w:ascii="Arial" w:eastAsia="Arial" w:hAnsi="Arial" w:cs="Arial"/>
        </w:rPr>
        <w:t>PSA = prostate-specific antigen; Rx = treatment type; P = probability; Y = outcome; RT = radiotherapy; ST-ADT = short-term androgen-deprivation therapy; N = number; MIL = multiple instance learning.</w:t>
      </w:r>
    </w:p>
    <w:p w14:paraId="5AE8E7CA" w14:textId="77777777" w:rsidR="00F848AA" w:rsidRDefault="00000000">
      <w:pPr>
        <w:rPr>
          <w:rFonts w:ascii="Arial" w:eastAsia="Arial" w:hAnsi="Arial" w:cs="Arial"/>
        </w:rPr>
      </w:pPr>
      <w:r>
        <w:br w:type="page"/>
      </w:r>
    </w:p>
    <w:p w14:paraId="34111EAE" w14:textId="77777777" w:rsidR="00F848AA" w:rsidRDefault="00F848AA">
      <w:pPr>
        <w:spacing w:after="0" w:line="480" w:lineRule="auto"/>
        <w:rPr>
          <w:rFonts w:ascii="Arial" w:eastAsia="Arial" w:hAnsi="Arial" w:cs="Arial"/>
        </w:rPr>
      </w:pPr>
    </w:p>
    <w:p w14:paraId="0FD2BB14" w14:textId="77777777" w:rsidR="00F848AA" w:rsidRDefault="00F848AA">
      <w:pPr>
        <w:spacing w:after="0" w:line="480" w:lineRule="auto"/>
        <w:jc w:val="center"/>
        <w:rPr>
          <w:rFonts w:ascii="Arial" w:eastAsia="Arial" w:hAnsi="Arial" w:cs="Arial"/>
        </w:rPr>
      </w:pPr>
    </w:p>
    <w:p w14:paraId="225F94C8" w14:textId="77777777" w:rsidR="00F848AA" w:rsidRDefault="00000000">
      <w:pPr>
        <w:spacing w:after="0" w:line="480" w:lineRule="auto"/>
        <w:jc w:val="center"/>
        <w:rPr>
          <w:rFonts w:ascii="Arial" w:eastAsia="Arial" w:hAnsi="Arial" w:cs="Arial"/>
        </w:rPr>
      </w:pPr>
      <w:r>
        <w:rPr>
          <w:rFonts w:ascii="Arial" w:eastAsia="Arial" w:hAnsi="Arial" w:cs="Arial"/>
          <w:noProof/>
        </w:rPr>
        <w:drawing>
          <wp:inline distT="114300" distB="114300" distL="114300" distR="114300" wp14:anchorId="301E4AB9" wp14:editId="15255D99">
            <wp:extent cx="3657600" cy="2436524"/>
            <wp:effectExtent l="0" t="0" r="0" b="0"/>
            <wp:docPr id="1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8"/>
                    <a:srcRect/>
                    <a:stretch>
                      <a:fillRect/>
                    </a:stretch>
                  </pic:blipFill>
                  <pic:spPr>
                    <a:xfrm>
                      <a:off x="0" y="0"/>
                      <a:ext cx="3657600" cy="2436524"/>
                    </a:xfrm>
                    <a:prstGeom prst="rect">
                      <a:avLst/>
                    </a:prstGeom>
                    <a:ln/>
                  </pic:spPr>
                </pic:pic>
              </a:graphicData>
            </a:graphic>
          </wp:inline>
        </w:drawing>
      </w:r>
    </w:p>
    <w:p w14:paraId="47DB7E12" w14:textId="77777777" w:rsidR="00F848AA" w:rsidRDefault="00F848AA">
      <w:pPr>
        <w:spacing w:after="0" w:line="480" w:lineRule="auto"/>
        <w:jc w:val="center"/>
        <w:rPr>
          <w:rFonts w:ascii="Arial" w:eastAsia="Arial" w:hAnsi="Arial" w:cs="Arial"/>
        </w:rPr>
      </w:pPr>
    </w:p>
    <w:p w14:paraId="4A8041F8" w14:textId="77777777" w:rsidR="00F848AA" w:rsidRDefault="00000000">
      <w:pPr>
        <w:pStyle w:val="Heading1"/>
        <w:spacing w:line="480" w:lineRule="auto"/>
      </w:pPr>
      <w:bookmarkStart w:id="6" w:name="_3dy6vkm" w:colFirst="0" w:colLast="0"/>
      <w:bookmarkEnd w:id="6"/>
      <w:r>
        <w:t>Figure S2. Model feature weights and their associated feature importance.</w:t>
      </w:r>
    </w:p>
    <w:p w14:paraId="356FA13C" w14:textId="77777777" w:rsidR="00F848AA" w:rsidRDefault="00000000">
      <w:pPr>
        <w:spacing w:line="480" w:lineRule="auto"/>
        <w:jc w:val="both"/>
        <w:rPr>
          <w:rFonts w:ascii="Arial" w:eastAsia="Arial" w:hAnsi="Arial" w:cs="Arial"/>
        </w:rPr>
      </w:pPr>
      <w:r>
        <w:rPr>
          <w:rFonts w:ascii="Arial" w:eastAsia="Arial" w:hAnsi="Arial" w:cs="Arial"/>
        </w:rPr>
        <w:t>The greater the feature importance, the more contribution the individual clinical (</w:t>
      </w:r>
      <w:proofErr w:type="gramStart"/>
      <w:r>
        <w:rPr>
          <w:rFonts w:ascii="Arial" w:eastAsia="Arial" w:hAnsi="Arial" w:cs="Arial"/>
        </w:rPr>
        <w:t>e.g.</w:t>
      </w:r>
      <w:proofErr w:type="gramEnd"/>
      <w:r>
        <w:rPr>
          <w:rFonts w:ascii="Arial" w:eastAsia="Arial" w:hAnsi="Arial" w:cs="Arial"/>
        </w:rPr>
        <w:t xml:space="preserve"> baseline PSA) or histopathology-derived feature has to the downstream predictive model prediction. The feature importance is calculated based on the absolute Shapley value for each variable, averaged over the patients in the validation set (NRG/RTOG 9408) to obtain a global measure of feature importance, and is normalized across the features for visualization purposes</w:t>
      </w:r>
      <w:hyperlink r:id="rId29">
        <w:r>
          <w:rPr>
            <w:rFonts w:ascii="Arial" w:eastAsia="Arial" w:hAnsi="Arial" w:cs="Arial"/>
            <w:color w:val="000000"/>
            <w:vertAlign w:val="superscript"/>
          </w:rPr>
          <w:t>9</w:t>
        </w:r>
      </w:hyperlink>
      <w:r>
        <w:rPr>
          <w:rFonts w:ascii="Arial" w:eastAsia="Arial" w:hAnsi="Arial" w:cs="Arial"/>
        </w:rPr>
        <w:t>. Histopathology-derived features–including Gleason score and imaging features–contributed the most to the AI-derived predictive biomarker. Of note, the downstream predictive model has a capacity to jointly learn complex interactions between image and clinical features, and the Shapley value provides a combined contribution of main and interaction effects. Note that some percentages may not add up to a hundred percent due to rounding.</w:t>
      </w:r>
    </w:p>
    <w:p w14:paraId="168941FB" w14:textId="77777777" w:rsidR="00F848AA" w:rsidRDefault="00000000">
      <w:pPr>
        <w:spacing w:line="480" w:lineRule="auto"/>
        <w:jc w:val="both"/>
        <w:rPr>
          <w:rFonts w:ascii="Arial" w:eastAsia="Arial" w:hAnsi="Arial" w:cs="Arial"/>
          <w:b/>
        </w:rPr>
      </w:pPr>
      <w:r>
        <w:rPr>
          <w:rFonts w:ascii="Arial" w:eastAsia="Arial" w:hAnsi="Arial" w:cs="Arial"/>
        </w:rPr>
        <w:t>PSA = prostate-specific antigen.</w:t>
      </w:r>
    </w:p>
    <w:p w14:paraId="2AB50317" w14:textId="77777777" w:rsidR="00F848AA" w:rsidRDefault="00F848AA">
      <w:pPr>
        <w:spacing w:after="0" w:line="480" w:lineRule="auto"/>
        <w:jc w:val="center"/>
      </w:pPr>
    </w:p>
    <w:p w14:paraId="7D445913" w14:textId="77777777" w:rsidR="00F848AA" w:rsidRDefault="00F848AA">
      <w:pPr>
        <w:spacing w:before="120" w:after="120" w:line="480" w:lineRule="auto"/>
        <w:jc w:val="both"/>
        <w:rPr>
          <w:rFonts w:ascii="Arial" w:eastAsia="Arial" w:hAnsi="Arial" w:cs="Arial"/>
          <w:b/>
        </w:rPr>
      </w:pPr>
    </w:p>
    <w:p w14:paraId="421A384C" w14:textId="5537D76A" w:rsidR="00F848AA" w:rsidRDefault="00AC4914">
      <w:pPr>
        <w:spacing w:before="120" w:after="120" w:line="480" w:lineRule="auto"/>
        <w:jc w:val="both"/>
        <w:rPr>
          <w:rFonts w:ascii="Arial" w:eastAsia="Arial" w:hAnsi="Arial" w:cs="Arial"/>
          <w:b/>
        </w:rPr>
      </w:pPr>
      <w:r w:rsidRPr="00AC4914">
        <w:rPr>
          <w:rFonts w:ascii="Arial" w:hAnsi="Arial" w:cs="Arial"/>
          <w:b/>
          <w:bCs/>
          <w:color w:val="000000"/>
          <w:bdr w:val="none" w:sz="0" w:space="0" w:color="auto" w:frame="1"/>
        </w:rPr>
        <w:t xml:space="preserve"> </w:t>
      </w:r>
      <w:r>
        <w:rPr>
          <w:rFonts w:ascii="Arial" w:hAnsi="Arial" w:cs="Arial"/>
          <w:b/>
          <w:bCs/>
          <w:color w:val="000000"/>
          <w:bdr w:val="none" w:sz="0" w:space="0" w:color="auto" w:frame="1"/>
        </w:rPr>
        <w:fldChar w:fldCharType="begin"/>
      </w:r>
      <w:r>
        <w:rPr>
          <w:rFonts w:ascii="Arial" w:hAnsi="Arial" w:cs="Arial"/>
          <w:b/>
          <w:bCs/>
          <w:color w:val="000000"/>
          <w:bdr w:val="none" w:sz="0" w:space="0" w:color="auto" w:frame="1"/>
        </w:rPr>
        <w:instrText xml:space="preserve"> INCLUDEPICTURE "https://lh3.googleusercontent.com/i_Hfn90Q9eIm53hYzMsmzMbv_C0lOMTJqZX0Umm4Q73UbBs824R_b7GYQRRjz57vrDsrRSQY4PhkBTtLMrDdaSVUrOoKu_4NXfND8sjuMFmFwSHsDkE_8GhZq4OVzrofZg2iiuYwl6B4" \* MERGEFORMATINET </w:instrText>
      </w:r>
      <w:r>
        <w:rPr>
          <w:rFonts w:ascii="Arial" w:hAnsi="Arial" w:cs="Arial"/>
          <w:b/>
          <w:bCs/>
          <w:color w:val="000000"/>
          <w:bdr w:val="none" w:sz="0" w:space="0" w:color="auto" w:frame="1"/>
        </w:rPr>
        <w:fldChar w:fldCharType="separate"/>
      </w:r>
      <w:r>
        <w:rPr>
          <w:rFonts w:ascii="Arial" w:hAnsi="Arial" w:cs="Arial"/>
          <w:b/>
          <w:bCs/>
          <w:noProof/>
          <w:color w:val="000000"/>
          <w:bdr w:val="none" w:sz="0" w:space="0" w:color="auto" w:frame="1"/>
        </w:rPr>
        <w:drawing>
          <wp:inline distT="0" distB="0" distL="0" distR="0" wp14:anchorId="2C39A072" wp14:editId="29720566">
            <wp:extent cx="5943600" cy="2969260"/>
            <wp:effectExtent l="0" t="0" r="0" b="2540"/>
            <wp:docPr id="24" name="Picture 2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Table&#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2969260"/>
                    </a:xfrm>
                    <a:prstGeom prst="rect">
                      <a:avLst/>
                    </a:prstGeom>
                    <a:noFill/>
                    <a:ln>
                      <a:noFill/>
                    </a:ln>
                  </pic:spPr>
                </pic:pic>
              </a:graphicData>
            </a:graphic>
          </wp:inline>
        </w:drawing>
      </w:r>
      <w:r>
        <w:rPr>
          <w:rFonts w:ascii="Arial" w:hAnsi="Arial" w:cs="Arial"/>
          <w:b/>
          <w:bCs/>
          <w:color w:val="000000"/>
          <w:bdr w:val="none" w:sz="0" w:space="0" w:color="auto" w:frame="1"/>
        </w:rPr>
        <w:fldChar w:fldCharType="end"/>
      </w:r>
    </w:p>
    <w:p w14:paraId="02EE81F9" w14:textId="77777777" w:rsidR="00F848AA" w:rsidRDefault="00000000">
      <w:pPr>
        <w:pStyle w:val="Heading1"/>
        <w:spacing w:line="480" w:lineRule="auto"/>
      </w:pPr>
      <w:bookmarkStart w:id="7" w:name="_1t3h5sf" w:colFirst="0" w:colLast="0"/>
      <w:bookmarkEnd w:id="7"/>
      <w:r>
        <w:t>Figure S3. Forest plots for all endpoints in positive and negative biomarker groups of NRG/RTOG 9408 (validation set) for the subgroup of NCCN low-intermediate-risk patients.</w:t>
      </w:r>
    </w:p>
    <w:p w14:paraId="12FCD014" w14:textId="77777777" w:rsidR="00F848AA" w:rsidRDefault="00000000">
      <w:pPr>
        <w:spacing w:before="120" w:after="120" w:line="480" w:lineRule="auto"/>
        <w:jc w:val="both"/>
        <w:rPr>
          <w:rFonts w:ascii="Arial" w:eastAsia="Arial" w:hAnsi="Arial" w:cs="Arial"/>
        </w:rPr>
      </w:pPr>
      <w:r>
        <w:rPr>
          <w:rFonts w:ascii="Arial" w:eastAsia="Arial" w:hAnsi="Arial" w:cs="Arial"/>
        </w:rPr>
        <w:t xml:space="preserve">NCCN = National Comprehensive Cancer Network; RT = radiotherapy; ST-ADT = short-term androgen-deprivation therapy; </w:t>
      </w:r>
      <w:proofErr w:type="spellStart"/>
      <w:r>
        <w:rPr>
          <w:rFonts w:ascii="Arial" w:eastAsia="Arial" w:hAnsi="Arial" w:cs="Arial"/>
        </w:rPr>
        <w:t>yr</w:t>
      </w:r>
      <w:proofErr w:type="spellEnd"/>
      <w:r>
        <w:rPr>
          <w:rFonts w:ascii="Arial" w:eastAsia="Arial" w:hAnsi="Arial" w:cs="Arial"/>
        </w:rPr>
        <w:t xml:space="preserve"> = year; RMST = restricted mean survival time; s/HR = </w:t>
      </w:r>
      <w:proofErr w:type="spellStart"/>
      <w:r>
        <w:rPr>
          <w:rFonts w:ascii="Arial" w:eastAsia="Arial" w:hAnsi="Arial" w:cs="Arial"/>
        </w:rPr>
        <w:t>subdistribution</w:t>
      </w:r>
      <w:proofErr w:type="spellEnd"/>
      <w:r>
        <w:rPr>
          <w:rFonts w:ascii="Arial" w:eastAsia="Arial" w:hAnsi="Arial" w:cs="Arial"/>
        </w:rPr>
        <w:t xml:space="preserve"> hazard ratio or hazard ratio; CI = confidence interval; N = number of patients; DM = distant metastasis; PCSM = prostate cancer-specific mortality; MFS = distant metastasis-free survival; OS = overall survival.</w:t>
      </w:r>
      <w:r>
        <w:br w:type="page"/>
      </w:r>
    </w:p>
    <w:p w14:paraId="07C73F9A" w14:textId="406CE905" w:rsidR="00F848AA" w:rsidRDefault="00AC4914">
      <w:pPr>
        <w:spacing w:before="120" w:after="120" w:line="480" w:lineRule="auto"/>
        <w:jc w:val="both"/>
        <w:rPr>
          <w:rFonts w:ascii="Arial" w:eastAsia="Arial" w:hAnsi="Arial" w:cs="Arial"/>
          <w:b/>
        </w:rPr>
      </w:pPr>
      <w:r w:rsidRPr="00AC4914">
        <w:rPr>
          <w:rFonts w:ascii="Arial" w:hAnsi="Arial" w:cs="Arial"/>
          <w:b/>
          <w:bCs/>
          <w:color w:val="000000"/>
          <w:bdr w:val="none" w:sz="0" w:space="0" w:color="auto" w:frame="1"/>
        </w:rPr>
        <w:lastRenderedPageBreak/>
        <w:t xml:space="preserve"> </w:t>
      </w:r>
      <w:r>
        <w:rPr>
          <w:rFonts w:ascii="Arial" w:hAnsi="Arial" w:cs="Arial"/>
          <w:b/>
          <w:bCs/>
          <w:color w:val="000000"/>
          <w:bdr w:val="none" w:sz="0" w:space="0" w:color="auto" w:frame="1"/>
        </w:rPr>
        <w:fldChar w:fldCharType="begin"/>
      </w:r>
      <w:r>
        <w:rPr>
          <w:rFonts w:ascii="Arial" w:hAnsi="Arial" w:cs="Arial"/>
          <w:b/>
          <w:bCs/>
          <w:color w:val="000000"/>
          <w:bdr w:val="none" w:sz="0" w:space="0" w:color="auto" w:frame="1"/>
        </w:rPr>
        <w:instrText xml:space="preserve"> INCLUDEPICTURE "https://lh3.googleusercontent.com/ePavMpMv-bQ2RXDJ0nSyQXOHF2K8D1HvjXXWBO3Rl_o4ogNTBLteTRw7NjzBJGVPhPwSct5eLGXgt7FfSPE6YEokYJJ3ROxRDVZzhaHk11_1zc0d238OQySkZGA6fXiA319hdDqbQS5r" \* MERGEFORMATINET </w:instrText>
      </w:r>
      <w:r>
        <w:rPr>
          <w:rFonts w:ascii="Arial" w:hAnsi="Arial" w:cs="Arial"/>
          <w:b/>
          <w:bCs/>
          <w:color w:val="000000"/>
          <w:bdr w:val="none" w:sz="0" w:space="0" w:color="auto" w:frame="1"/>
        </w:rPr>
        <w:fldChar w:fldCharType="separate"/>
      </w:r>
      <w:r>
        <w:rPr>
          <w:rFonts w:ascii="Arial" w:hAnsi="Arial" w:cs="Arial"/>
          <w:b/>
          <w:bCs/>
          <w:noProof/>
          <w:color w:val="000000"/>
          <w:bdr w:val="none" w:sz="0" w:space="0" w:color="auto" w:frame="1"/>
        </w:rPr>
        <w:drawing>
          <wp:inline distT="0" distB="0" distL="0" distR="0" wp14:anchorId="0E6270DD" wp14:editId="5AAE76C8">
            <wp:extent cx="5943600" cy="2969260"/>
            <wp:effectExtent l="0" t="0" r="0" b="2540"/>
            <wp:docPr id="23" name="Picture 2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Table&#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2969260"/>
                    </a:xfrm>
                    <a:prstGeom prst="rect">
                      <a:avLst/>
                    </a:prstGeom>
                    <a:noFill/>
                    <a:ln>
                      <a:noFill/>
                    </a:ln>
                  </pic:spPr>
                </pic:pic>
              </a:graphicData>
            </a:graphic>
          </wp:inline>
        </w:drawing>
      </w:r>
      <w:r>
        <w:rPr>
          <w:rFonts w:ascii="Arial" w:hAnsi="Arial" w:cs="Arial"/>
          <w:b/>
          <w:bCs/>
          <w:color w:val="000000"/>
          <w:bdr w:val="none" w:sz="0" w:space="0" w:color="auto" w:frame="1"/>
        </w:rPr>
        <w:fldChar w:fldCharType="end"/>
      </w:r>
    </w:p>
    <w:p w14:paraId="01DFA122" w14:textId="77777777" w:rsidR="00F848AA" w:rsidRDefault="00000000">
      <w:pPr>
        <w:pStyle w:val="Heading1"/>
        <w:spacing w:line="480" w:lineRule="auto"/>
      </w:pPr>
      <w:bookmarkStart w:id="8" w:name="_4d34og8" w:colFirst="0" w:colLast="0"/>
      <w:bookmarkEnd w:id="8"/>
      <w:r>
        <w:t>Figure S4. Forest plots for exploratory endpoints in positive and negative biomarker groups of NRG/RTOG 9408 (validation set) for all patients.</w:t>
      </w:r>
    </w:p>
    <w:p w14:paraId="7B3552F0" w14:textId="77777777" w:rsidR="00F848AA" w:rsidRDefault="00000000">
      <w:pPr>
        <w:spacing w:before="120" w:after="120" w:line="480" w:lineRule="auto"/>
        <w:jc w:val="both"/>
        <w:rPr>
          <w:rFonts w:ascii="Arial" w:eastAsia="Arial" w:hAnsi="Arial" w:cs="Arial"/>
        </w:rPr>
      </w:pPr>
      <w:r>
        <w:rPr>
          <w:rFonts w:ascii="Arial" w:eastAsia="Arial" w:hAnsi="Arial" w:cs="Arial"/>
        </w:rPr>
        <w:t xml:space="preserve">NCCN = National Comprehensive Cancer Network; RT = radiation therapy; ST-ADT = short-term androgen-deprivation therapy; </w:t>
      </w:r>
      <w:proofErr w:type="spellStart"/>
      <w:r>
        <w:rPr>
          <w:rFonts w:ascii="Arial" w:eastAsia="Arial" w:hAnsi="Arial" w:cs="Arial"/>
        </w:rPr>
        <w:t>yr</w:t>
      </w:r>
      <w:proofErr w:type="spellEnd"/>
      <w:r>
        <w:rPr>
          <w:rFonts w:ascii="Arial" w:eastAsia="Arial" w:hAnsi="Arial" w:cs="Arial"/>
        </w:rPr>
        <w:t xml:space="preserve"> = year; RMST = restricted mean survival time; HR = hazard ratio; CI = confidence interval; N = number of patients; MFS = distant metastasis-free survival; OS = overall survival.</w:t>
      </w:r>
      <w:r>
        <w:br w:type="page"/>
      </w:r>
    </w:p>
    <w:p w14:paraId="47BBCD3B" w14:textId="77777777" w:rsidR="00F848AA" w:rsidRDefault="00F848AA">
      <w:pPr>
        <w:spacing w:before="120" w:after="120" w:line="480" w:lineRule="auto"/>
        <w:jc w:val="both"/>
        <w:rPr>
          <w:rFonts w:ascii="Arial" w:eastAsia="Arial" w:hAnsi="Arial" w:cs="Arial"/>
        </w:rPr>
      </w:pPr>
    </w:p>
    <w:p w14:paraId="0ABD2D93" w14:textId="77777777" w:rsidR="00F848AA" w:rsidRDefault="00000000">
      <w:pPr>
        <w:pStyle w:val="Heading1"/>
        <w:spacing w:line="480" w:lineRule="auto"/>
      </w:pPr>
      <w:bookmarkStart w:id="9" w:name="_2s8eyo1" w:colFirst="0" w:colLast="0"/>
      <w:bookmarkEnd w:id="9"/>
      <w:r>
        <w:t>Table S1. Trials included in meta-analyses.</w:t>
      </w:r>
    </w:p>
    <w:tbl>
      <w:tblPr>
        <w:tblStyle w:val="a"/>
        <w:tblW w:w="105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
        <w:gridCol w:w="1272"/>
        <w:gridCol w:w="827"/>
        <w:gridCol w:w="930"/>
        <w:gridCol w:w="975"/>
        <w:gridCol w:w="1020"/>
        <w:gridCol w:w="1035"/>
        <w:gridCol w:w="960"/>
        <w:gridCol w:w="1195"/>
        <w:gridCol w:w="1350"/>
      </w:tblGrid>
      <w:tr w:rsidR="00F848AA" w14:paraId="0311BB6F" w14:textId="77777777" w:rsidTr="0D32B05C">
        <w:trPr>
          <w:jc w:val="center"/>
        </w:trPr>
        <w:tc>
          <w:tcPr>
            <w:tcW w:w="961" w:type="dxa"/>
            <w:shd w:val="clear" w:color="auto" w:fill="auto"/>
          </w:tcPr>
          <w:p w14:paraId="168A0B6A" w14:textId="77777777" w:rsidR="00F848AA" w:rsidRDefault="00F848AA">
            <w:pPr>
              <w:spacing w:after="0" w:line="240" w:lineRule="auto"/>
              <w:rPr>
                <w:rFonts w:ascii="Arial" w:eastAsia="Arial" w:hAnsi="Arial" w:cs="Arial"/>
                <w:b/>
                <w:sz w:val="20"/>
                <w:szCs w:val="20"/>
              </w:rPr>
            </w:pPr>
          </w:p>
        </w:tc>
        <w:tc>
          <w:tcPr>
            <w:tcW w:w="1272" w:type="dxa"/>
            <w:shd w:val="clear" w:color="auto" w:fill="auto"/>
          </w:tcPr>
          <w:p w14:paraId="48E49F06" w14:textId="77777777" w:rsidR="00F848AA" w:rsidRDefault="00000000">
            <w:pPr>
              <w:spacing w:after="0" w:line="240" w:lineRule="auto"/>
              <w:rPr>
                <w:rFonts w:ascii="Arial" w:eastAsia="Arial" w:hAnsi="Arial" w:cs="Arial"/>
                <w:b/>
                <w:sz w:val="20"/>
                <w:szCs w:val="20"/>
              </w:rPr>
            </w:pPr>
            <w:r>
              <w:rPr>
                <w:rFonts w:ascii="Arial" w:eastAsia="Arial" w:hAnsi="Arial" w:cs="Arial"/>
                <w:b/>
                <w:sz w:val="20"/>
                <w:szCs w:val="20"/>
              </w:rPr>
              <w:t>Population</w:t>
            </w:r>
          </w:p>
        </w:tc>
        <w:tc>
          <w:tcPr>
            <w:tcW w:w="827" w:type="dxa"/>
            <w:shd w:val="clear" w:color="auto" w:fill="auto"/>
          </w:tcPr>
          <w:p w14:paraId="05B587E5" w14:textId="77777777" w:rsidR="00F848AA" w:rsidRDefault="00000000">
            <w:pPr>
              <w:spacing w:after="0" w:line="240" w:lineRule="auto"/>
              <w:rPr>
                <w:rFonts w:ascii="Arial" w:eastAsia="Arial" w:hAnsi="Arial" w:cs="Arial"/>
                <w:b/>
                <w:sz w:val="20"/>
                <w:szCs w:val="20"/>
              </w:rPr>
            </w:pPr>
            <w:r>
              <w:rPr>
                <w:rFonts w:ascii="Arial" w:eastAsia="Arial" w:hAnsi="Arial" w:cs="Arial"/>
                <w:b/>
                <w:sz w:val="20"/>
                <w:szCs w:val="20"/>
              </w:rPr>
              <w:t>Dates</w:t>
            </w:r>
          </w:p>
        </w:tc>
        <w:tc>
          <w:tcPr>
            <w:tcW w:w="930" w:type="dxa"/>
            <w:shd w:val="clear" w:color="auto" w:fill="auto"/>
          </w:tcPr>
          <w:p w14:paraId="202B0016" w14:textId="77777777" w:rsidR="00F848AA" w:rsidRDefault="00000000">
            <w:pPr>
              <w:spacing w:after="0" w:line="240" w:lineRule="auto"/>
              <w:rPr>
                <w:rFonts w:ascii="Arial" w:eastAsia="Arial" w:hAnsi="Arial" w:cs="Arial"/>
                <w:b/>
                <w:sz w:val="20"/>
                <w:szCs w:val="20"/>
              </w:rPr>
            </w:pPr>
            <w:r>
              <w:rPr>
                <w:rFonts w:ascii="Arial" w:eastAsia="Arial" w:hAnsi="Arial" w:cs="Arial"/>
                <w:b/>
                <w:sz w:val="20"/>
                <w:szCs w:val="20"/>
              </w:rPr>
              <w:t>Experimental Arm</w:t>
            </w:r>
          </w:p>
        </w:tc>
        <w:tc>
          <w:tcPr>
            <w:tcW w:w="975" w:type="dxa"/>
            <w:shd w:val="clear" w:color="auto" w:fill="auto"/>
          </w:tcPr>
          <w:p w14:paraId="2CAEFFB2" w14:textId="77777777" w:rsidR="00F848AA" w:rsidRDefault="00000000">
            <w:pPr>
              <w:spacing w:after="0" w:line="240" w:lineRule="auto"/>
              <w:rPr>
                <w:rFonts w:ascii="Arial" w:eastAsia="Arial" w:hAnsi="Arial" w:cs="Arial"/>
                <w:b/>
                <w:sz w:val="20"/>
                <w:szCs w:val="20"/>
              </w:rPr>
            </w:pPr>
            <w:r>
              <w:rPr>
                <w:rFonts w:ascii="Arial" w:eastAsia="Arial" w:hAnsi="Arial" w:cs="Arial"/>
                <w:b/>
                <w:sz w:val="20"/>
                <w:szCs w:val="20"/>
              </w:rPr>
              <w:t>Control Arm</w:t>
            </w:r>
          </w:p>
        </w:tc>
        <w:tc>
          <w:tcPr>
            <w:tcW w:w="1020" w:type="dxa"/>
            <w:shd w:val="clear" w:color="auto" w:fill="auto"/>
          </w:tcPr>
          <w:p w14:paraId="50940FE0" w14:textId="77777777" w:rsidR="00F848AA" w:rsidRDefault="00000000">
            <w:pPr>
              <w:spacing w:after="0" w:line="240" w:lineRule="auto"/>
              <w:rPr>
                <w:rFonts w:ascii="Arial" w:eastAsia="Arial" w:hAnsi="Arial" w:cs="Arial"/>
                <w:b/>
                <w:sz w:val="20"/>
                <w:szCs w:val="20"/>
              </w:rPr>
            </w:pPr>
            <w:r>
              <w:rPr>
                <w:rFonts w:ascii="Arial" w:eastAsia="Arial" w:hAnsi="Arial" w:cs="Arial"/>
                <w:b/>
                <w:sz w:val="20"/>
                <w:szCs w:val="20"/>
              </w:rPr>
              <w:t>Patients in Experimental Arm</w:t>
            </w:r>
          </w:p>
        </w:tc>
        <w:tc>
          <w:tcPr>
            <w:tcW w:w="1035" w:type="dxa"/>
            <w:shd w:val="clear" w:color="auto" w:fill="auto"/>
          </w:tcPr>
          <w:p w14:paraId="5B31F7C3" w14:textId="77777777" w:rsidR="00F848AA" w:rsidRDefault="00000000">
            <w:pPr>
              <w:spacing w:after="0" w:line="240" w:lineRule="auto"/>
              <w:rPr>
                <w:rFonts w:ascii="Arial" w:eastAsia="Arial" w:hAnsi="Arial" w:cs="Arial"/>
                <w:b/>
                <w:sz w:val="20"/>
                <w:szCs w:val="20"/>
              </w:rPr>
            </w:pPr>
            <w:r>
              <w:rPr>
                <w:rFonts w:ascii="Arial" w:eastAsia="Arial" w:hAnsi="Arial" w:cs="Arial"/>
                <w:b/>
                <w:sz w:val="20"/>
                <w:szCs w:val="20"/>
              </w:rPr>
              <w:t>Patients in Control Arm</w:t>
            </w:r>
          </w:p>
        </w:tc>
        <w:tc>
          <w:tcPr>
            <w:tcW w:w="960"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26FAE98E" w14:textId="77777777" w:rsidR="00F848AA" w:rsidRDefault="00000000">
            <w:pPr>
              <w:spacing w:after="0" w:line="240" w:lineRule="auto"/>
              <w:rPr>
                <w:rFonts w:ascii="Arial" w:eastAsia="Arial" w:hAnsi="Arial" w:cs="Arial"/>
                <w:b/>
                <w:sz w:val="20"/>
                <w:szCs w:val="20"/>
              </w:rPr>
            </w:pPr>
            <w:r>
              <w:rPr>
                <w:rFonts w:ascii="Arial" w:eastAsia="Arial" w:hAnsi="Arial" w:cs="Arial"/>
                <w:b/>
                <w:sz w:val="20"/>
                <w:szCs w:val="20"/>
              </w:rPr>
              <w:t>Primary Endpoint</w:t>
            </w:r>
          </w:p>
        </w:tc>
        <w:tc>
          <w:tcPr>
            <w:tcW w:w="1195" w:type="dxa"/>
            <w:tcBorders>
              <w:top w:val="single" w:sz="5" w:space="0" w:color="000000" w:themeColor="text1"/>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02DEADC7" w14:textId="77777777" w:rsidR="00F848AA" w:rsidRDefault="00000000">
            <w:pPr>
              <w:spacing w:after="0" w:line="240" w:lineRule="auto"/>
              <w:rPr>
                <w:rFonts w:ascii="Arial" w:eastAsia="Arial" w:hAnsi="Arial" w:cs="Arial"/>
                <w:b/>
                <w:sz w:val="20"/>
                <w:szCs w:val="20"/>
              </w:rPr>
            </w:pPr>
            <w:r>
              <w:rPr>
                <w:rFonts w:ascii="Arial" w:eastAsia="Arial" w:hAnsi="Arial" w:cs="Arial"/>
                <w:b/>
                <w:sz w:val="20"/>
                <w:szCs w:val="20"/>
              </w:rPr>
              <w:t>Primary Endpoint Result</w:t>
            </w:r>
          </w:p>
        </w:tc>
        <w:tc>
          <w:tcPr>
            <w:tcW w:w="1350" w:type="dxa"/>
            <w:tcBorders>
              <w:top w:val="single" w:sz="5" w:space="0" w:color="000000" w:themeColor="text1"/>
              <w:left w:val="nil"/>
              <w:bottom w:val="single" w:sz="5" w:space="0" w:color="000000" w:themeColor="text1"/>
              <w:right w:val="single" w:sz="5" w:space="0" w:color="000000" w:themeColor="text1"/>
            </w:tcBorders>
            <w:tcMar>
              <w:top w:w="20" w:type="dxa"/>
              <w:left w:w="20" w:type="dxa"/>
              <w:bottom w:w="20" w:type="dxa"/>
              <w:right w:w="20" w:type="dxa"/>
            </w:tcMar>
          </w:tcPr>
          <w:p w14:paraId="33BD5FD2" w14:textId="77777777" w:rsidR="00F848AA" w:rsidRDefault="00000000">
            <w:pPr>
              <w:spacing w:after="0" w:line="240" w:lineRule="auto"/>
              <w:rPr>
                <w:rFonts w:ascii="Arial" w:eastAsia="Arial" w:hAnsi="Arial" w:cs="Arial"/>
                <w:b/>
                <w:sz w:val="20"/>
                <w:szCs w:val="20"/>
              </w:rPr>
            </w:pPr>
            <w:r>
              <w:rPr>
                <w:rFonts w:ascii="Arial" w:eastAsia="Arial" w:hAnsi="Arial" w:cs="Arial"/>
                <w:b/>
                <w:sz w:val="20"/>
                <w:szCs w:val="20"/>
              </w:rPr>
              <w:t>Secondary Efficacy Endpoints</w:t>
            </w:r>
          </w:p>
        </w:tc>
      </w:tr>
      <w:tr w:rsidR="00F848AA" w14:paraId="6BD4E263" w14:textId="77777777" w:rsidTr="0D32B05C">
        <w:trPr>
          <w:jc w:val="center"/>
        </w:trPr>
        <w:tc>
          <w:tcPr>
            <w:tcW w:w="961" w:type="dxa"/>
            <w:shd w:val="clear" w:color="auto" w:fill="auto"/>
          </w:tcPr>
          <w:p w14:paraId="5A504805" w14:textId="77777777" w:rsidR="00F848AA" w:rsidRDefault="0D32B05C">
            <w:pPr>
              <w:spacing w:after="0" w:line="240" w:lineRule="auto"/>
              <w:rPr>
                <w:rFonts w:ascii="Arial" w:eastAsia="Arial" w:hAnsi="Arial" w:cs="Arial"/>
                <w:sz w:val="20"/>
                <w:szCs w:val="20"/>
              </w:rPr>
            </w:pPr>
            <w:r w:rsidRPr="006A0D2B">
              <w:rPr>
                <w:rFonts w:ascii="Arial" w:eastAsia="Arial" w:hAnsi="Arial" w:cs="Arial"/>
                <w:sz w:val="20"/>
                <w:szCs w:val="20"/>
              </w:rPr>
              <w:t>NRG/</w:t>
            </w:r>
            <w:r w:rsidRPr="0D32B05C">
              <w:rPr>
                <w:rFonts w:ascii="Arial" w:eastAsia="Arial" w:hAnsi="Arial" w:cs="Arial"/>
                <w:sz w:val="20"/>
                <w:szCs w:val="20"/>
              </w:rPr>
              <w:t>RTOG 9408</w:t>
            </w:r>
          </w:p>
        </w:tc>
        <w:tc>
          <w:tcPr>
            <w:tcW w:w="1272" w:type="dxa"/>
            <w:shd w:val="clear" w:color="auto" w:fill="auto"/>
          </w:tcPr>
          <w:p w14:paraId="54E7D896" w14:textId="77777777" w:rsidR="00F848AA" w:rsidRDefault="00000000">
            <w:pPr>
              <w:spacing w:after="0" w:line="240" w:lineRule="auto"/>
              <w:rPr>
                <w:rFonts w:ascii="Arial" w:eastAsia="Arial" w:hAnsi="Arial" w:cs="Arial"/>
                <w:sz w:val="20"/>
                <w:szCs w:val="20"/>
              </w:rPr>
            </w:pPr>
            <w:r>
              <w:rPr>
                <w:rFonts w:ascii="Arial Unicode MS" w:eastAsia="Arial Unicode MS" w:hAnsi="Arial Unicode MS" w:cs="Arial Unicode MS"/>
                <w:sz w:val="20"/>
                <w:szCs w:val="20"/>
              </w:rPr>
              <w:t>T1b-T2b and PSA ≤20</w:t>
            </w:r>
          </w:p>
        </w:tc>
        <w:tc>
          <w:tcPr>
            <w:tcW w:w="827" w:type="dxa"/>
            <w:shd w:val="clear" w:color="auto" w:fill="auto"/>
          </w:tcPr>
          <w:p w14:paraId="5D6CCB22"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1994-2001</w:t>
            </w:r>
          </w:p>
        </w:tc>
        <w:tc>
          <w:tcPr>
            <w:tcW w:w="930" w:type="dxa"/>
            <w:shd w:val="clear" w:color="auto" w:fill="auto"/>
          </w:tcPr>
          <w:p w14:paraId="31B9AC9F"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RT + 4 </w:t>
            </w:r>
            <w:proofErr w:type="spellStart"/>
            <w:r>
              <w:rPr>
                <w:rFonts w:ascii="Arial" w:eastAsia="Arial" w:hAnsi="Arial" w:cs="Arial"/>
                <w:sz w:val="20"/>
                <w:szCs w:val="20"/>
              </w:rPr>
              <w:t>mo</w:t>
            </w:r>
            <w:proofErr w:type="spellEnd"/>
            <w:r>
              <w:rPr>
                <w:rFonts w:ascii="Arial" w:eastAsia="Arial" w:hAnsi="Arial" w:cs="Arial"/>
                <w:sz w:val="20"/>
                <w:szCs w:val="20"/>
              </w:rPr>
              <w:t xml:space="preserve"> ADT</w:t>
            </w:r>
          </w:p>
        </w:tc>
        <w:tc>
          <w:tcPr>
            <w:tcW w:w="975" w:type="dxa"/>
            <w:shd w:val="clear" w:color="auto" w:fill="auto"/>
          </w:tcPr>
          <w:p w14:paraId="3B201E5D"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RT alone</w:t>
            </w:r>
          </w:p>
        </w:tc>
        <w:tc>
          <w:tcPr>
            <w:tcW w:w="1020" w:type="dxa"/>
            <w:shd w:val="clear" w:color="auto" w:fill="auto"/>
          </w:tcPr>
          <w:p w14:paraId="5A399E04"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987</w:t>
            </w:r>
          </w:p>
        </w:tc>
        <w:tc>
          <w:tcPr>
            <w:tcW w:w="1035" w:type="dxa"/>
            <w:shd w:val="clear" w:color="auto" w:fill="auto"/>
          </w:tcPr>
          <w:p w14:paraId="6F6FDD30"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992</w:t>
            </w:r>
          </w:p>
        </w:tc>
        <w:tc>
          <w:tcPr>
            <w:tcW w:w="960"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31855D32"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OS</w:t>
            </w:r>
          </w:p>
          <w:p w14:paraId="64550A39"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 </w:t>
            </w:r>
          </w:p>
        </w:tc>
        <w:tc>
          <w:tcPr>
            <w:tcW w:w="1195"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2D761C5A"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Negative</w:t>
            </w:r>
            <w:r>
              <w:rPr>
                <w:rFonts w:ascii="Arial" w:eastAsia="Arial" w:hAnsi="Arial" w:cs="Arial"/>
                <w:sz w:val="20"/>
                <w:szCs w:val="20"/>
                <w:vertAlign w:val="superscript"/>
              </w:rPr>
              <w:t>1</w:t>
            </w:r>
          </w:p>
        </w:tc>
        <w:tc>
          <w:tcPr>
            <w:tcW w:w="1350" w:type="dxa"/>
            <w:tcBorders>
              <w:top w:val="nil"/>
              <w:left w:val="nil"/>
              <w:bottom w:val="single" w:sz="5" w:space="0" w:color="000000" w:themeColor="text1"/>
              <w:right w:val="single" w:sz="5" w:space="0" w:color="000000" w:themeColor="text1"/>
            </w:tcBorders>
            <w:tcMar>
              <w:top w:w="20" w:type="dxa"/>
              <w:left w:w="20" w:type="dxa"/>
              <w:bottom w:w="20" w:type="dxa"/>
              <w:right w:w="20" w:type="dxa"/>
            </w:tcMar>
          </w:tcPr>
          <w:p w14:paraId="272A74E6"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DSM</w:t>
            </w:r>
          </w:p>
          <w:p w14:paraId="22D36AFB"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BF</w:t>
            </w:r>
          </w:p>
          <w:p w14:paraId="23BBE757"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DM</w:t>
            </w:r>
          </w:p>
          <w:p w14:paraId="7AA6CB5F"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 </w:t>
            </w:r>
          </w:p>
        </w:tc>
      </w:tr>
      <w:tr w:rsidR="00F848AA" w14:paraId="25C9F2DB" w14:textId="77777777" w:rsidTr="0D32B05C">
        <w:trPr>
          <w:jc w:val="center"/>
        </w:trPr>
        <w:tc>
          <w:tcPr>
            <w:tcW w:w="961" w:type="dxa"/>
            <w:shd w:val="clear" w:color="auto" w:fill="auto"/>
          </w:tcPr>
          <w:p w14:paraId="60FDD8F0"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NRG/RTOG 9413</w:t>
            </w:r>
          </w:p>
        </w:tc>
        <w:tc>
          <w:tcPr>
            <w:tcW w:w="1272" w:type="dxa"/>
            <w:shd w:val="clear" w:color="auto" w:fill="auto"/>
          </w:tcPr>
          <w:p w14:paraId="05785B76"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&gt;15% LN risk by Roach AND PSA &lt;</w:t>
            </w:r>
            <w:proofErr w:type="gramStart"/>
            <w:r>
              <w:rPr>
                <w:rFonts w:ascii="Arial" w:eastAsia="Arial" w:hAnsi="Arial" w:cs="Arial"/>
                <w:sz w:val="20"/>
                <w:szCs w:val="20"/>
              </w:rPr>
              <w:t>100;</w:t>
            </w:r>
            <w:proofErr w:type="gramEnd"/>
          </w:p>
          <w:p w14:paraId="75598366"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T2c-T4 tumors and Gleason &gt;=6 </w:t>
            </w:r>
            <w:proofErr w:type="gramStart"/>
            <w:r>
              <w:rPr>
                <w:rFonts w:ascii="Arial" w:eastAsia="Arial" w:hAnsi="Arial" w:cs="Arial"/>
                <w:sz w:val="20"/>
                <w:szCs w:val="20"/>
              </w:rPr>
              <w:t>were</w:t>
            </w:r>
            <w:proofErr w:type="gramEnd"/>
            <w:r>
              <w:rPr>
                <w:rFonts w:ascii="Arial" w:eastAsia="Arial" w:hAnsi="Arial" w:cs="Arial"/>
                <w:sz w:val="20"/>
                <w:szCs w:val="20"/>
              </w:rPr>
              <w:t xml:space="preserve"> allowed regardless of LN risk</w:t>
            </w:r>
          </w:p>
        </w:tc>
        <w:tc>
          <w:tcPr>
            <w:tcW w:w="827" w:type="dxa"/>
            <w:shd w:val="clear" w:color="auto" w:fill="auto"/>
          </w:tcPr>
          <w:p w14:paraId="0612CF7A"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1995-1999</w:t>
            </w:r>
            <w:r>
              <w:rPr>
                <w:rFonts w:ascii="Arial" w:eastAsia="Arial" w:hAnsi="Arial" w:cs="Arial"/>
                <w:sz w:val="20"/>
                <w:szCs w:val="20"/>
              </w:rPr>
              <w:tab/>
            </w:r>
          </w:p>
        </w:tc>
        <w:tc>
          <w:tcPr>
            <w:tcW w:w="1905" w:type="dxa"/>
            <w:gridSpan w:val="2"/>
            <w:shd w:val="clear" w:color="auto" w:fill="auto"/>
          </w:tcPr>
          <w:p w14:paraId="1AAE32B2"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2x2 factorial:</w:t>
            </w:r>
          </w:p>
          <w:p w14:paraId="27DB930F"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4 </w:t>
            </w:r>
            <w:proofErr w:type="spellStart"/>
            <w:r>
              <w:rPr>
                <w:rFonts w:ascii="Arial" w:eastAsia="Arial" w:hAnsi="Arial" w:cs="Arial"/>
                <w:sz w:val="20"/>
                <w:szCs w:val="20"/>
              </w:rPr>
              <w:t>mo</w:t>
            </w:r>
            <w:proofErr w:type="spellEnd"/>
            <w:r>
              <w:rPr>
                <w:rFonts w:ascii="Arial" w:eastAsia="Arial" w:hAnsi="Arial" w:cs="Arial"/>
                <w:sz w:val="20"/>
                <w:szCs w:val="20"/>
              </w:rPr>
              <w:t xml:space="preserve"> neoadjuvant/concurrent vs adjuvant ADT</w:t>
            </w:r>
          </w:p>
          <w:p w14:paraId="2DA5695D"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Prostate only RT vs whole pelvis RT</w:t>
            </w:r>
          </w:p>
        </w:tc>
        <w:tc>
          <w:tcPr>
            <w:tcW w:w="2055" w:type="dxa"/>
            <w:gridSpan w:val="2"/>
            <w:shd w:val="clear" w:color="auto" w:fill="auto"/>
          </w:tcPr>
          <w:p w14:paraId="3DC7D021"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1323 total</w:t>
            </w:r>
          </w:p>
        </w:tc>
        <w:tc>
          <w:tcPr>
            <w:tcW w:w="960"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3588566F" w14:textId="77777777" w:rsidR="00F848AA" w:rsidRDefault="00000000">
            <w:pPr>
              <w:widowControl w:val="0"/>
              <w:spacing w:after="0" w:line="276" w:lineRule="auto"/>
              <w:rPr>
                <w:rFonts w:ascii="Arial" w:eastAsia="Arial" w:hAnsi="Arial" w:cs="Arial"/>
                <w:sz w:val="20"/>
                <w:szCs w:val="20"/>
              </w:rPr>
            </w:pPr>
            <w:r>
              <w:rPr>
                <w:rFonts w:ascii="Arial" w:eastAsia="Arial" w:hAnsi="Arial" w:cs="Arial"/>
                <w:sz w:val="20"/>
                <w:szCs w:val="20"/>
              </w:rPr>
              <w:t>PFS</w:t>
            </w:r>
          </w:p>
          <w:p w14:paraId="4A68AF00" w14:textId="77777777" w:rsidR="00F848AA" w:rsidRDefault="00000000">
            <w:pPr>
              <w:widowControl w:val="0"/>
              <w:spacing w:after="0" w:line="276" w:lineRule="auto"/>
              <w:rPr>
                <w:rFonts w:ascii="Arial" w:eastAsia="Arial" w:hAnsi="Arial" w:cs="Arial"/>
                <w:sz w:val="20"/>
                <w:szCs w:val="20"/>
              </w:rPr>
            </w:pPr>
            <w:r>
              <w:rPr>
                <w:rFonts w:ascii="Arial" w:eastAsia="Arial" w:hAnsi="Arial" w:cs="Arial"/>
                <w:sz w:val="20"/>
                <w:szCs w:val="20"/>
              </w:rPr>
              <w:t xml:space="preserve"> </w:t>
            </w:r>
          </w:p>
        </w:tc>
        <w:tc>
          <w:tcPr>
            <w:tcW w:w="1195"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2D0E6233" w14:textId="77777777" w:rsidR="00F848AA" w:rsidRDefault="00000000">
            <w:pPr>
              <w:widowControl w:val="0"/>
              <w:spacing w:after="0" w:line="276" w:lineRule="auto"/>
              <w:rPr>
                <w:rFonts w:ascii="Arial" w:eastAsia="Arial" w:hAnsi="Arial" w:cs="Arial"/>
                <w:sz w:val="20"/>
                <w:szCs w:val="20"/>
                <w:vertAlign w:val="superscript"/>
              </w:rPr>
            </w:pPr>
            <w:r>
              <w:rPr>
                <w:rFonts w:ascii="Arial" w:eastAsia="Arial" w:hAnsi="Arial" w:cs="Arial"/>
                <w:sz w:val="20"/>
                <w:szCs w:val="20"/>
              </w:rPr>
              <w:t>Positive</w:t>
            </w:r>
            <w:r>
              <w:rPr>
                <w:rFonts w:ascii="Arial" w:eastAsia="Arial" w:hAnsi="Arial" w:cs="Arial"/>
                <w:sz w:val="20"/>
                <w:szCs w:val="20"/>
                <w:vertAlign w:val="superscript"/>
              </w:rPr>
              <w:t>2</w:t>
            </w:r>
          </w:p>
        </w:tc>
        <w:tc>
          <w:tcPr>
            <w:tcW w:w="1350" w:type="dxa"/>
            <w:tcBorders>
              <w:top w:val="nil"/>
              <w:left w:val="nil"/>
              <w:bottom w:val="single" w:sz="5" w:space="0" w:color="000000" w:themeColor="text1"/>
              <w:right w:val="single" w:sz="5" w:space="0" w:color="000000" w:themeColor="text1"/>
            </w:tcBorders>
            <w:tcMar>
              <w:top w:w="20" w:type="dxa"/>
              <w:left w:w="20" w:type="dxa"/>
              <w:bottom w:w="20" w:type="dxa"/>
              <w:right w:w="20" w:type="dxa"/>
            </w:tcMar>
          </w:tcPr>
          <w:p w14:paraId="1BDA1825" w14:textId="77777777" w:rsidR="00F848AA" w:rsidRDefault="00000000">
            <w:pPr>
              <w:widowControl w:val="0"/>
              <w:spacing w:after="0" w:line="276" w:lineRule="auto"/>
              <w:rPr>
                <w:rFonts w:ascii="Arial" w:eastAsia="Arial" w:hAnsi="Arial" w:cs="Arial"/>
                <w:sz w:val="20"/>
                <w:szCs w:val="20"/>
              </w:rPr>
            </w:pPr>
            <w:r>
              <w:rPr>
                <w:rFonts w:ascii="Arial" w:eastAsia="Arial" w:hAnsi="Arial" w:cs="Arial"/>
                <w:sz w:val="20"/>
                <w:szCs w:val="20"/>
              </w:rPr>
              <w:t>BF</w:t>
            </w:r>
          </w:p>
          <w:p w14:paraId="18DD0036" w14:textId="77777777" w:rsidR="00F848AA" w:rsidRDefault="00000000">
            <w:pPr>
              <w:widowControl w:val="0"/>
              <w:spacing w:after="0" w:line="276" w:lineRule="auto"/>
              <w:rPr>
                <w:rFonts w:ascii="Arial" w:eastAsia="Arial" w:hAnsi="Arial" w:cs="Arial"/>
                <w:sz w:val="20"/>
                <w:szCs w:val="20"/>
              </w:rPr>
            </w:pPr>
            <w:r>
              <w:rPr>
                <w:rFonts w:ascii="Arial" w:eastAsia="Arial" w:hAnsi="Arial" w:cs="Arial"/>
                <w:sz w:val="20"/>
                <w:szCs w:val="20"/>
              </w:rPr>
              <w:t>OS</w:t>
            </w:r>
          </w:p>
          <w:p w14:paraId="715DD701" w14:textId="77777777" w:rsidR="00F848AA" w:rsidRDefault="00000000">
            <w:pPr>
              <w:widowControl w:val="0"/>
              <w:spacing w:after="0" w:line="276" w:lineRule="auto"/>
              <w:rPr>
                <w:rFonts w:ascii="Arial" w:eastAsia="Arial" w:hAnsi="Arial" w:cs="Arial"/>
                <w:sz w:val="20"/>
                <w:szCs w:val="20"/>
              </w:rPr>
            </w:pPr>
            <w:r>
              <w:rPr>
                <w:rFonts w:ascii="Arial" w:eastAsia="Arial" w:hAnsi="Arial" w:cs="Arial"/>
                <w:sz w:val="20"/>
                <w:szCs w:val="20"/>
              </w:rPr>
              <w:t>LP</w:t>
            </w:r>
          </w:p>
          <w:p w14:paraId="380E34D4" w14:textId="77777777" w:rsidR="00F848AA" w:rsidRDefault="00000000">
            <w:pPr>
              <w:widowControl w:val="0"/>
              <w:spacing w:after="0" w:line="276" w:lineRule="auto"/>
              <w:rPr>
                <w:rFonts w:ascii="Arial" w:eastAsia="Arial" w:hAnsi="Arial" w:cs="Arial"/>
                <w:sz w:val="20"/>
                <w:szCs w:val="20"/>
              </w:rPr>
            </w:pPr>
            <w:r>
              <w:rPr>
                <w:rFonts w:ascii="Arial" w:eastAsia="Arial" w:hAnsi="Arial" w:cs="Arial"/>
                <w:sz w:val="20"/>
                <w:szCs w:val="20"/>
              </w:rPr>
              <w:t>DM</w:t>
            </w:r>
          </w:p>
          <w:p w14:paraId="140D7F69" w14:textId="77777777" w:rsidR="00F848AA" w:rsidRDefault="00000000">
            <w:pPr>
              <w:widowControl w:val="0"/>
              <w:spacing w:after="0" w:line="276" w:lineRule="auto"/>
              <w:rPr>
                <w:rFonts w:ascii="Arial" w:eastAsia="Arial" w:hAnsi="Arial" w:cs="Arial"/>
                <w:sz w:val="20"/>
                <w:szCs w:val="20"/>
              </w:rPr>
            </w:pPr>
            <w:r>
              <w:rPr>
                <w:rFonts w:ascii="Arial" w:eastAsia="Arial" w:hAnsi="Arial" w:cs="Arial"/>
                <w:sz w:val="20"/>
                <w:szCs w:val="20"/>
              </w:rPr>
              <w:t>RF</w:t>
            </w:r>
          </w:p>
          <w:p w14:paraId="64DDA32D" w14:textId="77777777" w:rsidR="00F848AA" w:rsidRDefault="00000000">
            <w:pPr>
              <w:widowControl w:val="0"/>
              <w:spacing w:after="0" w:line="276" w:lineRule="auto"/>
              <w:rPr>
                <w:rFonts w:ascii="Arial" w:eastAsia="Arial" w:hAnsi="Arial" w:cs="Arial"/>
                <w:sz w:val="20"/>
                <w:szCs w:val="20"/>
              </w:rPr>
            </w:pPr>
            <w:r>
              <w:rPr>
                <w:rFonts w:ascii="Arial" w:eastAsia="Arial" w:hAnsi="Arial" w:cs="Arial"/>
                <w:sz w:val="20"/>
                <w:szCs w:val="20"/>
              </w:rPr>
              <w:t>PCSF</w:t>
            </w:r>
          </w:p>
        </w:tc>
      </w:tr>
      <w:tr w:rsidR="00F848AA" w14:paraId="10B59186" w14:textId="77777777" w:rsidTr="0D32B05C">
        <w:trPr>
          <w:jc w:val="center"/>
        </w:trPr>
        <w:tc>
          <w:tcPr>
            <w:tcW w:w="961" w:type="dxa"/>
            <w:shd w:val="clear" w:color="auto" w:fill="auto"/>
          </w:tcPr>
          <w:p w14:paraId="4F76788D"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NRG/RTOG 9910</w:t>
            </w:r>
          </w:p>
        </w:tc>
        <w:tc>
          <w:tcPr>
            <w:tcW w:w="1272" w:type="dxa"/>
            <w:shd w:val="clear" w:color="auto" w:fill="auto"/>
          </w:tcPr>
          <w:p w14:paraId="0EFB8D85" w14:textId="77777777" w:rsidR="00F848AA" w:rsidRDefault="00000000">
            <w:pPr>
              <w:spacing w:after="0" w:line="240" w:lineRule="auto"/>
              <w:rPr>
                <w:rFonts w:ascii="Arial" w:eastAsia="Arial" w:hAnsi="Arial" w:cs="Arial"/>
                <w:sz w:val="20"/>
                <w:szCs w:val="20"/>
              </w:rPr>
            </w:pPr>
            <w:r>
              <w:rPr>
                <w:rFonts w:ascii="Arial Unicode MS" w:eastAsia="Arial Unicode MS" w:hAnsi="Arial Unicode MS" w:cs="Arial Unicode MS"/>
                <w:sz w:val="20"/>
                <w:szCs w:val="20"/>
              </w:rPr>
              <w:t>T1b-T4 GS2-6 PSA&gt;10 ≤100</w:t>
            </w:r>
          </w:p>
          <w:p w14:paraId="6370E80D"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T1b-T4 GS 7 PSA&lt;20</w:t>
            </w:r>
          </w:p>
          <w:p w14:paraId="7D833886"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T1b-c GS 8-10 PSA &lt;20 </w:t>
            </w:r>
          </w:p>
        </w:tc>
        <w:tc>
          <w:tcPr>
            <w:tcW w:w="827" w:type="dxa"/>
            <w:shd w:val="clear" w:color="auto" w:fill="auto"/>
          </w:tcPr>
          <w:p w14:paraId="2E1C6BE9"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2000-2004</w:t>
            </w:r>
          </w:p>
        </w:tc>
        <w:tc>
          <w:tcPr>
            <w:tcW w:w="930" w:type="dxa"/>
            <w:shd w:val="clear" w:color="auto" w:fill="auto"/>
          </w:tcPr>
          <w:p w14:paraId="13648D9C"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RT + 36 weeks ADT</w:t>
            </w:r>
          </w:p>
        </w:tc>
        <w:tc>
          <w:tcPr>
            <w:tcW w:w="975" w:type="dxa"/>
            <w:shd w:val="clear" w:color="auto" w:fill="auto"/>
          </w:tcPr>
          <w:p w14:paraId="1399437C"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RT + 4 </w:t>
            </w:r>
            <w:proofErr w:type="spellStart"/>
            <w:r>
              <w:rPr>
                <w:rFonts w:ascii="Arial" w:eastAsia="Arial" w:hAnsi="Arial" w:cs="Arial"/>
                <w:sz w:val="20"/>
                <w:szCs w:val="20"/>
              </w:rPr>
              <w:t>mo</w:t>
            </w:r>
            <w:proofErr w:type="spellEnd"/>
            <w:r>
              <w:rPr>
                <w:rFonts w:ascii="Arial" w:eastAsia="Arial" w:hAnsi="Arial" w:cs="Arial"/>
                <w:sz w:val="20"/>
                <w:szCs w:val="20"/>
              </w:rPr>
              <w:t xml:space="preserve"> ADT</w:t>
            </w:r>
          </w:p>
        </w:tc>
        <w:tc>
          <w:tcPr>
            <w:tcW w:w="1020" w:type="dxa"/>
            <w:shd w:val="clear" w:color="auto" w:fill="auto"/>
          </w:tcPr>
          <w:p w14:paraId="79BEAD28"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737</w:t>
            </w:r>
          </w:p>
        </w:tc>
        <w:tc>
          <w:tcPr>
            <w:tcW w:w="1035" w:type="dxa"/>
            <w:shd w:val="clear" w:color="auto" w:fill="auto"/>
          </w:tcPr>
          <w:p w14:paraId="2305D1D1"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752</w:t>
            </w:r>
          </w:p>
        </w:tc>
        <w:tc>
          <w:tcPr>
            <w:tcW w:w="960"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314F0330"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DSS</w:t>
            </w:r>
          </w:p>
        </w:tc>
        <w:tc>
          <w:tcPr>
            <w:tcW w:w="1195"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3F3A0E1F"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Negative</w:t>
            </w:r>
            <w:r>
              <w:rPr>
                <w:rFonts w:ascii="Arial" w:eastAsia="Arial" w:hAnsi="Arial" w:cs="Arial"/>
                <w:sz w:val="20"/>
                <w:szCs w:val="20"/>
                <w:vertAlign w:val="superscript"/>
              </w:rPr>
              <w:t>3</w:t>
            </w:r>
          </w:p>
        </w:tc>
        <w:tc>
          <w:tcPr>
            <w:tcW w:w="1350" w:type="dxa"/>
            <w:tcBorders>
              <w:top w:val="nil"/>
              <w:left w:val="nil"/>
              <w:bottom w:val="single" w:sz="5" w:space="0" w:color="000000" w:themeColor="text1"/>
              <w:right w:val="single" w:sz="5" w:space="0" w:color="000000" w:themeColor="text1"/>
            </w:tcBorders>
            <w:tcMar>
              <w:top w:w="20" w:type="dxa"/>
              <w:left w:w="20" w:type="dxa"/>
              <w:bottom w:w="20" w:type="dxa"/>
              <w:right w:w="20" w:type="dxa"/>
            </w:tcMar>
          </w:tcPr>
          <w:p w14:paraId="313C9241"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OS</w:t>
            </w:r>
          </w:p>
          <w:p w14:paraId="7BC39D07"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DFS</w:t>
            </w:r>
          </w:p>
          <w:p w14:paraId="1A6C1872"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LRP</w:t>
            </w:r>
          </w:p>
          <w:p w14:paraId="3FF28D7A"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DM</w:t>
            </w:r>
          </w:p>
          <w:p w14:paraId="572A66C6"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BF</w:t>
            </w:r>
          </w:p>
        </w:tc>
      </w:tr>
      <w:tr w:rsidR="00F848AA" w14:paraId="3794B3AA" w14:textId="77777777" w:rsidTr="0D32B05C">
        <w:trPr>
          <w:jc w:val="center"/>
        </w:trPr>
        <w:tc>
          <w:tcPr>
            <w:tcW w:w="961" w:type="dxa"/>
            <w:shd w:val="clear" w:color="auto" w:fill="auto"/>
          </w:tcPr>
          <w:p w14:paraId="209C821F"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NRG/RTOG 9202</w:t>
            </w:r>
          </w:p>
        </w:tc>
        <w:tc>
          <w:tcPr>
            <w:tcW w:w="1272" w:type="dxa"/>
            <w:shd w:val="clear" w:color="auto" w:fill="auto"/>
          </w:tcPr>
          <w:p w14:paraId="2F389AD5"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T2c-T4 AND PSA&lt;150</w:t>
            </w:r>
          </w:p>
        </w:tc>
        <w:tc>
          <w:tcPr>
            <w:tcW w:w="827" w:type="dxa"/>
            <w:shd w:val="clear" w:color="auto" w:fill="auto"/>
          </w:tcPr>
          <w:p w14:paraId="2998A05E"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1992-1995</w:t>
            </w:r>
          </w:p>
        </w:tc>
        <w:tc>
          <w:tcPr>
            <w:tcW w:w="930" w:type="dxa"/>
            <w:shd w:val="clear" w:color="auto" w:fill="auto"/>
          </w:tcPr>
          <w:p w14:paraId="5F4CF875"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RT + 28 </w:t>
            </w:r>
            <w:proofErr w:type="spellStart"/>
            <w:r>
              <w:rPr>
                <w:rFonts w:ascii="Arial" w:eastAsia="Arial" w:hAnsi="Arial" w:cs="Arial"/>
                <w:sz w:val="20"/>
                <w:szCs w:val="20"/>
              </w:rPr>
              <w:t>mo</w:t>
            </w:r>
            <w:proofErr w:type="spellEnd"/>
            <w:r>
              <w:rPr>
                <w:rFonts w:ascii="Arial" w:eastAsia="Arial" w:hAnsi="Arial" w:cs="Arial"/>
                <w:sz w:val="20"/>
                <w:szCs w:val="20"/>
              </w:rPr>
              <w:t xml:space="preserve"> ADT</w:t>
            </w:r>
          </w:p>
        </w:tc>
        <w:tc>
          <w:tcPr>
            <w:tcW w:w="975" w:type="dxa"/>
            <w:shd w:val="clear" w:color="auto" w:fill="auto"/>
          </w:tcPr>
          <w:p w14:paraId="26E49731"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RT + 4 </w:t>
            </w:r>
            <w:proofErr w:type="spellStart"/>
            <w:r>
              <w:rPr>
                <w:rFonts w:ascii="Arial" w:eastAsia="Arial" w:hAnsi="Arial" w:cs="Arial"/>
                <w:sz w:val="20"/>
                <w:szCs w:val="20"/>
              </w:rPr>
              <w:t>mo</w:t>
            </w:r>
            <w:proofErr w:type="spellEnd"/>
            <w:r>
              <w:rPr>
                <w:rFonts w:ascii="Arial" w:eastAsia="Arial" w:hAnsi="Arial" w:cs="Arial"/>
                <w:sz w:val="20"/>
                <w:szCs w:val="20"/>
              </w:rPr>
              <w:t xml:space="preserve"> ADT</w:t>
            </w:r>
          </w:p>
        </w:tc>
        <w:tc>
          <w:tcPr>
            <w:tcW w:w="1020" w:type="dxa"/>
            <w:shd w:val="clear" w:color="auto" w:fill="auto"/>
          </w:tcPr>
          <w:p w14:paraId="2A8901DA"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758</w:t>
            </w:r>
          </w:p>
        </w:tc>
        <w:tc>
          <w:tcPr>
            <w:tcW w:w="1035" w:type="dxa"/>
            <w:shd w:val="clear" w:color="auto" w:fill="auto"/>
          </w:tcPr>
          <w:p w14:paraId="6518D3DF"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762</w:t>
            </w:r>
          </w:p>
        </w:tc>
        <w:tc>
          <w:tcPr>
            <w:tcW w:w="960"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0484FD63"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DFS</w:t>
            </w:r>
          </w:p>
        </w:tc>
        <w:tc>
          <w:tcPr>
            <w:tcW w:w="1195"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7CF97D9A"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Positive</w:t>
            </w:r>
            <w:r>
              <w:rPr>
                <w:rFonts w:ascii="Arial" w:eastAsia="Arial" w:hAnsi="Arial" w:cs="Arial"/>
                <w:sz w:val="20"/>
                <w:szCs w:val="20"/>
                <w:vertAlign w:val="superscript"/>
              </w:rPr>
              <w:t>4</w:t>
            </w:r>
          </w:p>
        </w:tc>
        <w:tc>
          <w:tcPr>
            <w:tcW w:w="1350" w:type="dxa"/>
            <w:tcBorders>
              <w:top w:val="nil"/>
              <w:left w:val="nil"/>
              <w:bottom w:val="single" w:sz="5" w:space="0" w:color="000000" w:themeColor="text1"/>
              <w:right w:val="single" w:sz="5" w:space="0" w:color="000000" w:themeColor="text1"/>
            </w:tcBorders>
            <w:tcMar>
              <w:top w:w="20" w:type="dxa"/>
              <w:left w:w="20" w:type="dxa"/>
              <w:bottom w:w="20" w:type="dxa"/>
              <w:right w:w="20" w:type="dxa"/>
            </w:tcMar>
          </w:tcPr>
          <w:p w14:paraId="0A547775"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LP</w:t>
            </w:r>
          </w:p>
          <w:p w14:paraId="65777661"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DM</w:t>
            </w:r>
          </w:p>
          <w:p w14:paraId="33054DE4"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BF</w:t>
            </w:r>
          </w:p>
          <w:p w14:paraId="6D89F7D2"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DSS</w:t>
            </w:r>
          </w:p>
          <w:p w14:paraId="60F524E1"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OS</w:t>
            </w:r>
          </w:p>
        </w:tc>
      </w:tr>
      <w:tr w:rsidR="00F848AA" w14:paraId="3C497B46" w14:textId="77777777" w:rsidTr="0D32B05C">
        <w:trPr>
          <w:jc w:val="center"/>
        </w:trPr>
        <w:tc>
          <w:tcPr>
            <w:tcW w:w="961" w:type="dxa"/>
            <w:shd w:val="clear" w:color="auto" w:fill="auto"/>
          </w:tcPr>
          <w:p w14:paraId="5EBD581F"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NRG/RTOG 0126</w:t>
            </w:r>
          </w:p>
        </w:tc>
        <w:tc>
          <w:tcPr>
            <w:tcW w:w="1272" w:type="dxa"/>
            <w:shd w:val="clear" w:color="auto" w:fill="auto"/>
          </w:tcPr>
          <w:p w14:paraId="20EA9586"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cT1b-T2b, GS 2-6, and PSA </w:t>
            </w:r>
            <w:proofErr w:type="gramStart"/>
            <w:r>
              <w:rPr>
                <w:rFonts w:ascii="Arial" w:eastAsia="Arial" w:hAnsi="Arial" w:cs="Arial"/>
                <w:sz w:val="20"/>
                <w:szCs w:val="20"/>
              </w:rPr>
              <w:t>10-20;</w:t>
            </w:r>
            <w:proofErr w:type="gramEnd"/>
          </w:p>
          <w:p w14:paraId="6276FD9C"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or GS 7 and PSA &lt;15</w:t>
            </w:r>
          </w:p>
        </w:tc>
        <w:tc>
          <w:tcPr>
            <w:tcW w:w="827" w:type="dxa"/>
            <w:shd w:val="clear" w:color="auto" w:fill="auto"/>
          </w:tcPr>
          <w:p w14:paraId="09EC31E7"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2002-2008</w:t>
            </w:r>
          </w:p>
        </w:tc>
        <w:tc>
          <w:tcPr>
            <w:tcW w:w="930" w:type="dxa"/>
            <w:shd w:val="clear" w:color="auto" w:fill="auto"/>
          </w:tcPr>
          <w:p w14:paraId="4543116E"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79.2 </w:t>
            </w:r>
            <w:proofErr w:type="spellStart"/>
            <w:r>
              <w:rPr>
                <w:rFonts w:ascii="Arial" w:eastAsia="Arial" w:hAnsi="Arial" w:cs="Arial"/>
                <w:sz w:val="20"/>
                <w:szCs w:val="20"/>
              </w:rPr>
              <w:t>Gy</w:t>
            </w:r>
            <w:proofErr w:type="spellEnd"/>
            <w:r>
              <w:rPr>
                <w:rFonts w:ascii="Arial" w:eastAsia="Arial" w:hAnsi="Arial" w:cs="Arial"/>
                <w:sz w:val="20"/>
                <w:szCs w:val="20"/>
              </w:rPr>
              <w:t xml:space="preserve"> RT alone</w:t>
            </w:r>
          </w:p>
        </w:tc>
        <w:tc>
          <w:tcPr>
            <w:tcW w:w="975" w:type="dxa"/>
            <w:shd w:val="clear" w:color="auto" w:fill="auto"/>
          </w:tcPr>
          <w:p w14:paraId="390090BD"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 xml:space="preserve">70.2 </w:t>
            </w:r>
            <w:proofErr w:type="spellStart"/>
            <w:r>
              <w:rPr>
                <w:rFonts w:ascii="Arial" w:eastAsia="Arial" w:hAnsi="Arial" w:cs="Arial"/>
                <w:sz w:val="20"/>
                <w:szCs w:val="20"/>
              </w:rPr>
              <w:t>Gy</w:t>
            </w:r>
            <w:proofErr w:type="spellEnd"/>
            <w:r>
              <w:rPr>
                <w:rFonts w:ascii="Arial" w:eastAsia="Arial" w:hAnsi="Arial" w:cs="Arial"/>
                <w:sz w:val="20"/>
                <w:szCs w:val="20"/>
              </w:rPr>
              <w:t xml:space="preserve"> RT alone</w:t>
            </w:r>
          </w:p>
        </w:tc>
        <w:tc>
          <w:tcPr>
            <w:tcW w:w="1020" w:type="dxa"/>
            <w:shd w:val="clear" w:color="auto" w:fill="auto"/>
          </w:tcPr>
          <w:p w14:paraId="65BD6C17"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748</w:t>
            </w:r>
          </w:p>
        </w:tc>
        <w:tc>
          <w:tcPr>
            <w:tcW w:w="1035" w:type="dxa"/>
            <w:shd w:val="clear" w:color="auto" w:fill="auto"/>
          </w:tcPr>
          <w:p w14:paraId="2EE8887F"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751</w:t>
            </w:r>
          </w:p>
        </w:tc>
        <w:tc>
          <w:tcPr>
            <w:tcW w:w="960"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29C93752"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OS</w:t>
            </w:r>
          </w:p>
        </w:tc>
        <w:tc>
          <w:tcPr>
            <w:tcW w:w="1195" w:type="dxa"/>
            <w:tcBorders>
              <w:top w:val="nil"/>
              <w:left w:val="single" w:sz="5" w:space="0" w:color="000000" w:themeColor="text1"/>
              <w:bottom w:val="single" w:sz="5" w:space="0" w:color="000000" w:themeColor="text1"/>
              <w:right w:val="single" w:sz="5" w:space="0" w:color="000000" w:themeColor="text1"/>
            </w:tcBorders>
            <w:tcMar>
              <w:top w:w="20" w:type="dxa"/>
              <w:left w:w="20" w:type="dxa"/>
              <w:bottom w:w="20" w:type="dxa"/>
              <w:right w:w="20" w:type="dxa"/>
            </w:tcMar>
          </w:tcPr>
          <w:p w14:paraId="275C0DB2"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Negative</w:t>
            </w:r>
            <w:r>
              <w:rPr>
                <w:rFonts w:ascii="Arial" w:eastAsia="Arial" w:hAnsi="Arial" w:cs="Arial"/>
                <w:sz w:val="20"/>
                <w:szCs w:val="20"/>
                <w:vertAlign w:val="superscript"/>
              </w:rPr>
              <w:t>5</w:t>
            </w:r>
          </w:p>
        </w:tc>
        <w:tc>
          <w:tcPr>
            <w:tcW w:w="1350" w:type="dxa"/>
            <w:tcBorders>
              <w:top w:val="nil"/>
              <w:left w:val="nil"/>
              <w:bottom w:val="single" w:sz="5" w:space="0" w:color="000000" w:themeColor="text1"/>
              <w:right w:val="single" w:sz="5" w:space="0" w:color="000000" w:themeColor="text1"/>
            </w:tcBorders>
            <w:tcMar>
              <w:top w:w="20" w:type="dxa"/>
              <w:left w:w="20" w:type="dxa"/>
              <w:bottom w:w="20" w:type="dxa"/>
              <w:right w:w="20" w:type="dxa"/>
            </w:tcMar>
          </w:tcPr>
          <w:p w14:paraId="11863564"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BF</w:t>
            </w:r>
          </w:p>
          <w:p w14:paraId="64BAFAFE"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DSS</w:t>
            </w:r>
          </w:p>
          <w:p w14:paraId="743BCEEB"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LP</w:t>
            </w:r>
          </w:p>
          <w:p w14:paraId="357DF5BF" w14:textId="77777777" w:rsidR="00F848AA" w:rsidRDefault="00000000">
            <w:pPr>
              <w:spacing w:after="0" w:line="240" w:lineRule="auto"/>
              <w:rPr>
                <w:rFonts w:ascii="Arial" w:eastAsia="Arial" w:hAnsi="Arial" w:cs="Arial"/>
                <w:sz w:val="20"/>
                <w:szCs w:val="20"/>
              </w:rPr>
            </w:pPr>
            <w:r>
              <w:rPr>
                <w:rFonts w:ascii="Arial" w:eastAsia="Arial" w:hAnsi="Arial" w:cs="Arial"/>
                <w:sz w:val="20"/>
                <w:szCs w:val="20"/>
              </w:rPr>
              <w:t>DM</w:t>
            </w:r>
          </w:p>
        </w:tc>
      </w:tr>
    </w:tbl>
    <w:p w14:paraId="6A0B12EE" w14:textId="77777777" w:rsidR="00F848AA" w:rsidRDefault="00000000">
      <w:pPr>
        <w:widowControl w:val="0"/>
        <w:spacing w:after="0" w:line="480" w:lineRule="auto"/>
        <w:rPr>
          <w:rFonts w:ascii="Arial" w:eastAsia="Arial" w:hAnsi="Arial" w:cs="Arial"/>
        </w:rPr>
      </w:pPr>
      <w:r>
        <w:rPr>
          <w:rFonts w:ascii="Arial" w:eastAsia="Arial" w:hAnsi="Arial" w:cs="Arial"/>
          <w:vertAlign w:val="superscript"/>
        </w:rPr>
        <w:t>1</w:t>
      </w:r>
      <w:r>
        <w:rPr>
          <w:rFonts w:ascii="Arial" w:eastAsia="Arial" w:hAnsi="Arial" w:cs="Arial"/>
        </w:rPr>
        <w:t xml:space="preserve">Jones et al., IJROBP 2021; </w:t>
      </w:r>
      <w:r>
        <w:rPr>
          <w:rFonts w:ascii="Arial" w:eastAsia="Arial" w:hAnsi="Arial" w:cs="Arial"/>
          <w:vertAlign w:val="superscript"/>
        </w:rPr>
        <w:t>2</w:t>
      </w:r>
      <w:r>
        <w:rPr>
          <w:rFonts w:ascii="Arial" w:eastAsia="Arial" w:hAnsi="Arial" w:cs="Arial"/>
        </w:rPr>
        <w:t xml:space="preserve">Roach et al., Lancet Oncol 2018; </w:t>
      </w:r>
      <w:r>
        <w:rPr>
          <w:rFonts w:ascii="Arial" w:eastAsia="Arial" w:hAnsi="Arial" w:cs="Arial"/>
          <w:vertAlign w:val="superscript"/>
        </w:rPr>
        <w:t>3</w:t>
      </w:r>
      <w:r>
        <w:rPr>
          <w:rFonts w:ascii="Arial" w:eastAsia="Arial" w:hAnsi="Arial" w:cs="Arial"/>
        </w:rPr>
        <w:t xml:space="preserve">Pisansky et al., JCO 2015; </w:t>
      </w:r>
      <w:r>
        <w:rPr>
          <w:rFonts w:ascii="Arial" w:eastAsia="Arial" w:hAnsi="Arial" w:cs="Arial"/>
          <w:vertAlign w:val="superscript"/>
        </w:rPr>
        <w:lastRenderedPageBreak/>
        <w:t>4</w:t>
      </w:r>
      <w:r>
        <w:rPr>
          <w:rFonts w:ascii="Arial" w:eastAsia="Arial" w:hAnsi="Arial" w:cs="Arial"/>
        </w:rPr>
        <w:t xml:space="preserve">Lawton et al., IJROBP 2017; </w:t>
      </w:r>
      <w:r>
        <w:rPr>
          <w:rFonts w:ascii="Arial" w:eastAsia="Arial" w:hAnsi="Arial" w:cs="Arial"/>
          <w:vertAlign w:val="superscript"/>
        </w:rPr>
        <w:t>5</w:t>
      </w:r>
      <w:r>
        <w:rPr>
          <w:rFonts w:ascii="Arial" w:eastAsia="Arial" w:hAnsi="Arial" w:cs="Arial"/>
        </w:rPr>
        <w:t>Michalski et al., JAMA Oncol 2018</w:t>
      </w:r>
    </w:p>
    <w:p w14:paraId="45E220E2" w14:textId="77777777" w:rsidR="00F848AA" w:rsidRDefault="00000000">
      <w:pPr>
        <w:spacing w:line="480" w:lineRule="auto"/>
        <w:rPr>
          <w:rFonts w:ascii="Arial" w:eastAsia="Arial" w:hAnsi="Arial" w:cs="Arial"/>
        </w:rPr>
      </w:pPr>
      <w:r>
        <w:rPr>
          <w:rFonts w:ascii="Arial" w:eastAsia="Arial" w:hAnsi="Arial" w:cs="Arial"/>
        </w:rPr>
        <w:t xml:space="preserve">OS = overall survival; DSM = disease-specific mortality; BF = biochemical failure; DM = distant metastasis; PFS = progression-free survival; LP = local progression; RF = regional failure; PCSF = prostate cancer-specific failure; DSS = disease-specific survival; DFS = disease-free survival; LRP = locoregional progression </w:t>
      </w:r>
    </w:p>
    <w:p w14:paraId="0F145193" w14:textId="77777777" w:rsidR="00F848AA" w:rsidRDefault="00000000">
      <w:pPr>
        <w:spacing w:line="480" w:lineRule="auto"/>
        <w:jc w:val="both"/>
        <w:rPr>
          <w:rFonts w:ascii="Arial" w:eastAsia="Arial" w:hAnsi="Arial" w:cs="Arial"/>
          <w:b/>
        </w:rPr>
      </w:pPr>
      <w:r>
        <w:br w:type="page"/>
      </w:r>
    </w:p>
    <w:p w14:paraId="198A3538" w14:textId="77777777" w:rsidR="00F848AA" w:rsidRDefault="00000000">
      <w:pPr>
        <w:pStyle w:val="Heading1"/>
        <w:spacing w:line="480" w:lineRule="auto"/>
      </w:pPr>
      <w:bookmarkStart w:id="10" w:name="_17dp8vu" w:colFirst="0" w:colLast="0"/>
      <w:bookmarkEnd w:id="10"/>
      <w:r>
        <w:lastRenderedPageBreak/>
        <w:t xml:space="preserve">Table S2. Study summary and patient baseline characteristics for all NRG/RTOG trials used for model development and validation. </w:t>
      </w:r>
    </w:p>
    <w:p w14:paraId="66285D63" w14:textId="77777777" w:rsidR="00F848AA" w:rsidRDefault="00000000">
      <w:pPr>
        <w:spacing w:line="480" w:lineRule="auto"/>
        <w:jc w:val="both"/>
        <w:rPr>
          <w:rFonts w:ascii="Arial" w:eastAsia="Arial" w:hAnsi="Arial" w:cs="Arial"/>
        </w:rPr>
      </w:pPr>
      <w:r>
        <w:rPr>
          <w:rFonts w:ascii="Arial" w:eastAsia="Arial" w:hAnsi="Arial" w:cs="Arial"/>
          <w:color w:val="000000"/>
        </w:rPr>
        <w:t xml:space="preserve"> </w:t>
      </w:r>
      <w:r>
        <w:rPr>
          <w:rFonts w:ascii="Arial" w:eastAsia="Arial" w:hAnsi="Arial" w:cs="Arial"/>
          <w:noProof/>
          <w:color w:val="000000"/>
        </w:rPr>
        <w:drawing>
          <wp:inline distT="0" distB="0" distL="0" distR="0" wp14:anchorId="081E5367" wp14:editId="0E724613">
            <wp:extent cx="5280945" cy="7344895"/>
            <wp:effectExtent l="0" t="0" r="0" b="0"/>
            <wp:docPr id="21" name="image20.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0.png" descr="Table&#10;&#10;Description automatically generated"/>
                    <pic:cNvPicPr preferRelativeResize="0"/>
                  </pic:nvPicPr>
                  <pic:blipFill>
                    <a:blip r:embed="rId32"/>
                    <a:srcRect l="2121" b="32407"/>
                    <a:stretch>
                      <a:fillRect/>
                    </a:stretch>
                  </pic:blipFill>
                  <pic:spPr>
                    <a:xfrm>
                      <a:off x="0" y="0"/>
                      <a:ext cx="5280945" cy="7344895"/>
                    </a:xfrm>
                    <a:prstGeom prst="rect">
                      <a:avLst/>
                    </a:prstGeom>
                    <a:ln/>
                  </pic:spPr>
                </pic:pic>
              </a:graphicData>
            </a:graphic>
          </wp:inline>
        </w:drawing>
      </w:r>
    </w:p>
    <w:p w14:paraId="35939A13" w14:textId="77777777" w:rsidR="00F848AA" w:rsidRDefault="00000000">
      <w:pPr>
        <w:pBdr>
          <w:top w:val="nil"/>
          <w:left w:val="nil"/>
          <w:bottom w:val="nil"/>
          <w:right w:val="nil"/>
          <w:between w:val="nil"/>
        </w:pBdr>
        <w:spacing w:line="480" w:lineRule="auto"/>
        <w:jc w:val="both"/>
        <w:rPr>
          <w:rFonts w:ascii="Arial" w:eastAsia="Arial" w:hAnsi="Arial" w:cs="Arial"/>
        </w:rPr>
      </w:pPr>
      <w:r>
        <w:rPr>
          <w:rFonts w:ascii="Arial" w:eastAsia="Arial" w:hAnsi="Arial" w:cs="Arial"/>
        </w:rPr>
        <w:lastRenderedPageBreak/>
        <w:t>3D/IMRT = i</w:t>
      </w:r>
      <w:r>
        <w:rPr>
          <w:rFonts w:ascii="Arial" w:eastAsia="Arial" w:hAnsi="Arial" w:cs="Arial"/>
          <w:color w:val="202124"/>
          <w:sz w:val="24"/>
          <w:szCs w:val="24"/>
          <w:highlight w:val="white"/>
        </w:rPr>
        <w:t>ntensity-modulated radiotherapy</w:t>
      </w:r>
      <w:r>
        <w:rPr>
          <w:rFonts w:ascii="Arial" w:eastAsia="Arial" w:hAnsi="Arial" w:cs="Arial"/>
        </w:rPr>
        <w:t xml:space="preserve">; </w:t>
      </w:r>
      <w:proofErr w:type="spellStart"/>
      <w:r>
        <w:rPr>
          <w:rFonts w:ascii="Arial" w:eastAsia="Arial" w:hAnsi="Arial" w:cs="Arial"/>
        </w:rPr>
        <w:t>Wks</w:t>
      </w:r>
      <w:proofErr w:type="spellEnd"/>
      <w:r>
        <w:rPr>
          <w:rFonts w:ascii="Arial" w:eastAsia="Arial" w:hAnsi="Arial" w:cs="Arial"/>
        </w:rPr>
        <w:t xml:space="preserve"> = weeks; RT = radiotherapy; HT = hormone therapy; IQR = interquartile range; PSA = prostate-specific antigen; ng/mL = nanograms per milliliter.</w:t>
      </w:r>
    </w:p>
    <w:p w14:paraId="7A8A8F15" w14:textId="77777777" w:rsidR="00F848AA" w:rsidRDefault="00F848AA">
      <w:pPr>
        <w:pBdr>
          <w:top w:val="nil"/>
          <w:left w:val="nil"/>
          <w:bottom w:val="nil"/>
          <w:right w:val="nil"/>
          <w:between w:val="nil"/>
        </w:pBdr>
        <w:spacing w:line="480" w:lineRule="auto"/>
        <w:jc w:val="both"/>
        <w:rPr>
          <w:rFonts w:ascii="Arial" w:eastAsia="Arial" w:hAnsi="Arial" w:cs="Arial"/>
        </w:rPr>
      </w:pPr>
    </w:p>
    <w:p w14:paraId="30A02412" w14:textId="77777777" w:rsidR="00F848AA" w:rsidRDefault="00000000">
      <w:pPr>
        <w:pStyle w:val="Heading1"/>
        <w:spacing w:line="480" w:lineRule="auto"/>
      </w:pPr>
      <w:bookmarkStart w:id="11" w:name="_3rdcrjn" w:colFirst="0" w:colLast="0"/>
      <w:bookmarkEnd w:id="11"/>
      <w:r>
        <w:br w:type="page"/>
      </w:r>
      <w:r>
        <w:lastRenderedPageBreak/>
        <w:t>Table S3. Representativeness of patient cohort</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0"/>
        <w:gridCol w:w="6360"/>
      </w:tblGrid>
      <w:tr w:rsidR="00F848AA" w14:paraId="2D408811" w14:textId="77777777">
        <w:tc>
          <w:tcPr>
            <w:tcW w:w="3000" w:type="dxa"/>
            <w:shd w:val="clear" w:color="auto" w:fill="auto"/>
            <w:tcMar>
              <w:top w:w="100" w:type="dxa"/>
              <w:left w:w="100" w:type="dxa"/>
              <w:bottom w:w="100" w:type="dxa"/>
              <w:right w:w="100" w:type="dxa"/>
            </w:tcMar>
          </w:tcPr>
          <w:p w14:paraId="0A94A1BB" w14:textId="77777777" w:rsidR="00F848AA" w:rsidRDefault="00000000">
            <w:pPr>
              <w:widowControl w:val="0"/>
              <w:spacing w:after="0" w:line="240" w:lineRule="auto"/>
              <w:rPr>
                <w:rFonts w:ascii="Arial" w:eastAsia="Arial" w:hAnsi="Arial" w:cs="Arial"/>
              </w:rPr>
            </w:pPr>
            <w:r>
              <w:rPr>
                <w:rFonts w:ascii="Arial" w:eastAsia="Arial" w:hAnsi="Arial" w:cs="Arial"/>
              </w:rPr>
              <w:t>Disease under investigation</w:t>
            </w:r>
          </w:p>
        </w:tc>
        <w:tc>
          <w:tcPr>
            <w:tcW w:w="6360" w:type="dxa"/>
            <w:shd w:val="clear" w:color="auto" w:fill="auto"/>
            <w:tcMar>
              <w:top w:w="100" w:type="dxa"/>
              <w:left w:w="100" w:type="dxa"/>
              <w:bottom w:w="100" w:type="dxa"/>
              <w:right w:w="100" w:type="dxa"/>
            </w:tcMar>
          </w:tcPr>
          <w:p w14:paraId="030D3896" w14:textId="77777777" w:rsidR="00F848AA" w:rsidRDefault="00000000">
            <w:pPr>
              <w:widowControl w:val="0"/>
              <w:spacing w:after="0" w:line="240" w:lineRule="auto"/>
              <w:rPr>
                <w:rFonts w:ascii="Arial" w:eastAsia="Arial" w:hAnsi="Arial" w:cs="Arial"/>
              </w:rPr>
            </w:pPr>
            <w:r>
              <w:rPr>
                <w:rFonts w:ascii="Arial" w:eastAsia="Arial" w:hAnsi="Arial" w:cs="Arial"/>
              </w:rPr>
              <w:t>Localized Prostate cancer</w:t>
            </w:r>
          </w:p>
        </w:tc>
      </w:tr>
      <w:tr w:rsidR="00F848AA" w14:paraId="0C4CD76C" w14:textId="77777777">
        <w:tc>
          <w:tcPr>
            <w:tcW w:w="3000" w:type="dxa"/>
            <w:shd w:val="clear" w:color="auto" w:fill="auto"/>
            <w:tcMar>
              <w:top w:w="100" w:type="dxa"/>
              <w:left w:w="100" w:type="dxa"/>
              <w:bottom w:w="100" w:type="dxa"/>
              <w:right w:w="100" w:type="dxa"/>
            </w:tcMar>
          </w:tcPr>
          <w:p w14:paraId="1FB0C926" w14:textId="77777777" w:rsidR="00F848AA" w:rsidRDefault="00000000">
            <w:pPr>
              <w:widowControl w:val="0"/>
              <w:spacing w:after="0" w:line="240" w:lineRule="auto"/>
              <w:rPr>
                <w:rFonts w:ascii="Arial" w:eastAsia="Arial" w:hAnsi="Arial" w:cs="Arial"/>
              </w:rPr>
            </w:pPr>
            <w:r>
              <w:rPr>
                <w:rFonts w:ascii="Arial" w:eastAsia="Arial" w:hAnsi="Arial" w:cs="Arial"/>
              </w:rPr>
              <w:t>Race or ethnic group</w:t>
            </w:r>
          </w:p>
        </w:tc>
        <w:tc>
          <w:tcPr>
            <w:tcW w:w="6360" w:type="dxa"/>
            <w:shd w:val="clear" w:color="auto" w:fill="auto"/>
            <w:tcMar>
              <w:top w:w="100" w:type="dxa"/>
              <w:left w:w="100" w:type="dxa"/>
              <w:bottom w:w="100" w:type="dxa"/>
              <w:right w:w="100" w:type="dxa"/>
            </w:tcMar>
          </w:tcPr>
          <w:p w14:paraId="5C218088" w14:textId="77777777" w:rsidR="00F848AA" w:rsidRDefault="00000000">
            <w:pPr>
              <w:widowControl w:val="0"/>
              <w:spacing w:after="0" w:line="240" w:lineRule="auto"/>
              <w:rPr>
                <w:rFonts w:ascii="Arial" w:eastAsia="Arial" w:hAnsi="Arial" w:cs="Arial"/>
              </w:rPr>
            </w:pPr>
            <w:r>
              <w:rPr>
                <w:rFonts w:ascii="Arial" w:eastAsia="Arial" w:hAnsi="Arial" w:cs="Arial"/>
              </w:rPr>
              <w:t>Prostate cancer disproportionately affects African American men in the United States</w:t>
            </w:r>
          </w:p>
        </w:tc>
      </w:tr>
      <w:tr w:rsidR="00F848AA" w14:paraId="26F8E826" w14:textId="77777777">
        <w:tc>
          <w:tcPr>
            <w:tcW w:w="3000" w:type="dxa"/>
            <w:shd w:val="clear" w:color="auto" w:fill="auto"/>
            <w:tcMar>
              <w:top w:w="100" w:type="dxa"/>
              <w:left w:w="100" w:type="dxa"/>
              <w:bottom w:w="100" w:type="dxa"/>
              <w:right w:w="100" w:type="dxa"/>
            </w:tcMar>
          </w:tcPr>
          <w:p w14:paraId="7AF100EE" w14:textId="77777777" w:rsidR="00F848AA" w:rsidRDefault="00000000">
            <w:pPr>
              <w:widowControl w:val="0"/>
              <w:spacing w:after="0" w:line="240" w:lineRule="auto"/>
              <w:rPr>
                <w:rFonts w:ascii="Arial" w:eastAsia="Arial" w:hAnsi="Arial" w:cs="Arial"/>
              </w:rPr>
            </w:pPr>
            <w:r>
              <w:rPr>
                <w:rFonts w:ascii="Arial" w:eastAsia="Arial" w:hAnsi="Arial" w:cs="Arial"/>
              </w:rPr>
              <w:t>Age</w:t>
            </w:r>
          </w:p>
        </w:tc>
        <w:tc>
          <w:tcPr>
            <w:tcW w:w="6360" w:type="dxa"/>
            <w:shd w:val="clear" w:color="auto" w:fill="auto"/>
            <w:tcMar>
              <w:top w:w="100" w:type="dxa"/>
              <w:left w:w="100" w:type="dxa"/>
              <w:bottom w:w="100" w:type="dxa"/>
              <w:right w:w="100" w:type="dxa"/>
            </w:tcMar>
          </w:tcPr>
          <w:p w14:paraId="0ABD9B3B" w14:textId="77777777" w:rsidR="00F848AA" w:rsidRDefault="00000000">
            <w:pPr>
              <w:widowControl w:val="0"/>
              <w:spacing w:after="0" w:line="240" w:lineRule="auto"/>
              <w:rPr>
                <w:rFonts w:ascii="Arial" w:eastAsia="Arial" w:hAnsi="Arial" w:cs="Arial"/>
              </w:rPr>
            </w:pPr>
            <w:r>
              <w:rPr>
                <w:rFonts w:ascii="Arial" w:eastAsia="Arial" w:hAnsi="Arial" w:cs="Arial"/>
              </w:rPr>
              <w:t>Incidence and mortality rates are strongly related to age with the highest incidence being seen in elderly men (&gt; 65 years of age)</w:t>
            </w:r>
          </w:p>
        </w:tc>
      </w:tr>
      <w:tr w:rsidR="00F848AA" w14:paraId="7CF60BAC" w14:textId="77777777">
        <w:tc>
          <w:tcPr>
            <w:tcW w:w="3000" w:type="dxa"/>
            <w:shd w:val="clear" w:color="auto" w:fill="auto"/>
            <w:tcMar>
              <w:top w:w="100" w:type="dxa"/>
              <w:left w:w="100" w:type="dxa"/>
              <w:bottom w:w="100" w:type="dxa"/>
              <w:right w:w="100" w:type="dxa"/>
            </w:tcMar>
          </w:tcPr>
          <w:p w14:paraId="35EEB8BF" w14:textId="77777777" w:rsidR="00F848AA" w:rsidRDefault="00000000">
            <w:pPr>
              <w:widowControl w:val="0"/>
              <w:spacing w:after="0" w:line="240" w:lineRule="auto"/>
              <w:rPr>
                <w:rFonts w:ascii="Arial" w:eastAsia="Arial" w:hAnsi="Arial" w:cs="Arial"/>
              </w:rPr>
            </w:pPr>
            <w:r>
              <w:rPr>
                <w:rFonts w:ascii="Arial" w:eastAsia="Arial" w:hAnsi="Arial" w:cs="Arial"/>
              </w:rPr>
              <w:t>Geography</w:t>
            </w:r>
          </w:p>
        </w:tc>
        <w:tc>
          <w:tcPr>
            <w:tcW w:w="6360" w:type="dxa"/>
            <w:shd w:val="clear" w:color="auto" w:fill="auto"/>
            <w:tcMar>
              <w:top w:w="100" w:type="dxa"/>
              <w:left w:w="100" w:type="dxa"/>
              <w:bottom w:w="100" w:type="dxa"/>
              <w:right w:w="100" w:type="dxa"/>
            </w:tcMar>
          </w:tcPr>
          <w:p w14:paraId="2232410B" w14:textId="77777777" w:rsidR="00F848AA" w:rsidRDefault="00000000">
            <w:pPr>
              <w:widowControl w:val="0"/>
              <w:spacing w:after="0" w:line="240" w:lineRule="auto"/>
              <w:rPr>
                <w:rFonts w:ascii="Arial" w:eastAsia="Arial" w:hAnsi="Arial" w:cs="Arial"/>
              </w:rPr>
            </w:pPr>
            <w:r>
              <w:rPr>
                <w:rFonts w:ascii="Arial" w:eastAsia="Arial" w:hAnsi="Arial" w:cs="Arial"/>
              </w:rPr>
              <w:t>Incidence and mortality rates for prostate cancer vary worldwide, with the greatest incidence in North America and highest mortality rate in Asia.</w:t>
            </w:r>
          </w:p>
        </w:tc>
      </w:tr>
      <w:tr w:rsidR="00F848AA" w14:paraId="79A845BF" w14:textId="77777777">
        <w:tc>
          <w:tcPr>
            <w:tcW w:w="3000" w:type="dxa"/>
            <w:shd w:val="clear" w:color="auto" w:fill="auto"/>
            <w:tcMar>
              <w:top w:w="100" w:type="dxa"/>
              <w:left w:w="100" w:type="dxa"/>
              <w:bottom w:w="100" w:type="dxa"/>
              <w:right w:w="100" w:type="dxa"/>
            </w:tcMar>
          </w:tcPr>
          <w:p w14:paraId="062ACD09" w14:textId="77777777" w:rsidR="00F848AA" w:rsidRDefault="00000000">
            <w:pPr>
              <w:widowControl w:val="0"/>
              <w:spacing w:after="0" w:line="240" w:lineRule="auto"/>
              <w:rPr>
                <w:rFonts w:ascii="Arial" w:eastAsia="Arial" w:hAnsi="Arial" w:cs="Arial"/>
              </w:rPr>
            </w:pPr>
            <w:r>
              <w:rPr>
                <w:rFonts w:ascii="Arial" w:eastAsia="Arial" w:hAnsi="Arial" w:cs="Arial"/>
              </w:rPr>
              <w:t>Overall representativeness of study</w:t>
            </w:r>
          </w:p>
        </w:tc>
        <w:tc>
          <w:tcPr>
            <w:tcW w:w="6360" w:type="dxa"/>
            <w:shd w:val="clear" w:color="auto" w:fill="auto"/>
            <w:tcMar>
              <w:top w:w="100" w:type="dxa"/>
              <w:left w:w="100" w:type="dxa"/>
              <w:bottom w:w="100" w:type="dxa"/>
              <w:right w:w="100" w:type="dxa"/>
            </w:tcMar>
          </w:tcPr>
          <w:p w14:paraId="33087603" w14:textId="77777777" w:rsidR="00F848AA" w:rsidRDefault="00000000">
            <w:pPr>
              <w:widowControl w:val="0"/>
              <w:spacing w:after="0" w:line="240" w:lineRule="auto"/>
              <w:rPr>
                <w:rFonts w:ascii="Arial" w:eastAsia="Arial" w:hAnsi="Arial" w:cs="Arial"/>
              </w:rPr>
            </w:pPr>
            <w:r>
              <w:rPr>
                <w:rFonts w:ascii="Arial" w:eastAsia="Arial" w:hAnsi="Arial" w:cs="Arial"/>
              </w:rPr>
              <w:t>The study population included patients from North America. Prostate cancer patients are younger outside North America thus, the age distribution in the current study population differs from that in some countries. In the RTOG-9408 validation set of 1,594 patients, there were 306 (19.2%) Black, 1,220 (76.5%) White, 68 (4.3%) Other/Unknown men. In the US, 488,375 men were diagnosed with localized prostate cancer from 2015-2019</w:t>
            </w:r>
            <w:hyperlink r:id="rId33" w:history="1">
              <w:r>
                <w:rPr>
                  <w:rFonts w:ascii="Arial" w:eastAsia="Arial" w:hAnsi="Arial" w:cs="Arial"/>
                  <w:color w:val="000000"/>
                  <w:vertAlign w:val="superscript"/>
                </w:rPr>
                <w:t>10</w:t>
              </w:r>
            </w:hyperlink>
            <w:r>
              <w:rPr>
                <w:rFonts w:ascii="Arial" w:eastAsia="Arial" w:hAnsi="Arial" w:cs="Arial"/>
              </w:rPr>
              <w:t>. Of these men, there were 76,374 Black (15.6%) and 253,697 White (52%) men.</w:t>
            </w:r>
          </w:p>
          <w:p w14:paraId="66A41D37" w14:textId="77777777" w:rsidR="00F848AA" w:rsidRDefault="00F848AA">
            <w:pPr>
              <w:widowControl w:val="0"/>
              <w:spacing w:after="0" w:line="240" w:lineRule="auto"/>
              <w:rPr>
                <w:rFonts w:ascii="Arial" w:eastAsia="Arial" w:hAnsi="Arial" w:cs="Arial"/>
              </w:rPr>
            </w:pPr>
          </w:p>
          <w:p w14:paraId="4101B5CD" w14:textId="65506512" w:rsidR="00F848AA" w:rsidRDefault="00F848AA">
            <w:pPr>
              <w:widowControl w:val="0"/>
              <w:spacing w:after="0" w:line="240" w:lineRule="auto"/>
              <w:rPr>
                <w:rFonts w:ascii="Arial" w:eastAsia="Arial" w:hAnsi="Arial" w:cs="Arial"/>
              </w:rPr>
            </w:pPr>
          </w:p>
        </w:tc>
      </w:tr>
    </w:tbl>
    <w:p w14:paraId="4788AD24" w14:textId="77777777" w:rsidR="00F848AA" w:rsidRDefault="00F848AA">
      <w:pPr>
        <w:spacing w:after="0" w:line="276" w:lineRule="auto"/>
        <w:rPr>
          <w:rFonts w:ascii="Arial" w:eastAsia="Arial" w:hAnsi="Arial" w:cs="Arial"/>
        </w:rPr>
      </w:pPr>
    </w:p>
    <w:p w14:paraId="6167288D" w14:textId="77777777" w:rsidR="00F848AA" w:rsidRDefault="00000000">
      <w:pPr>
        <w:pStyle w:val="Heading1"/>
        <w:spacing w:line="480" w:lineRule="auto"/>
      </w:pPr>
      <w:bookmarkStart w:id="12" w:name="_26in1rg" w:colFirst="0" w:colLast="0"/>
      <w:bookmarkEnd w:id="12"/>
      <w:r>
        <w:br w:type="page"/>
      </w:r>
    </w:p>
    <w:p w14:paraId="4D8B8755" w14:textId="77777777" w:rsidR="00F848AA" w:rsidRDefault="00000000">
      <w:pPr>
        <w:pStyle w:val="Heading1"/>
        <w:spacing w:line="480" w:lineRule="auto"/>
      </w:pPr>
      <w:bookmarkStart w:id="13" w:name="_lnxbz9" w:colFirst="0" w:colLast="0"/>
      <w:bookmarkEnd w:id="13"/>
      <w:r>
        <w:lastRenderedPageBreak/>
        <w:t>Table S4. Patient baseline characteristics for the development cohort.</w:t>
      </w:r>
    </w:p>
    <w:p w14:paraId="7CD3A71C" w14:textId="77777777" w:rsidR="00F848AA" w:rsidRDefault="00000000">
      <w:pPr>
        <w:spacing w:line="480" w:lineRule="auto"/>
        <w:jc w:val="both"/>
        <w:rPr>
          <w:rFonts w:ascii="Arial" w:eastAsia="Arial" w:hAnsi="Arial" w:cs="Arial"/>
          <w:b/>
        </w:rPr>
      </w:pPr>
      <w:r>
        <w:rPr>
          <w:rFonts w:ascii="Arial" w:eastAsia="Arial" w:hAnsi="Arial" w:cs="Arial"/>
          <w:b/>
          <w:color w:val="000000"/>
        </w:rPr>
        <w:t xml:space="preserve"> </w:t>
      </w:r>
      <w:r>
        <w:rPr>
          <w:rFonts w:ascii="Arial" w:eastAsia="Arial" w:hAnsi="Arial" w:cs="Arial"/>
          <w:b/>
          <w:noProof/>
          <w:color w:val="000000"/>
        </w:rPr>
        <w:drawing>
          <wp:inline distT="0" distB="0" distL="0" distR="0" wp14:anchorId="50F70E75" wp14:editId="30F28A41">
            <wp:extent cx="5266690" cy="3773170"/>
            <wp:effectExtent l="0" t="0" r="0" b="0"/>
            <wp:docPr id="22" name="image21.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1.png" descr="Table&#10;&#10;Description automatically generated"/>
                    <pic:cNvPicPr preferRelativeResize="0"/>
                  </pic:nvPicPr>
                  <pic:blipFill>
                    <a:blip r:embed="rId34"/>
                    <a:srcRect l="6227" t="4944" r="5150" b="10191"/>
                    <a:stretch>
                      <a:fillRect/>
                    </a:stretch>
                  </pic:blipFill>
                  <pic:spPr>
                    <a:xfrm>
                      <a:off x="0" y="0"/>
                      <a:ext cx="5266690" cy="3773170"/>
                    </a:xfrm>
                    <a:prstGeom prst="rect">
                      <a:avLst/>
                    </a:prstGeom>
                    <a:ln/>
                  </pic:spPr>
                </pic:pic>
              </a:graphicData>
            </a:graphic>
          </wp:inline>
        </w:drawing>
      </w:r>
    </w:p>
    <w:p w14:paraId="5EBED834" w14:textId="77777777" w:rsidR="00F848AA" w:rsidRDefault="00000000">
      <w:pPr>
        <w:spacing w:line="480" w:lineRule="auto"/>
        <w:jc w:val="both"/>
        <w:rPr>
          <w:rFonts w:ascii="Arial" w:eastAsia="Arial" w:hAnsi="Arial" w:cs="Arial"/>
        </w:rPr>
      </w:pPr>
      <w:r>
        <w:rPr>
          <w:rFonts w:ascii="Arial" w:eastAsia="Arial" w:hAnsi="Arial" w:cs="Arial"/>
        </w:rPr>
        <w:t>RT = radiation therapy; ADT = androgen-deprivation therapy; IQR = interquartile range; PSA = prostate-specific antigen; ng/mL = nanograms per milliliter.</w:t>
      </w:r>
    </w:p>
    <w:p w14:paraId="5A79269E" w14:textId="77777777" w:rsidR="00F848AA" w:rsidRDefault="00F848AA">
      <w:pPr>
        <w:spacing w:after="0" w:line="480" w:lineRule="auto"/>
      </w:pPr>
    </w:p>
    <w:p w14:paraId="74CB7288" w14:textId="77777777" w:rsidR="00F848AA" w:rsidRDefault="00F848AA">
      <w:pPr>
        <w:spacing w:after="0" w:line="480" w:lineRule="auto"/>
      </w:pPr>
    </w:p>
    <w:p w14:paraId="3BF5C444" w14:textId="77777777" w:rsidR="00F848AA" w:rsidRDefault="00000000">
      <w:pPr>
        <w:spacing w:after="0" w:line="480" w:lineRule="auto"/>
        <w:rPr>
          <w:rFonts w:ascii="Arial" w:eastAsia="Arial" w:hAnsi="Arial" w:cs="Arial"/>
          <w:b/>
        </w:rPr>
      </w:pPr>
      <w:r>
        <w:br w:type="page"/>
      </w:r>
    </w:p>
    <w:p w14:paraId="5E773E17" w14:textId="58423E93" w:rsidR="00F848AA" w:rsidRDefault="00000000">
      <w:pPr>
        <w:pStyle w:val="Heading1"/>
        <w:spacing w:line="480" w:lineRule="auto"/>
        <w:rPr>
          <w:sz w:val="24"/>
          <w:szCs w:val="24"/>
        </w:rPr>
      </w:pPr>
      <w:bookmarkStart w:id="14" w:name="_35nkun2" w:colFirst="0" w:colLast="0"/>
      <w:bookmarkEnd w:id="14"/>
      <w:r>
        <w:lastRenderedPageBreak/>
        <w:t>Table S5. Patient baseline characteristics by predictive model group in NRG/RTOG 9408</w:t>
      </w:r>
      <w:r>
        <w:rPr>
          <w:sz w:val="24"/>
          <w:szCs w:val="24"/>
        </w:rPr>
        <w:t>.</w:t>
      </w:r>
      <w:r>
        <w:rPr>
          <w:color w:val="000000"/>
        </w:rPr>
        <w:t xml:space="preserve"> </w:t>
      </w:r>
    </w:p>
    <w:p w14:paraId="1F95ECF2" w14:textId="77777777" w:rsidR="00F848AA" w:rsidRDefault="00000000">
      <w:pPr>
        <w:spacing w:line="480" w:lineRule="auto"/>
        <w:jc w:val="both"/>
        <w:rPr>
          <w:rFonts w:ascii="Arial" w:eastAsia="Arial" w:hAnsi="Arial" w:cs="Arial"/>
        </w:rPr>
      </w:pPr>
      <w:r>
        <w:rPr>
          <w:rFonts w:ascii="Arial" w:eastAsia="Arial" w:hAnsi="Arial" w:cs="Arial"/>
          <w:noProof/>
          <w:color w:val="000000"/>
        </w:rPr>
        <w:drawing>
          <wp:inline distT="114300" distB="114300" distL="114300" distR="114300" wp14:anchorId="63AE9ABB" wp14:editId="3C72DDD6">
            <wp:extent cx="4733925" cy="71628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5"/>
                    <a:srcRect l="17507" t="2815" r="16826"/>
                    <a:stretch>
                      <a:fillRect/>
                    </a:stretch>
                  </pic:blipFill>
                  <pic:spPr>
                    <a:xfrm>
                      <a:off x="0" y="0"/>
                      <a:ext cx="4733925" cy="7162800"/>
                    </a:xfrm>
                    <a:prstGeom prst="rect">
                      <a:avLst/>
                    </a:prstGeom>
                    <a:ln/>
                  </pic:spPr>
                </pic:pic>
              </a:graphicData>
            </a:graphic>
          </wp:inline>
        </w:drawing>
      </w:r>
    </w:p>
    <w:p w14:paraId="55AFCBAA" w14:textId="77777777" w:rsidR="00F848AA" w:rsidRDefault="00000000">
      <w:pPr>
        <w:spacing w:before="120" w:after="120" w:line="480" w:lineRule="auto"/>
        <w:jc w:val="both"/>
        <w:rPr>
          <w:rFonts w:ascii="Arial" w:eastAsia="Arial" w:hAnsi="Arial" w:cs="Arial"/>
        </w:rPr>
      </w:pPr>
      <w:r>
        <w:rPr>
          <w:rFonts w:ascii="Arial" w:eastAsia="Arial" w:hAnsi="Arial" w:cs="Arial"/>
        </w:rPr>
        <w:t>IQR = interquartile range; PSA = prostate-specific antigen; ng/mL = nanograms per milliliter.</w:t>
      </w:r>
    </w:p>
    <w:p w14:paraId="54252B19" w14:textId="77777777" w:rsidR="00F848AA" w:rsidRDefault="00000000">
      <w:pPr>
        <w:spacing w:line="480" w:lineRule="auto"/>
        <w:rPr>
          <w:rFonts w:ascii="Arial" w:eastAsia="Arial" w:hAnsi="Arial" w:cs="Arial"/>
        </w:rPr>
      </w:pPr>
      <w:bookmarkStart w:id="15" w:name="_1ksv4uv" w:colFirst="0" w:colLast="0"/>
      <w:bookmarkEnd w:id="15"/>
      <w:r>
        <w:rPr>
          <w:rFonts w:ascii="Arial" w:eastAsia="Arial" w:hAnsi="Arial" w:cs="Arial"/>
        </w:rPr>
        <w:lastRenderedPageBreak/>
        <w:t xml:space="preserve">DM = distant metastasis; PCSM = prostate cancer-specific mortality; RT = radiation therapy; ST-ADT = short-term androgen-deprivation therapy; </w:t>
      </w:r>
      <w:proofErr w:type="spellStart"/>
      <w:r>
        <w:rPr>
          <w:rFonts w:ascii="Arial" w:eastAsia="Arial" w:hAnsi="Arial" w:cs="Arial"/>
        </w:rPr>
        <w:t>sHR</w:t>
      </w:r>
      <w:proofErr w:type="spellEnd"/>
      <w:r>
        <w:rPr>
          <w:rFonts w:ascii="Arial" w:eastAsia="Arial" w:hAnsi="Arial" w:cs="Arial"/>
        </w:rPr>
        <w:t xml:space="preserve"> = </w:t>
      </w:r>
      <w:proofErr w:type="spellStart"/>
      <w:r>
        <w:rPr>
          <w:rFonts w:ascii="Arial" w:eastAsia="Arial" w:hAnsi="Arial" w:cs="Arial"/>
        </w:rPr>
        <w:t>subdistribution</w:t>
      </w:r>
      <w:proofErr w:type="spellEnd"/>
      <w:r>
        <w:rPr>
          <w:rFonts w:ascii="Arial" w:eastAsia="Arial" w:hAnsi="Arial" w:cs="Arial"/>
        </w:rPr>
        <w:t xml:space="preserve"> hazard ratio; CI = confidence interval.</w:t>
      </w:r>
    </w:p>
    <w:p w14:paraId="30F33EF7" w14:textId="77777777" w:rsidR="00F848AA" w:rsidRDefault="00F848AA">
      <w:pPr>
        <w:spacing w:line="480" w:lineRule="auto"/>
        <w:rPr>
          <w:rFonts w:ascii="Arial" w:eastAsia="Arial" w:hAnsi="Arial" w:cs="Arial"/>
        </w:rPr>
      </w:pPr>
    </w:p>
    <w:p w14:paraId="7EC35E3F" w14:textId="77777777" w:rsidR="00F848AA" w:rsidRDefault="00000000">
      <w:pPr>
        <w:rPr>
          <w:rFonts w:ascii="Arial" w:eastAsia="Arial" w:hAnsi="Arial" w:cs="Arial"/>
        </w:rPr>
      </w:pPr>
      <w:r>
        <w:br w:type="page"/>
      </w:r>
    </w:p>
    <w:p w14:paraId="280392E5" w14:textId="77777777" w:rsidR="00F848AA" w:rsidRDefault="00000000">
      <w:pPr>
        <w:pStyle w:val="Heading1"/>
      </w:pPr>
      <w:bookmarkStart w:id="16" w:name="_44sinio" w:colFirst="0" w:colLast="0"/>
      <w:bookmarkEnd w:id="16"/>
      <w:r>
        <w:lastRenderedPageBreak/>
        <w:t>Table S6. Prognostic evaluation of the biomarker in NRG/RTOG 9408</w:t>
      </w:r>
    </w:p>
    <w:p w14:paraId="49418E2B" w14:textId="193C197B" w:rsidR="00AC4914" w:rsidRDefault="00AC4914">
      <w:pPr>
        <w:spacing w:line="480" w:lineRule="auto"/>
        <w:rPr>
          <w:rFonts w:ascii="Arial" w:eastAsia="Arial" w:hAnsi="Arial" w:cs="Arial"/>
        </w:rPr>
      </w:pPr>
      <w:r>
        <w:rPr>
          <w:rFonts w:ascii="Arial" w:eastAsia="Arial" w:hAnsi="Arial" w:cs="Arial"/>
          <w:noProof/>
        </w:rPr>
        <w:drawing>
          <wp:inline distT="0" distB="0" distL="0" distR="0" wp14:anchorId="2CFB3D0A" wp14:editId="3F88965C">
            <wp:extent cx="5943600" cy="1431925"/>
            <wp:effectExtent l="0" t="0" r="0" b="3175"/>
            <wp:docPr id="27" name="Picture 27"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Text&#10;&#10;Description automatically generated with medium confidenc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43600" cy="1431925"/>
                    </a:xfrm>
                    <a:prstGeom prst="rect">
                      <a:avLst/>
                    </a:prstGeom>
                  </pic:spPr>
                </pic:pic>
              </a:graphicData>
            </a:graphic>
          </wp:inline>
        </w:drawing>
      </w:r>
    </w:p>
    <w:p w14:paraId="74F6DEEC" w14:textId="77777777" w:rsidR="00F848AA" w:rsidRDefault="00000000">
      <w:pPr>
        <w:spacing w:line="480" w:lineRule="auto"/>
        <w:rPr>
          <w:rFonts w:ascii="Arial" w:eastAsia="Arial" w:hAnsi="Arial" w:cs="Arial"/>
        </w:rPr>
      </w:pPr>
      <w:r>
        <w:rPr>
          <w:rFonts w:ascii="Arial" w:eastAsia="Arial" w:hAnsi="Arial" w:cs="Arial"/>
        </w:rPr>
        <w:t xml:space="preserve">DM = distant metastasis; PCSM = prostate cancer-specific mortality; RT = radiation therapy; ST-ADT = short-term androgen-deprivation therapy; </w:t>
      </w:r>
      <w:proofErr w:type="spellStart"/>
      <w:r>
        <w:rPr>
          <w:rFonts w:ascii="Arial" w:eastAsia="Arial" w:hAnsi="Arial" w:cs="Arial"/>
        </w:rPr>
        <w:t>sHR</w:t>
      </w:r>
      <w:proofErr w:type="spellEnd"/>
      <w:r>
        <w:rPr>
          <w:rFonts w:ascii="Arial" w:eastAsia="Arial" w:hAnsi="Arial" w:cs="Arial"/>
        </w:rPr>
        <w:t xml:space="preserve"> = </w:t>
      </w:r>
      <w:proofErr w:type="spellStart"/>
      <w:r>
        <w:rPr>
          <w:rFonts w:ascii="Arial" w:eastAsia="Arial" w:hAnsi="Arial" w:cs="Arial"/>
        </w:rPr>
        <w:t>subdistribution</w:t>
      </w:r>
      <w:proofErr w:type="spellEnd"/>
      <w:r>
        <w:rPr>
          <w:rFonts w:ascii="Arial" w:eastAsia="Arial" w:hAnsi="Arial" w:cs="Arial"/>
        </w:rPr>
        <w:t xml:space="preserve"> hazard ratio; CI = confidence interval; N = number of patients.</w:t>
      </w:r>
    </w:p>
    <w:p w14:paraId="3DD30596" w14:textId="77777777" w:rsidR="00F848AA" w:rsidRDefault="00F848AA">
      <w:pPr>
        <w:spacing w:after="0" w:line="276" w:lineRule="auto"/>
        <w:rPr>
          <w:rFonts w:ascii="Arial" w:eastAsia="Arial" w:hAnsi="Arial" w:cs="Arial"/>
        </w:rPr>
      </w:pPr>
    </w:p>
    <w:p w14:paraId="638A1D16" w14:textId="77777777" w:rsidR="00F848AA" w:rsidRDefault="00F848AA">
      <w:pPr>
        <w:spacing w:line="480" w:lineRule="auto"/>
        <w:rPr>
          <w:rFonts w:ascii="Arial" w:eastAsia="Arial" w:hAnsi="Arial" w:cs="Arial"/>
        </w:rPr>
      </w:pPr>
    </w:p>
    <w:p w14:paraId="448ACDC7" w14:textId="77777777" w:rsidR="00F848AA" w:rsidRDefault="00F848AA">
      <w:pPr>
        <w:spacing w:line="480" w:lineRule="auto"/>
        <w:rPr>
          <w:rFonts w:ascii="Arial" w:eastAsia="Arial" w:hAnsi="Arial" w:cs="Arial"/>
        </w:rPr>
      </w:pPr>
    </w:p>
    <w:p w14:paraId="1C051DA4" w14:textId="77777777" w:rsidR="00F848AA" w:rsidRDefault="00F848AA">
      <w:pPr>
        <w:spacing w:line="480" w:lineRule="auto"/>
        <w:rPr>
          <w:rFonts w:ascii="Arial" w:eastAsia="Arial" w:hAnsi="Arial" w:cs="Arial"/>
        </w:rPr>
      </w:pPr>
    </w:p>
    <w:p w14:paraId="0B4EE7F6" w14:textId="77777777" w:rsidR="00F848AA" w:rsidRDefault="00000000">
      <w:pPr>
        <w:pStyle w:val="Heading1"/>
        <w:spacing w:line="480" w:lineRule="auto"/>
      </w:pPr>
      <w:bookmarkStart w:id="17" w:name="_2jxsxqh" w:colFirst="0" w:colLast="0"/>
      <w:bookmarkEnd w:id="17"/>
      <w:r>
        <w:br w:type="page"/>
      </w:r>
    </w:p>
    <w:p w14:paraId="6D257180" w14:textId="77777777" w:rsidR="00F848AA" w:rsidRDefault="00000000">
      <w:pPr>
        <w:pStyle w:val="Heading1"/>
        <w:spacing w:line="480" w:lineRule="auto"/>
      </w:pPr>
      <w:bookmarkStart w:id="18" w:name="_z337ya" w:colFirst="0" w:colLast="0"/>
      <w:bookmarkEnd w:id="18"/>
      <w:r>
        <w:lastRenderedPageBreak/>
        <w:t>References</w:t>
      </w:r>
    </w:p>
    <w:p w14:paraId="508030FD" w14:textId="77777777" w:rsidR="00F848AA" w:rsidRDefault="00000000">
      <w:pPr>
        <w:widowControl w:val="0"/>
        <w:pBdr>
          <w:top w:val="nil"/>
          <w:left w:val="nil"/>
          <w:bottom w:val="nil"/>
          <w:right w:val="nil"/>
          <w:between w:val="nil"/>
        </w:pBdr>
        <w:spacing w:before="220" w:after="220" w:line="240" w:lineRule="auto"/>
        <w:ind w:left="440" w:hanging="440"/>
        <w:rPr>
          <w:rFonts w:ascii="Arial" w:eastAsia="Arial" w:hAnsi="Arial" w:cs="Arial"/>
          <w:color w:val="000000"/>
        </w:rPr>
      </w:pPr>
      <w:r>
        <w:rPr>
          <w:rFonts w:ascii="Arial" w:eastAsia="Arial" w:hAnsi="Arial" w:cs="Arial"/>
          <w:color w:val="000000"/>
        </w:rPr>
        <w:t xml:space="preserve">1. </w:t>
      </w:r>
      <w:r>
        <w:rPr>
          <w:rFonts w:ascii="Arial" w:eastAsia="Arial" w:hAnsi="Arial" w:cs="Arial"/>
          <w:color w:val="000000"/>
        </w:rPr>
        <w:tab/>
      </w:r>
      <w:hyperlink r:id="rId37">
        <w:r>
          <w:rPr>
            <w:rFonts w:ascii="Arial" w:eastAsia="Arial" w:hAnsi="Arial" w:cs="Arial"/>
            <w:color w:val="000000"/>
          </w:rPr>
          <w:t xml:space="preserve">Mucherino A, Papajorgji PJ, Pardalos PM. k-Nearest Neighbor Classification [Internet]. Data Mining in Agriculture. 2009;83–106. Available from: </w:t>
        </w:r>
      </w:hyperlink>
      <w:hyperlink r:id="rId38">
        <w:r>
          <w:rPr>
            <w:rFonts w:ascii="Arial" w:eastAsia="Arial" w:hAnsi="Arial" w:cs="Arial"/>
            <w:color w:val="000000"/>
          </w:rPr>
          <w:t>http://dx.doi.org/10.1007/978-0-387-88615-2_4</w:t>
        </w:r>
      </w:hyperlink>
    </w:p>
    <w:p w14:paraId="60E42C8E" w14:textId="77777777" w:rsidR="00F848AA" w:rsidRDefault="00000000">
      <w:pPr>
        <w:widowControl w:val="0"/>
        <w:pBdr>
          <w:top w:val="nil"/>
          <w:left w:val="nil"/>
          <w:bottom w:val="nil"/>
          <w:right w:val="nil"/>
          <w:between w:val="nil"/>
        </w:pBdr>
        <w:spacing w:after="220" w:line="240" w:lineRule="auto"/>
        <w:ind w:left="440" w:hanging="440"/>
        <w:rPr>
          <w:rFonts w:ascii="Arial" w:eastAsia="Arial" w:hAnsi="Arial" w:cs="Arial"/>
          <w:color w:val="000000"/>
        </w:rPr>
      </w:pPr>
      <w:r>
        <w:rPr>
          <w:rFonts w:ascii="Arial" w:eastAsia="Arial" w:hAnsi="Arial" w:cs="Arial"/>
          <w:color w:val="000000"/>
        </w:rPr>
        <w:t xml:space="preserve">2. </w:t>
      </w:r>
      <w:r>
        <w:rPr>
          <w:rFonts w:ascii="Arial" w:eastAsia="Arial" w:hAnsi="Arial" w:cs="Arial"/>
          <w:color w:val="000000"/>
        </w:rPr>
        <w:tab/>
      </w:r>
      <w:hyperlink r:id="rId39">
        <w:r>
          <w:rPr>
            <w:rFonts w:ascii="Arial" w:eastAsia="Arial" w:hAnsi="Arial" w:cs="Arial"/>
            <w:color w:val="000000"/>
          </w:rPr>
          <w:t>Austin PC, Stuart EA. Moving towards best practice when using inverse probability of treatment weighting (IPTW) using the propensity score to estimate causal treatment effects in observational studies. Stat Med 2015;34(28):3661–79.</w:t>
        </w:r>
      </w:hyperlink>
    </w:p>
    <w:p w14:paraId="2C8E2AD7" w14:textId="77777777" w:rsidR="00F848AA" w:rsidRDefault="00000000">
      <w:pPr>
        <w:widowControl w:val="0"/>
        <w:pBdr>
          <w:top w:val="nil"/>
          <w:left w:val="nil"/>
          <w:bottom w:val="nil"/>
          <w:right w:val="nil"/>
          <w:between w:val="nil"/>
        </w:pBdr>
        <w:spacing w:after="220" w:line="240" w:lineRule="auto"/>
        <w:ind w:left="440" w:hanging="440"/>
        <w:rPr>
          <w:rFonts w:ascii="Arial" w:eastAsia="Arial" w:hAnsi="Arial" w:cs="Arial"/>
          <w:color w:val="000000"/>
        </w:rPr>
      </w:pPr>
      <w:r>
        <w:rPr>
          <w:rFonts w:ascii="Arial" w:eastAsia="Arial" w:hAnsi="Arial" w:cs="Arial"/>
          <w:color w:val="000000"/>
        </w:rPr>
        <w:t xml:space="preserve">3. </w:t>
      </w:r>
      <w:r>
        <w:rPr>
          <w:rFonts w:ascii="Arial" w:eastAsia="Arial" w:hAnsi="Arial" w:cs="Arial"/>
          <w:color w:val="000000"/>
        </w:rPr>
        <w:tab/>
      </w:r>
      <w:hyperlink r:id="rId40">
        <w:r>
          <w:rPr>
            <w:rFonts w:ascii="Arial" w:eastAsia="Arial" w:hAnsi="Arial" w:cs="Arial"/>
            <w:color w:val="000000"/>
          </w:rPr>
          <w:t xml:space="preserve">Cole SR, </w:t>
        </w:r>
        <w:proofErr w:type="spellStart"/>
        <w:r>
          <w:rPr>
            <w:rFonts w:ascii="Arial" w:eastAsia="Arial" w:hAnsi="Arial" w:cs="Arial"/>
            <w:color w:val="000000"/>
          </w:rPr>
          <w:t>Hernán</w:t>
        </w:r>
        <w:proofErr w:type="spellEnd"/>
        <w:r>
          <w:rPr>
            <w:rFonts w:ascii="Arial" w:eastAsia="Arial" w:hAnsi="Arial" w:cs="Arial"/>
            <w:color w:val="000000"/>
          </w:rPr>
          <w:t xml:space="preserve"> MA. Constructing inverse probability weights for marginal structural models. Am J Epidemiol 2008;168(6):656–64.</w:t>
        </w:r>
      </w:hyperlink>
    </w:p>
    <w:p w14:paraId="650E391E" w14:textId="77777777" w:rsidR="00F848AA" w:rsidRDefault="00000000">
      <w:pPr>
        <w:widowControl w:val="0"/>
        <w:pBdr>
          <w:top w:val="nil"/>
          <w:left w:val="nil"/>
          <w:bottom w:val="nil"/>
          <w:right w:val="nil"/>
          <w:between w:val="nil"/>
        </w:pBdr>
        <w:spacing w:after="220" w:line="240" w:lineRule="auto"/>
        <w:ind w:left="440" w:hanging="440"/>
        <w:rPr>
          <w:rFonts w:ascii="Arial" w:eastAsia="Arial" w:hAnsi="Arial" w:cs="Arial"/>
          <w:color w:val="000000"/>
        </w:rPr>
      </w:pPr>
      <w:r>
        <w:rPr>
          <w:rFonts w:ascii="Arial" w:eastAsia="Arial" w:hAnsi="Arial" w:cs="Arial"/>
          <w:color w:val="000000"/>
        </w:rPr>
        <w:t xml:space="preserve">4. </w:t>
      </w:r>
      <w:r>
        <w:rPr>
          <w:rFonts w:ascii="Arial" w:eastAsia="Arial" w:hAnsi="Arial" w:cs="Arial"/>
          <w:color w:val="000000"/>
        </w:rPr>
        <w:tab/>
      </w:r>
      <w:hyperlink r:id="rId41">
        <w:r>
          <w:rPr>
            <w:rFonts w:ascii="Arial" w:eastAsia="Arial" w:hAnsi="Arial" w:cs="Arial"/>
            <w:color w:val="000000"/>
          </w:rPr>
          <w:t xml:space="preserve">Lee BK, Lessler J, Stuart EA. Weight Trimming and Propensity Score Weighting [Internet]. PLoS ONE. 2011;6(3):e18174. Available from: </w:t>
        </w:r>
      </w:hyperlink>
      <w:hyperlink r:id="rId42">
        <w:r>
          <w:rPr>
            <w:rFonts w:ascii="Arial" w:eastAsia="Arial" w:hAnsi="Arial" w:cs="Arial"/>
            <w:color w:val="000000"/>
          </w:rPr>
          <w:t>http://dx.doi.org/10.1371/journal.pone.0018174</w:t>
        </w:r>
      </w:hyperlink>
    </w:p>
    <w:p w14:paraId="6DB22AE2" w14:textId="77777777" w:rsidR="00F848AA" w:rsidRDefault="00000000">
      <w:pPr>
        <w:widowControl w:val="0"/>
        <w:pBdr>
          <w:top w:val="nil"/>
          <w:left w:val="nil"/>
          <w:bottom w:val="nil"/>
          <w:right w:val="nil"/>
          <w:between w:val="nil"/>
        </w:pBdr>
        <w:spacing w:after="220" w:line="240" w:lineRule="auto"/>
        <w:ind w:left="440" w:hanging="440"/>
        <w:rPr>
          <w:rFonts w:ascii="Arial" w:eastAsia="Arial" w:hAnsi="Arial" w:cs="Arial"/>
          <w:color w:val="000000"/>
        </w:rPr>
      </w:pPr>
      <w:r>
        <w:rPr>
          <w:rFonts w:ascii="Arial" w:eastAsia="Arial" w:hAnsi="Arial" w:cs="Arial"/>
          <w:color w:val="000000"/>
        </w:rPr>
        <w:t xml:space="preserve">5. </w:t>
      </w:r>
      <w:r>
        <w:rPr>
          <w:rFonts w:ascii="Arial" w:eastAsia="Arial" w:hAnsi="Arial" w:cs="Arial"/>
          <w:color w:val="000000"/>
        </w:rPr>
        <w:tab/>
      </w:r>
      <w:hyperlink r:id="rId43">
        <w:r>
          <w:rPr>
            <w:rFonts w:ascii="Arial" w:eastAsia="Arial" w:hAnsi="Arial" w:cs="Arial"/>
            <w:color w:val="000000"/>
          </w:rPr>
          <w:t>Ilse M, Tomczak J, Welling M. Attention-based Deep Multiple Instance Learning. In: Dy J, Krause A, editors. Proceedings of the 35th International Conference on Machine Learning. PMLR; 10--15 Jul 2018. p. 2127–36.</w:t>
        </w:r>
      </w:hyperlink>
    </w:p>
    <w:p w14:paraId="67240B06" w14:textId="77777777" w:rsidR="00F848AA" w:rsidRDefault="00000000">
      <w:pPr>
        <w:widowControl w:val="0"/>
        <w:pBdr>
          <w:top w:val="nil"/>
          <w:left w:val="nil"/>
          <w:bottom w:val="nil"/>
          <w:right w:val="nil"/>
          <w:between w:val="nil"/>
        </w:pBdr>
        <w:spacing w:after="220" w:line="240" w:lineRule="auto"/>
        <w:ind w:left="440" w:hanging="440"/>
        <w:rPr>
          <w:rFonts w:ascii="Arial" w:eastAsia="Arial" w:hAnsi="Arial" w:cs="Arial"/>
          <w:color w:val="000000"/>
        </w:rPr>
      </w:pPr>
      <w:r>
        <w:rPr>
          <w:rFonts w:ascii="Arial" w:eastAsia="Arial" w:hAnsi="Arial" w:cs="Arial"/>
          <w:color w:val="000000"/>
        </w:rPr>
        <w:t xml:space="preserve">6. </w:t>
      </w:r>
      <w:r>
        <w:rPr>
          <w:rFonts w:ascii="Arial" w:eastAsia="Arial" w:hAnsi="Arial" w:cs="Arial"/>
          <w:color w:val="000000"/>
        </w:rPr>
        <w:tab/>
      </w:r>
      <w:hyperlink r:id="rId44">
        <w:r>
          <w:rPr>
            <w:rFonts w:ascii="Arial" w:eastAsia="Arial" w:hAnsi="Arial" w:cs="Arial"/>
            <w:color w:val="000000"/>
          </w:rPr>
          <w:t xml:space="preserve">Katzman JL, </w:t>
        </w:r>
        <w:proofErr w:type="spellStart"/>
        <w:r>
          <w:rPr>
            <w:rFonts w:ascii="Arial" w:eastAsia="Arial" w:hAnsi="Arial" w:cs="Arial"/>
            <w:color w:val="000000"/>
          </w:rPr>
          <w:t>Shaham</w:t>
        </w:r>
        <w:proofErr w:type="spellEnd"/>
        <w:r>
          <w:rPr>
            <w:rFonts w:ascii="Arial" w:eastAsia="Arial" w:hAnsi="Arial" w:cs="Arial"/>
            <w:color w:val="000000"/>
          </w:rPr>
          <w:t xml:space="preserve"> U, Cloninger A, Bates J, Jiang T, Kluger Y. </w:t>
        </w:r>
        <w:proofErr w:type="spellStart"/>
        <w:r>
          <w:rPr>
            <w:rFonts w:ascii="Arial" w:eastAsia="Arial" w:hAnsi="Arial" w:cs="Arial"/>
            <w:color w:val="000000"/>
          </w:rPr>
          <w:t>DeepSurv</w:t>
        </w:r>
        <w:proofErr w:type="spellEnd"/>
        <w:r>
          <w:rPr>
            <w:rFonts w:ascii="Arial" w:eastAsia="Arial" w:hAnsi="Arial" w:cs="Arial"/>
            <w:color w:val="000000"/>
          </w:rPr>
          <w:t xml:space="preserve">: personalized treatment recommender system using a Cox proportional hazards deep neural network. BMC Med Res </w:t>
        </w:r>
        <w:proofErr w:type="spellStart"/>
        <w:r>
          <w:rPr>
            <w:rFonts w:ascii="Arial" w:eastAsia="Arial" w:hAnsi="Arial" w:cs="Arial"/>
            <w:color w:val="000000"/>
          </w:rPr>
          <w:t>Methodol</w:t>
        </w:r>
        <w:proofErr w:type="spellEnd"/>
        <w:r>
          <w:rPr>
            <w:rFonts w:ascii="Arial" w:eastAsia="Arial" w:hAnsi="Arial" w:cs="Arial"/>
            <w:color w:val="000000"/>
          </w:rPr>
          <w:t xml:space="preserve"> 2018;18(1):24.</w:t>
        </w:r>
      </w:hyperlink>
    </w:p>
    <w:p w14:paraId="6CC7C6CF" w14:textId="77777777" w:rsidR="00F848AA" w:rsidRDefault="00000000">
      <w:pPr>
        <w:widowControl w:val="0"/>
        <w:pBdr>
          <w:top w:val="nil"/>
          <w:left w:val="nil"/>
          <w:bottom w:val="nil"/>
          <w:right w:val="nil"/>
          <w:between w:val="nil"/>
        </w:pBdr>
        <w:spacing w:after="220" w:line="240" w:lineRule="auto"/>
        <w:ind w:left="440" w:hanging="440"/>
        <w:rPr>
          <w:rFonts w:ascii="Arial" w:eastAsia="Arial" w:hAnsi="Arial" w:cs="Arial"/>
          <w:color w:val="000000"/>
        </w:rPr>
      </w:pPr>
      <w:r>
        <w:rPr>
          <w:rFonts w:ascii="Arial" w:eastAsia="Arial" w:hAnsi="Arial" w:cs="Arial"/>
          <w:color w:val="000000"/>
        </w:rPr>
        <w:t xml:space="preserve">7. </w:t>
      </w:r>
      <w:r>
        <w:rPr>
          <w:rFonts w:ascii="Arial" w:eastAsia="Arial" w:hAnsi="Arial" w:cs="Arial"/>
          <w:color w:val="000000"/>
        </w:rPr>
        <w:tab/>
      </w:r>
      <w:hyperlink r:id="rId45">
        <w:r>
          <w:rPr>
            <w:rFonts w:ascii="Arial" w:eastAsia="Arial" w:hAnsi="Arial" w:cs="Arial"/>
            <w:color w:val="000000"/>
          </w:rPr>
          <w:t>Breslow N. Covariance analysis of censored survival data. Biometrics 1974;30(1):89–99.</w:t>
        </w:r>
      </w:hyperlink>
    </w:p>
    <w:p w14:paraId="4722E70A" w14:textId="77777777" w:rsidR="00F848AA" w:rsidRDefault="00000000">
      <w:pPr>
        <w:widowControl w:val="0"/>
        <w:pBdr>
          <w:top w:val="nil"/>
          <w:left w:val="nil"/>
          <w:bottom w:val="nil"/>
          <w:right w:val="nil"/>
          <w:between w:val="nil"/>
        </w:pBdr>
        <w:spacing w:after="220" w:line="240" w:lineRule="auto"/>
        <w:ind w:left="440" w:hanging="440"/>
        <w:rPr>
          <w:rFonts w:ascii="Arial" w:eastAsia="Arial" w:hAnsi="Arial" w:cs="Arial"/>
          <w:color w:val="000000"/>
        </w:rPr>
      </w:pPr>
      <w:r>
        <w:rPr>
          <w:rFonts w:ascii="Arial" w:eastAsia="Arial" w:hAnsi="Arial" w:cs="Arial"/>
          <w:color w:val="000000"/>
        </w:rPr>
        <w:t xml:space="preserve">8. </w:t>
      </w:r>
      <w:r>
        <w:rPr>
          <w:rFonts w:ascii="Arial" w:eastAsia="Arial" w:hAnsi="Arial" w:cs="Arial"/>
          <w:color w:val="000000"/>
        </w:rPr>
        <w:tab/>
      </w:r>
      <w:hyperlink r:id="rId46">
        <w:r>
          <w:rPr>
            <w:rFonts w:ascii="Arial" w:eastAsia="Arial" w:hAnsi="Arial" w:cs="Arial"/>
            <w:color w:val="000000"/>
          </w:rPr>
          <w:t xml:space="preserve">Leen TK, </w:t>
        </w:r>
        <w:proofErr w:type="spellStart"/>
        <w:r>
          <w:rPr>
            <w:rFonts w:ascii="Arial" w:eastAsia="Arial" w:hAnsi="Arial" w:cs="Arial"/>
            <w:color w:val="000000"/>
          </w:rPr>
          <w:t>Dietterich</w:t>
        </w:r>
        <w:proofErr w:type="spellEnd"/>
        <w:r>
          <w:rPr>
            <w:rFonts w:ascii="Arial" w:eastAsia="Arial" w:hAnsi="Arial" w:cs="Arial"/>
            <w:color w:val="000000"/>
          </w:rPr>
          <w:t xml:space="preserve"> TG, </w:t>
        </w:r>
        <w:proofErr w:type="spellStart"/>
        <w:r>
          <w:rPr>
            <w:rFonts w:ascii="Arial" w:eastAsia="Arial" w:hAnsi="Arial" w:cs="Arial"/>
            <w:color w:val="000000"/>
          </w:rPr>
          <w:t>Tresp</w:t>
        </w:r>
        <w:proofErr w:type="spellEnd"/>
        <w:r>
          <w:rPr>
            <w:rFonts w:ascii="Arial" w:eastAsia="Arial" w:hAnsi="Arial" w:cs="Arial"/>
            <w:color w:val="000000"/>
          </w:rPr>
          <w:t xml:space="preserve"> V. Advances in Neural Information Processing Systems 13: Proceedings of the 2000 Conference. MIT Press; 2001.</w:t>
        </w:r>
      </w:hyperlink>
    </w:p>
    <w:p w14:paraId="21063D95" w14:textId="77777777" w:rsidR="00F848AA" w:rsidRDefault="00000000">
      <w:pPr>
        <w:widowControl w:val="0"/>
        <w:pBdr>
          <w:top w:val="nil"/>
          <w:left w:val="nil"/>
          <w:bottom w:val="nil"/>
          <w:right w:val="nil"/>
          <w:between w:val="nil"/>
        </w:pBdr>
        <w:spacing w:after="220" w:line="240" w:lineRule="auto"/>
        <w:ind w:left="440" w:hanging="440"/>
        <w:rPr>
          <w:rFonts w:ascii="Arial" w:eastAsia="Arial" w:hAnsi="Arial" w:cs="Arial"/>
          <w:color w:val="000000"/>
        </w:rPr>
      </w:pPr>
      <w:r>
        <w:rPr>
          <w:rFonts w:ascii="Arial" w:eastAsia="Arial" w:hAnsi="Arial" w:cs="Arial"/>
          <w:color w:val="000000"/>
        </w:rPr>
        <w:t xml:space="preserve">9. </w:t>
      </w:r>
      <w:r>
        <w:rPr>
          <w:rFonts w:ascii="Arial" w:eastAsia="Arial" w:hAnsi="Arial" w:cs="Arial"/>
          <w:color w:val="000000"/>
        </w:rPr>
        <w:tab/>
      </w:r>
      <w:hyperlink r:id="rId47">
        <w:r>
          <w:rPr>
            <w:rFonts w:ascii="Arial" w:eastAsia="Arial" w:hAnsi="Arial" w:cs="Arial"/>
            <w:color w:val="000000"/>
          </w:rPr>
          <w:t>Shapley LS. 17. A Value for n-Person Games. In: Kuhn HW, Tucker AW, editors. Contributions to the Theory of Games (AM-28), Volume II. Princeton: Princeton University Press; 1953. p. 307–18.</w:t>
        </w:r>
      </w:hyperlink>
    </w:p>
    <w:p w14:paraId="07753388" w14:textId="77777777" w:rsidR="00F848AA" w:rsidRDefault="00000000">
      <w:pPr>
        <w:widowControl w:val="0"/>
        <w:pBdr>
          <w:top w:val="nil"/>
          <w:left w:val="nil"/>
          <w:bottom w:val="nil"/>
          <w:right w:val="nil"/>
          <w:between w:val="nil"/>
        </w:pBdr>
        <w:spacing w:after="220" w:line="240" w:lineRule="auto"/>
        <w:ind w:left="440" w:hanging="440"/>
        <w:rPr>
          <w:rFonts w:ascii="Arial" w:eastAsia="Arial" w:hAnsi="Arial" w:cs="Arial"/>
          <w:color w:val="000000"/>
        </w:rPr>
      </w:pPr>
      <w:r>
        <w:rPr>
          <w:rFonts w:ascii="Arial" w:eastAsia="Arial" w:hAnsi="Arial" w:cs="Arial"/>
          <w:color w:val="000000"/>
        </w:rPr>
        <w:t xml:space="preserve">10. </w:t>
      </w:r>
      <w:r>
        <w:rPr>
          <w:rFonts w:ascii="Arial" w:eastAsia="Arial" w:hAnsi="Arial" w:cs="Arial"/>
          <w:color w:val="000000"/>
        </w:rPr>
        <w:tab/>
      </w:r>
      <w:hyperlink r:id="rId48">
        <w:r>
          <w:rPr>
            <w:rFonts w:ascii="Arial" w:eastAsia="Arial" w:hAnsi="Arial" w:cs="Arial"/>
            <w:color w:val="000000"/>
          </w:rPr>
          <w:t xml:space="preserve">Cancer of the Prostate - Cancer Stat Facts [Internet]. SEER. [cited 2023 Apr 10];Available from: </w:t>
        </w:r>
      </w:hyperlink>
      <w:hyperlink r:id="rId49">
        <w:r>
          <w:rPr>
            <w:rFonts w:ascii="Arial" w:eastAsia="Arial" w:hAnsi="Arial" w:cs="Arial"/>
            <w:color w:val="000000"/>
          </w:rPr>
          <w:t>https://seer.cancer.gov/statfacts/html/prost.html</w:t>
        </w:r>
      </w:hyperlink>
    </w:p>
    <w:p w14:paraId="364696F0" w14:textId="77777777" w:rsidR="00F848AA" w:rsidRDefault="00F848AA">
      <w:pPr>
        <w:pStyle w:val="Heading1"/>
        <w:spacing w:after="0" w:line="480" w:lineRule="auto"/>
        <w:rPr>
          <w:i/>
          <w:color w:val="222222"/>
          <w:highlight w:val="white"/>
        </w:rPr>
      </w:pPr>
      <w:bookmarkStart w:id="19" w:name="_3j2qqm3" w:colFirst="0" w:colLast="0"/>
      <w:bookmarkEnd w:id="19"/>
    </w:p>
    <w:p w14:paraId="4D19474F" w14:textId="77777777" w:rsidR="00F848AA" w:rsidRDefault="00F848AA">
      <w:pPr>
        <w:spacing w:before="120" w:after="120" w:line="480" w:lineRule="auto"/>
        <w:jc w:val="both"/>
        <w:rPr>
          <w:rFonts w:ascii="Arial" w:eastAsia="Arial" w:hAnsi="Arial" w:cs="Arial"/>
        </w:rPr>
      </w:pPr>
    </w:p>
    <w:sectPr w:rsidR="00F848AA">
      <w:headerReference w:type="even" r:id="rId50"/>
      <w:headerReference w:type="default" r:id="rId51"/>
      <w:footerReference w:type="even" r:id="rId52"/>
      <w:footerReference w:type="default" r:id="rId53"/>
      <w:headerReference w:type="first" r:id="rId54"/>
      <w:footerReference w:type="first" r:id="rId5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ED903" w14:textId="77777777" w:rsidR="00716318" w:rsidRDefault="00716318">
      <w:pPr>
        <w:spacing w:after="0" w:line="240" w:lineRule="auto"/>
      </w:pPr>
      <w:r>
        <w:separator/>
      </w:r>
    </w:p>
  </w:endnote>
  <w:endnote w:type="continuationSeparator" w:id="0">
    <w:p w14:paraId="793D37E5" w14:textId="77777777" w:rsidR="00716318" w:rsidRDefault="00716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Quattrocento Sans">
    <w:panose1 w:val="020B0502050000020003"/>
    <w:charset w:val="00"/>
    <w:family w:val="swiss"/>
    <w:pitch w:val="variable"/>
    <w:sig w:usb0="800000BF" w:usb1="40000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85484" w14:textId="77777777" w:rsidR="00F848AA" w:rsidRDefault="00F848AA">
    <w:pPr>
      <w:pBdr>
        <w:top w:val="nil"/>
        <w:left w:val="nil"/>
        <w:bottom w:val="nil"/>
        <w:right w:val="nil"/>
        <w:between w:val="nil"/>
      </w:pBdr>
      <w:tabs>
        <w:tab w:val="center" w:pos="4680"/>
        <w:tab w:val="right" w:pos="9360"/>
      </w:tabs>
      <w:spacing w:after="0" w:line="240" w:lineRule="auto"/>
      <w:jc w:val="right"/>
      <w:rPr>
        <w:color w:val="000000"/>
      </w:rPr>
    </w:pPr>
  </w:p>
  <w:p w14:paraId="12FF2FC3" w14:textId="77777777" w:rsidR="00F848AA" w:rsidRDefault="00000000">
    <w:pPr>
      <w:pBdr>
        <w:top w:val="nil"/>
        <w:left w:val="nil"/>
        <w:bottom w:val="nil"/>
        <w:right w:val="nil"/>
        <w:between w:val="nil"/>
      </w:pBdr>
      <w:tabs>
        <w:tab w:val="center" w:pos="4680"/>
        <w:tab w:val="right" w:pos="9360"/>
      </w:tabs>
      <w:spacing w:after="0" w:line="240" w:lineRule="auto"/>
      <w:ind w:right="360"/>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62D7FD37" w14:textId="77777777" w:rsidR="00F848AA" w:rsidRDefault="00F848AA">
    <w:pPr>
      <w:widowControl w:val="0"/>
      <w:pBdr>
        <w:top w:val="nil"/>
        <w:left w:val="nil"/>
        <w:bottom w:val="nil"/>
        <w:right w:val="nil"/>
        <w:between w:val="nil"/>
      </w:pBdr>
      <w:spacing w:after="0" w:line="276"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A63B88" w14:textId="77777777" w:rsidR="00F848AA"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BB138A">
      <w:rPr>
        <w:noProof/>
        <w:color w:val="000000"/>
      </w:rPr>
      <w:t>1</w:t>
    </w:r>
    <w:r>
      <w:rPr>
        <w:color w:val="000000"/>
      </w:rPr>
      <w:fldChar w:fldCharType="end"/>
    </w:r>
  </w:p>
  <w:p w14:paraId="6346BA81" w14:textId="77777777" w:rsidR="00F848AA" w:rsidRDefault="00F848AA">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B3435" w14:textId="77777777" w:rsidR="00F848AA" w:rsidRDefault="00F848AA">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F7A667" w14:textId="77777777" w:rsidR="00716318" w:rsidRDefault="00716318">
      <w:pPr>
        <w:spacing w:after="0" w:line="240" w:lineRule="auto"/>
      </w:pPr>
      <w:r>
        <w:separator/>
      </w:r>
    </w:p>
  </w:footnote>
  <w:footnote w:type="continuationSeparator" w:id="0">
    <w:p w14:paraId="32B3EAD4" w14:textId="77777777" w:rsidR="00716318" w:rsidRDefault="007163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04D6E" w14:textId="77777777" w:rsidR="00F848AA" w:rsidRDefault="00F848AA">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BB189" w14:textId="77777777" w:rsidR="00F848AA" w:rsidRDefault="00F848AA">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17D9D" w14:textId="77777777" w:rsidR="00F848AA" w:rsidRDefault="00F848AA">
    <w:pPr>
      <w:pBdr>
        <w:top w:val="nil"/>
        <w:left w:val="nil"/>
        <w:bottom w:val="nil"/>
        <w:right w:val="nil"/>
        <w:between w:val="nil"/>
      </w:pBdr>
      <w:spacing w:after="0" w:line="240" w:lineRule="auto"/>
      <w:rPr>
        <w:rFonts w:ascii="Quattrocento Sans" w:eastAsia="Quattrocento Sans" w:hAnsi="Quattrocento Sans" w:cs="Quattrocento Sans"/>
        <w:color w:val="000000"/>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8AA"/>
    <w:rsid w:val="000A74AB"/>
    <w:rsid w:val="00100E34"/>
    <w:rsid w:val="0021689A"/>
    <w:rsid w:val="002233B4"/>
    <w:rsid w:val="00340531"/>
    <w:rsid w:val="004C4D9D"/>
    <w:rsid w:val="006827D5"/>
    <w:rsid w:val="006A0D2B"/>
    <w:rsid w:val="00716318"/>
    <w:rsid w:val="00AC4914"/>
    <w:rsid w:val="00B55369"/>
    <w:rsid w:val="00BB138A"/>
    <w:rsid w:val="00F848AA"/>
    <w:rsid w:val="00FE7729"/>
    <w:rsid w:val="0D32B05C"/>
    <w:rsid w:val="337CF9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C6C82C"/>
  <w15:docId w15:val="{BA784329-ADAA-B94C-A0F2-62E10C797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jc w:val="both"/>
      <w:outlineLvl w:val="0"/>
    </w:pPr>
    <w:rPr>
      <w:rFonts w:ascii="Arial" w:eastAsia="Arial" w:hAnsi="Arial" w:cs="Arial"/>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AC4914"/>
    <w:pPr>
      <w:spacing w:after="0" w:line="240" w:lineRule="auto"/>
    </w:pPr>
  </w:style>
  <w:style w:type="paragraph" w:styleId="CommentSubject">
    <w:name w:val="annotation subject"/>
    <w:basedOn w:val="CommentText"/>
    <w:next w:val="CommentText"/>
    <w:link w:val="CommentSubjectChar"/>
    <w:uiPriority w:val="99"/>
    <w:semiHidden/>
    <w:unhideWhenUsed/>
    <w:rsid w:val="0021689A"/>
    <w:rPr>
      <w:b/>
      <w:bCs/>
    </w:rPr>
  </w:style>
  <w:style w:type="character" w:customStyle="1" w:styleId="CommentSubjectChar">
    <w:name w:val="Comment Subject Char"/>
    <w:basedOn w:val="CommentTextChar"/>
    <w:link w:val="CommentSubject"/>
    <w:uiPriority w:val="99"/>
    <w:semiHidden/>
    <w:rsid w:val="0021689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4.png"/><Relationship Id="rId39" Type="http://schemas.openxmlformats.org/officeDocument/2006/relationships/hyperlink" Target="http://paperpile.com/b/ZtjH43/D5qQZ" TargetMode="External"/><Relationship Id="rId21" Type="http://schemas.openxmlformats.org/officeDocument/2006/relationships/image" Target="media/image11.png"/><Relationship Id="rId34" Type="http://schemas.openxmlformats.org/officeDocument/2006/relationships/image" Target="media/image20.png"/><Relationship Id="rId42" Type="http://schemas.openxmlformats.org/officeDocument/2006/relationships/hyperlink" Target="http://dx.doi.org/10.1371/journal.pone.0018174" TargetMode="External"/><Relationship Id="rId47" Type="http://schemas.openxmlformats.org/officeDocument/2006/relationships/hyperlink" Target="http://paperpile.com/b/ZtjH43/1G0NN" TargetMode="External"/><Relationship Id="rId50" Type="http://schemas.openxmlformats.org/officeDocument/2006/relationships/header" Target="header1.xml"/><Relationship Id="rId55" Type="http://schemas.openxmlformats.org/officeDocument/2006/relationships/footer" Target="footer3.xml"/><Relationship Id="rId7" Type="http://schemas.openxmlformats.org/officeDocument/2006/relationships/hyperlink" Target="https://paperpile.com/c/ZtjH43/D5qQZ" TargetMode="External"/><Relationship Id="rId2" Type="http://schemas.openxmlformats.org/officeDocument/2006/relationships/settings" Target="settings.xml"/><Relationship Id="rId16" Type="http://schemas.openxmlformats.org/officeDocument/2006/relationships/image" Target="media/image6.png"/><Relationship Id="rId29" Type="http://schemas.openxmlformats.org/officeDocument/2006/relationships/hyperlink" Target="https://paperpile.com/c/ZtjH43/1G0NN" TargetMode="External"/><Relationship Id="rId11" Type="http://schemas.openxmlformats.org/officeDocument/2006/relationships/image" Target="media/image1.png"/><Relationship Id="rId24" Type="http://schemas.openxmlformats.org/officeDocument/2006/relationships/hyperlink" Target="https://paperpile.com/c/ZtjH43/FzPTz" TargetMode="External"/><Relationship Id="rId32" Type="http://schemas.openxmlformats.org/officeDocument/2006/relationships/image" Target="media/image19.png"/><Relationship Id="rId37" Type="http://schemas.openxmlformats.org/officeDocument/2006/relationships/hyperlink" Target="http://paperpile.com/b/ZtjH43/3s1WC" TargetMode="External"/><Relationship Id="rId40" Type="http://schemas.openxmlformats.org/officeDocument/2006/relationships/hyperlink" Target="http://paperpile.com/b/ZtjH43/CT0J4" TargetMode="External"/><Relationship Id="rId45" Type="http://schemas.openxmlformats.org/officeDocument/2006/relationships/hyperlink" Target="http://paperpile.com/b/ZtjH43/FzPTz" TargetMode="External"/><Relationship Id="rId53" Type="http://schemas.openxmlformats.org/officeDocument/2006/relationships/footer" Target="footer2.xml"/><Relationship Id="rId5"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footnotes" Target="footnotes.xml"/><Relationship Id="rId9" Type="http://schemas.openxmlformats.org/officeDocument/2006/relationships/hyperlink" Target="https://paperpile.com/c/ZtjH43/rhMvm"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5.png"/><Relationship Id="rId30" Type="http://schemas.openxmlformats.org/officeDocument/2006/relationships/image" Target="media/image17.png"/><Relationship Id="rId35" Type="http://schemas.openxmlformats.org/officeDocument/2006/relationships/image" Target="media/image21.png"/><Relationship Id="rId43" Type="http://schemas.openxmlformats.org/officeDocument/2006/relationships/hyperlink" Target="http://paperpile.com/b/ZtjH43/rhMvm" TargetMode="External"/><Relationship Id="rId48" Type="http://schemas.openxmlformats.org/officeDocument/2006/relationships/hyperlink" Target="http://paperpile.com/b/ZtjH43/rlBr" TargetMode="External"/><Relationship Id="rId56" Type="http://schemas.openxmlformats.org/officeDocument/2006/relationships/fontTable" Target="fontTable.xml"/><Relationship Id="rId8" Type="http://schemas.openxmlformats.org/officeDocument/2006/relationships/hyperlink" Target="https://paperpile.com/c/ZtjH43/CT0J4+IUJqf" TargetMode="External"/><Relationship Id="rId51" Type="http://schemas.openxmlformats.org/officeDocument/2006/relationships/header" Target="header2.xml"/><Relationship Id="rId3"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paperpile.com/c/ZtjH43/UPm9w" TargetMode="External"/><Relationship Id="rId33" Type="http://schemas.openxmlformats.org/officeDocument/2006/relationships/hyperlink" Target="https://paperpile.com/c/ZtjH43/rlBr" TargetMode="External"/><Relationship Id="rId38" Type="http://schemas.openxmlformats.org/officeDocument/2006/relationships/hyperlink" Target="http://dx.doi.org/10.1007/978-0-387-88615-2_4" TargetMode="External"/><Relationship Id="rId46" Type="http://schemas.openxmlformats.org/officeDocument/2006/relationships/hyperlink" Target="http://paperpile.com/b/ZtjH43/UPm9w" TargetMode="External"/><Relationship Id="rId20" Type="http://schemas.openxmlformats.org/officeDocument/2006/relationships/image" Target="media/image10.png"/><Relationship Id="rId41" Type="http://schemas.openxmlformats.org/officeDocument/2006/relationships/hyperlink" Target="http://paperpile.com/b/ZtjH43/IUJqf" TargetMode="External"/><Relationship Id="rId54" Type="http://schemas.openxmlformats.org/officeDocument/2006/relationships/header" Target="header3.xml"/><Relationship Id="rId1" Type="http://schemas.openxmlformats.org/officeDocument/2006/relationships/styles" Target="styles.xml"/><Relationship Id="rId6" Type="http://schemas.openxmlformats.org/officeDocument/2006/relationships/hyperlink" Target="https://www.nccn.org/guidelines/guidelines-process/transparency-process-and-recommendations/GetFileFromFileManager?fileManagerId=12813" TargetMode="Externa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6.png"/><Relationship Id="rId36" Type="http://schemas.openxmlformats.org/officeDocument/2006/relationships/image" Target="media/image22.png"/><Relationship Id="rId49" Type="http://schemas.openxmlformats.org/officeDocument/2006/relationships/hyperlink" Target="https://seer.cancer.gov/statfacts/html/prost.html" TargetMode="External"/><Relationship Id="rId57" Type="http://schemas.openxmlformats.org/officeDocument/2006/relationships/theme" Target="theme/theme1.xml"/><Relationship Id="rId10" Type="http://schemas.openxmlformats.org/officeDocument/2006/relationships/hyperlink" Target="https://paperpile.com/c/ZtjH43/Mquja" TargetMode="External"/><Relationship Id="rId31" Type="http://schemas.openxmlformats.org/officeDocument/2006/relationships/image" Target="media/image18.png"/><Relationship Id="rId44" Type="http://schemas.openxmlformats.org/officeDocument/2006/relationships/hyperlink" Target="http://paperpile.com/b/ZtjH43/Mquja"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3120</Words>
  <Characters>17789</Characters>
  <Application>Microsoft Office Word</Application>
  <DocSecurity>0</DocSecurity>
  <Lines>148</Lines>
  <Paragraphs>41</Paragraphs>
  <ScaleCrop>false</ScaleCrop>
  <Company/>
  <LinksUpToDate>false</LinksUpToDate>
  <CharactersWithSpaces>20868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Emmalyn Chen</cp:lastModifiedBy>
  <cp:revision>3</cp:revision>
  <dcterms:created xsi:type="dcterms:W3CDTF">2023-04-14T22:46:00Z</dcterms:created>
  <dcterms:modified xsi:type="dcterms:W3CDTF">2023-04-14T22:46:00Z</dcterms:modified>
</cp:coreProperties>
</file>