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16EC" w14:textId="10855007" w:rsidR="00DC2424" w:rsidRPr="00BC3878" w:rsidRDefault="007C3260" w:rsidP="00090841">
      <w:pPr>
        <w:jc w:val="center"/>
        <w:rPr>
          <w:rFonts w:asciiTheme="minorHAnsi" w:hAnsiTheme="minorHAnsi" w:cstheme="minorHAnsi"/>
          <w:b/>
          <w:bCs/>
        </w:rPr>
      </w:pPr>
      <w:r w:rsidRPr="00BC3878">
        <w:rPr>
          <w:rFonts w:asciiTheme="minorHAnsi" w:hAnsiTheme="minorHAnsi" w:cstheme="minorHAnsi"/>
          <w:b/>
          <w:bCs/>
        </w:rPr>
        <w:t>Supplemental Online Content</w:t>
      </w:r>
    </w:p>
    <w:p w14:paraId="589E6FD4" w14:textId="5134F766" w:rsidR="007C3260" w:rsidRPr="00BC3878" w:rsidRDefault="007C3260" w:rsidP="00090841">
      <w:pPr>
        <w:rPr>
          <w:rFonts w:asciiTheme="minorHAnsi" w:hAnsiTheme="minorHAnsi" w:cstheme="minorHAnsi"/>
          <w:sz w:val="20"/>
          <w:szCs w:val="20"/>
        </w:rPr>
      </w:pPr>
    </w:p>
    <w:p w14:paraId="38421A20" w14:textId="77777777" w:rsidR="007C3260" w:rsidRPr="00BC3878" w:rsidRDefault="007C3260" w:rsidP="00090841">
      <w:pPr>
        <w:textAlignment w:val="baseline"/>
        <w:outlineLvl w:val="2"/>
        <w:rPr>
          <w:rFonts w:asciiTheme="minorHAnsi" w:hAnsiTheme="minorHAnsi" w:cstheme="minorHAnsi"/>
          <w:sz w:val="20"/>
          <w:szCs w:val="20"/>
        </w:rPr>
      </w:pPr>
    </w:p>
    <w:p w14:paraId="6B386344" w14:textId="77777777" w:rsidR="007C3260" w:rsidRPr="00BC3878" w:rsidRDefault="007C3260" w:rsidP="00090841">
      <w:pPr>
        <w:textAlignment w:val="baseline"/>
        <w:outlineLvl w:val="2"/>
        <w:rPr>
          <w:rFonts w:asciiTheme="minorHAnsi" w:hAnsiTheme="minorHAnsi" w:cstheme="minorHAnsi"/>
          <w:sz w:val="20"/>
          <w:szCs w:val="20"/>
        </w:rPr>
      </w:pPr>
    </w:p>
    <w:p w14:paraId="7803E6A8" w14:textId="52C934C0" w:rsidR="007C3260" w:rsidRPr="00B2780C" w:rsidRDefault="007C3260" w:rsidP="00090841">
      <w:pPr>
        <w:textAlignment w:val="baseline"/>
        <w:outlineLvl w:val="2"/>
        <w:rPr>
          <w:rFonts w:asciiTheme="minorHAnsi" w:eastAsiaTheme="minorHAnsi" w:hAnsiTheme="minorHAnsi" w:cstheme="minorHAnsi"/>
          <w:i/>
          <w:iCs/>
          <w:sz w:val="20"/>
          <w:szCs w:val="20"/>
          <w:lang w:eastAsia="en-US" w:bidi="he-IL"/>
        </w:rPr>
      </w:pPr>
      <w:r w:rsidRPr="00BC3878">
        <w:rPr>
          <w:rFonts w:asciiTheme="minorHAnsi" w:hAnsiTheme="minorHAnsi" w:cstheme="minorHAnsi"/>
          <w:sz w:val="20"/>
          <w:szCs w:val="20"/>
        </w:rPr>
        <w:t>Knapen</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D</w:t>
      </w:r>
      <w:r w:rsidR="006B7FEB">
        <w:rPr>
          <w:rFonts w:asciiTheme="minorHAnsi" w:hAnsiTheme="minorHAnsi" w:cstheme="minorHAnsi"/>
          <w:sz w:val="20"/>
          <w:szCs w:val="20"/>
        </w:rPr>
        <w:t>.</w:t>
      </w:r>
      <w:r w:rsidRPr="00BC3878">
        <w:rPr>
          <w:rFonts w:asciiTheme="minorHAnsi" w:hAnsiTheme="minorHAnsi" w:cstheme="minorHAnsi"/>
          <w:sz w:val="20"/>
          <w:szCs w:val="20"/>
        </w:rPr>
        <w:t>G</w:t>
      </w:r>
      <w:r w:rsidR="006B7FEB">
        <w:rPr>
          <w:rFonts w:asciiTheme="minorHAnsi" w:hAnsiTheme="minorHAnsi" w:cstheme="minorHAnsi"/>
          <w:sz w:val="20"/>
          <w:szCs w:val="20"/>
        </w:rPr>
        <w:t>.</w:t>
      </w:r>
      <w:r w:rsidRPr="00BC3878">
        <w:rPr>
          <w:rFonts w:asciiTheme="minorHAnsi" w:hAnsiTheme="minorHAnsi" w:cstheme="minorHAnsi"/>
          <w:sz w:val="20"/>
          <w:szCs w:val="20"/>
        </w:rPr>
        <w:t>, Hone Lopez</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S</w:t>
      </w:r>
      <w:r w:rsidR="006B7FEB">
        <w:rPr>
          <w:rFonts w:asciiTheme="minorHAnsi" w:hAnsiTheme="minorHAnsi" w:cstheme="minorHAnsi"/>
          <w:sz w:val="20"/>
          <w:szCs w:val="20"/>
        </w:rPr>
        <w:t>.</w:t>
      </w:r>
      <w:r w:rsidRPr="00BC3878">
        <w:rPr>
          <w:rFonts w:asciiTheme="minorHAnsi" w:hAnsiTheme="minorHAnsi" w:cstheme="minorHAnsi"/>
          <w:sz w:val="20"/>
          <w:szCs w:val="20"/>
        </w:rPr>
        <w:t>, de Groot</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D</w:t>
      </w:r>
      <w:r w:rsidR="006B7FEB">
        <w:rPr>
          <w:rFonts w:asciiTheme="minorHAnsi" w:hAnsiTheme="minorHAnsi" w:cstheme="minorHAnsi"/>
          <w:sz w:val="20"/>
          <w:szCs w:val="20"/>
        </w:rPr>
        <w:t>.</w:t>
      </w:r>
      <w:r w:rsidRPr="00BC3878">
        <w:rPr>
          <w:rFonts w:asciiTheme="minorHAnsi" w:hAnsiTheme="minorHAnsi" w:cstheme="minorHAnsi"/>
          <w:sz w:val="20"/>
          <w:szCs w:val="20"/>
        </w:rPr>
        <w:t>J</w:t>
      </w:r>
      <w:r w:rsidR="006B7FEB">
        <w:rPr>
          <w:rFonts w:asciiTheme="minorHAnsi" w:hAnsiTheme="minorHAnsi" w:cstheme="minorHAnsi"/>
          <w:sz w:val="20"/>
          <w:szCs w:val="20"/>
        </w:rPr>
        <w:t>.</w:t>
      </w:r>
      <w:r w:rsidRPr="00BC3878">
        <w:rPr>
          <w:rFonts w:asciiTheme="minorHAnsi" w:hAnsiTheme="minorHAnsi" w:cstheme="minorHAnsi"/>
          <w:sz w:val="20"/>
          <w:szCs w:val="20"/>
        </w:rPr>
        <w:t>A</w:t>
      </w:r>
      <w:r w:rsidR="006B7FEB">
        <w:rPr>
          <w:rFonts w:asciiTheme="minorHAnsi" w:hAnsiTheme="minorHAnsi" w:cstheme="minorHAnsi"/>
          <w:sz w:val="20"/>
          <w:szCs w:val="20"/>
        </w:rPr>
        <w:t>.</w:t>
      </w:r>
      <w:r w:rsidRPr="00BC3878">
        <w:rPr>
          <w:rFonts w:asciiTheme="minorHAnsi" w:hAnsiTheme="minorHAnsi" w:cstheme="minorHAnsi"/>
          <w:sz w:val="20"/>
          <w:szCs w:val="20"/>
        </w:rPr>
        <w:t>, de Haan</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J</w:t>
      </w:r>
      <w:r w:rsidR="006B7FEB">
        <w:rPr>
          <w:rFonts w:asciiTheme="minorHAnsi" w:hAnsiTheme="minorHAnsi" w:cstheme="minorHAnsi"/>
          <w:sz w:val="20"/>
          <w:szCs w:val="20"/>
        </w:rPr>
        <w:t>.</w:t>
      </w:r>
      <w:r w:rsidRPr="00BC3878">
        <w:rPr>
          <w:rFonts w:asciiTheme="minorHAnsi" w:hAnsiTheme="minorHAnsi" w:cstheme="minorHAnsi"/>
          <w:sz w:val="20"/>
          <w:szCs w:val="20"/>
        </w:rPr>
        <w:t>J</w:t>
      </w:r>
      <w:r w:rsidR="006B7FEB">
        <w:rPr>
          <w:rFonts w:asciiTheme="minorHAnsi" w:hAnsiTheme="minorHAnsi" w:cstheme="minorHAnsi"/>
          <w:sz w:val="20"/>
          <w:szCs w:val="20"/>
        </w:rPr>
        <w:t>.</w:t>
      </w:r>
      <w:r w:rsidRPr="00BC3878">
        <w:rPr>
          <w:rFonts w:asciiTheme="minorHAnsi" w:hAnsiTheme="minorHAnsi" w:cstheme="minorHAnsi"/>
          <w:sz w:val="20"/>
          <w:szCs w:val="20"/>
        </w:rPr>
        <w:t>, de Vries</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E</w:t>
      </w:r>
      <w:r w:rsidR="006B7FEB">
        <w:rPr>
          <w:rFonts w:asciiTheme="minorHAnsi" w:hAnsiTheme="minorHAnsi" w:cstheme="minorHAnsi"/>
          <w:sz w:val="20"/>
          <w:szCs w:val="20"/>
        </w:rPr>
        <w:t>.</w:t>
      </w:r>
      <w:r w:rsidRPr="00BC3878">
        <w:rPr>
          <w:rFonts w:asciiTheme="minorHAnsi" w:hAnsiTheme="minorHAnsi" w:cstheme="minorHAnsi"/>
          <w:sz w:val="20"/>
          <w:szCs w:val="20"/>
        </w:rPr>
        <w:t>G</w:t>
      </w:r>
      <w:r w:rsidR="006B7FEB">
        <w:rPr>
          <w:rFonts w:asciiTheme="minorHAnsi" w:hAnsiTheme="minorHAnsi" w:cstheme="minorHAnsi"/>
          <w:sz w:val="20"/>
          <w:szCs w:val="20"/>
        </w:rPr>
        <w:t>.</w:t>
      </w:r>
      <w:r w:rsidRPr="00BC3878">
        <w:rPr>
          <w:rFonts w:asciiTheme="minorHAnsi" w:hAnsiTheme="minorHAnsi" w:cstheme="minorHAnsi"/>
          <w:sz w:val="20"/>
          <w:szCs w:val="20"/>
        </w:rPr>
        <w:t>E</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w:t>
      </w:r>
      <w:proofErr w:type="spellStart"/>
      <w:r w:rsidRPr="00BC3878">
        <w:rPr>
          <w:rFonts w:asciiTheme="minorHAnsi" w:hAnsiTheme="minorHAnsi" w:cstheme="minorHAnsi"/>
          <w:sz w:val="20"/>
          <w:szCs w:val="20"/>
        </w:rPr>
        <w:t>Dienstmann</w:t>
      </w:r>
      <w:proofErr w:type="spellEnd"/>
      <w:r w:rsidR="006B7FEB">
        <w:rPr>
          <w:rFonts w:asciiTheme="minorHAnsi" w:hAnsiTheme="minorHAnsi" w:cstheme="minorHAnsi"/>
          <w:sz w:val="20"/>
          <w:szCs w:val="20"/>
        </w:rPr>
        <w:t>,</w:t>
      </w:r>
      <w:r w:rsidRPr="00BC3878">
        <w:rPr>
          <w:rFonts w:asciiTheme="minorHAnsi" w:hAnsiTheme="minorHAnsi" w:cstheme="minorHAnsi"/>
          <w:sz w:val="20"/>
          <w:szCs w:val="20"/>
        </w:rPr>
        <w:t xml:space="preserve"> R</w:t>
      </w:r>
      <w:r w:rsidR="006B7FEB">
        <w:rPr>
          <w:rFonts w:asciiTheme="minorHAnsi" w:hAnsiTheme="minorHAnsi" w:cstheme="minorHAnsi"/>
          <w:sz w:val="20"/>
          <w:szCs w:val="20"/>
        </w:rPr>
        <w:t>.</w:t>
      </w:r>
      <w:r w:rsidRPr="00BC3878">
        <w:rPr>
          <w:rFonts w:asciiTheme="minorHAnsi" w:hAnsiTheme="minorHAnsi" w:cstheme="minorHAnsi"/>
          <w:sz w:val="20"/>
          <w:szCs w:val="20"/>
        </w:rPr>
        <w:t>, de Jong</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S</w:t>
      </w:r>
      <w:r w:rsidR="006B7FEB">
        <w:rPr>
          <w:rFonts w:asciiTheme="minorHAnsi" w:hAnsiTheme="minorHAnsi" w:cstheme="minorHAnsi"/>
          <w:sz w:val="20"/>
          <w:szCs w:val="20"/>
        </w:rPr>
        <w:t>.</w:t>
      </w:r>
      <w:r w:rsidRPr="00BC3878">
        <w:rPr>
          <w:rFonts w:asciiTheme="minorHAnsi" w:hAnsiTheme="minorHAnsi" w:cstheme="minorHAnsi"/>
          <w:sz w:val="20"/>
          <w:szCs w:val="20"/>
        </w:rPr>
        <w:t xml:space="preserve">, </w:t>
      </w:r>
      <w:proofErr w:type="spellStart"/>
      <w:r w:rsidRPr="00BC3878">
        <w:rPr>
          <w:rFonts w:asciiTheme="minorHAnsi" w:hAnsiTheme="minorHAnsi" w:cstheme="minorHAnsi"/>
          <w:sz w:val="20"/>
          <w:szCs w:val="20"/>
        </w:rPr>
        <w:t>Bhattacharya</w:t>
      </w:r>
      <w:proofErr w:type="spellEnd"/>
      <w:r w:rsidR="006B7FEB">
        <w:rPr>
          <w:rFonts w:asciiTheme="minorHAnsi" w:hAnsiTheme="minorHAnsi" w:cstheme="minorHAnsi"/>
          <w:sz w:val="20"/>
          <w:szCs w:val="20"/>
        </w:rPr>
        <w:t>,</w:t>
      </w:r>
      <w:r w:rsidRPr="00BC3878">
        <w:rPr>
          <w:rFonts w:asciiTheme="minorHAnsi" w:hAnsiTheme="minorHAnsi" w:cstheme="minorHAnsi"/>
          <w:sz w:val="20"/>
          <w:szCs w:val="20"/>
        </w:rPr>
        <w:t xml:space="preserve"> A</w:t>
      </w:r>
      <w:r w:rsidR="006B7FEB">
        <w:rPr>
          <w:rFonts w:asciiTheme="minorHAnsi" w:hAnsiTheme="minorHAnsi" w:cstheme="minorHAnsi"/>
          <w:sz w:val="20"/>
          <w:szCs w:val="20"/>
        </w:rPr>
        <w:t>.&amp;</w:t>
      </w:r>
      <w:r w:rsidRPr="00BC3878">
        <w:rPr>
          <w:rFonts w:asciiTheme="minorHAnsi" w:hAnsiTheme="minorHAnsi" w:cstheme="minorHAnsi"/>
          <w:sz w:val="20"/>
          <w:szCs w:val="20"/>
        </w:rPr>
        <w:t xml:space="preserve"> Fehrmann</w:t>
      </w:r>
      <w:r w:rsidR="00E3518D">
        <w:rPr>
          <w:rFonts w:asciiTheme="minorHAnsi" w:hAnsiTheme="minorHAnsi" w:cstheme="minorHAnsi"/>
          <w:sz w:val="20"/>
          <w:szCs w:val="20"/>
        </w:rPr>
        <w:t>,</w:t>
      </w:r>
      <w:r w:rsidRPr="00BC3878">
        <w:rPr>
          <w:rFonts w:asciiTheme="minorHAnsi" w:hAnsiTheme="minorHAnsi" w:cstheme="minorHAnsi"/>
          <w:sz w:val="20"/>
          <w:szCs w:val="20"/>
        </w:rPr>
        <w:t xml:space="preserve"> R</w:t>
      </w:r>
      <w:r w:rsidR="00E3518D">
        <w:rPr>
          <w:rFonts w:asciiTheme="minorHAnsi" w:hAnsiTheme="minorHAnsi" w:cstheme="minorHAnsi"/>
          <w:sz w:val="20"/>
          <w:szCs w:val="20"/>
        </w:rPr>
        <w:t>.</w:t>
      </w:r>
      <w:r w:rsidRPr="00BC3878">
        <w:rPr>
          <w:rFonts w:asciiTheme="minorHAnsi" w:hAnsiTheme="minorHAnsi" w:cstheme="minorHAnsi"/>
          <w:sz w:val="20"/>
          <w:szCs w:val="20"/>
        </w:rPr>
        <w:t>S</w:t>
      </w:r>
      <w:r w:rsidR="00E3518D">
        <w:rPr>
          <w:rFonts w:asciiTheme="minorHAnsi" w:hAnsiTheme="minorHAnsi" w:cstheme="minorHAnsi"/>
          <w:sz w:val="20"/>
          <w:szCs w:val="20"/>
        </w:rPr>
        <w:t>.</w:t>
      </w:r>
      <w:r w:rsidRPr="00BC3878">
        <w:rPr>
          <w:rFonts w:asciiTheme="minorHAnsi" w:hAnsiTheme="minorHAnsi" w:cstheme="minorHAnsi"/>
          <w:sz w:val="20"/>
          <w:szCs w:val="20"/>
        </w:rPr>
        <w:t xml:space="preserve">N. </w:t>
      </w:r>
      <w:r w:rsidR="00B2780C" w:rsidRPr="00B2780C">
        <w:rPr>
          <w:rFonts w:asciiTheme="minorHAnsi" w:eastAsiaTheme="minorHAnsi" w:hAnsiTheme="minorHAnsi" w:cstheme="minorHAnsi"/>
          <w:sz w:val="20"/>
          <w:szCs w:val="20"/>
          <w:lang w:eastAsia="en-US" w:bidi="he-IL"/>
        </w:rPr>
        <w:t xml:space="preserve">Independent </w:t>
      </w:r>
      <w:proofErr w:type="spellStart"/>
      <w:r w:rsidR="00B2780C" w:rsidRPr="00B2780C">
        <w:rPr>
          <w:rFonts w:asciiTheme="minorHAnsi" w:eastAsiaTheme="minorHAnsi" w:hAnsiTheme="minorHAnsi" w:cstheme="minorHAnsi"/>
          <w:sz w:val="20"/>
          <w:szCs w:val="20"/>
          <w:lang w:eastAsia="en-US" w:bidi="he-IL"/>
        </w:rPr>
        <w:t>transcriptional</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patterns</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reveal</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biological</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processes</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associated</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with</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disease</w:t>
      </w:r>
      <w:proofErr w:type="spellEnd"/>
      <w:r w:rsidR="00B2780C" w:rsidRPr="00B2780C">
        <w:rPr>
          <w:rFonts w:asciiTheme="minorHAnsi" w:eastAsiaTheme="minorHAnsi" w:hAnsiTheme="minorHAnsi" w:cstheme="minorHAnsi"/>
          <w:sz w:val="20"/>
          <w:szCs w:val="20"/>
          <w:lang w:eastAsia="en-US" w:bidi="he-IL"/>
        </w:rPr>
        <w:t xml:space="preserve">-free survival in </w:t>
      </w:r>
      <w:proofErr w:type="spellStart"/>
      <w:r w:rsidR="00B2780C" w:rsidRPr="00B2780C">
        <w:rPr>
          <w:rFonts w:asciiTheme="minorHAnsi" w:eastAsiaTheme="minorHAnsi" w:hAnsiTheme="minorHAnsi" w:cstheme="minorHAnsi"/>
          <w:sz w:val="20"/>
          <w:szCs w:val="20"/>
          <w:lang w:eastAsia="en-US" w:bidi="he-IL"/>
        </w:rPr>
        <w:t>early</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colorectal</w:t>
      </w:r>
      <w:proofErr w:type="spellEnd"/>
      <w:r w:rsidR="00B2780C" w:rsidRPr="00B2780C">
        <w:rPr>
          <w:rFonts w:asciiTheme="minorHAnsi" w:eastAsiaTheme="minorHAnsi" w:hAnsiTheme="minorHAnsi" w:cstheme="minorHAnsi"/>
          <w:sz w:val="20"/>
          <w:szCs w:val="20"/>
          <w:lang w:eastAsia="en-US" w:bidi="he-IL"/>
        </w:rPr>
        <w:t xml:space="preserve"> </w:t>
      </w:r>
      <w:proofErr w:type="spellStart"/>
      <w:r w:rsidR="00B2780C" w:rsidRPr="00B2780C">
        <w:rPr>
          <w:rFonts w:asciiTheme="minorHAnsi" w:eastAsiaTheme="minorHAnsi" w:hAnsiTheme="minorHAnsi" w:cstheme="minorHAnsi"/>
          <w:sz w:val="20"/>
          <w:szCs w:val="20"/>
          <w:lang w:eastAsia="en-US" w:bidi="he-IL"/>
        </w:rPr>
        <w:t>cancer</w:t>
      </w:r>
      <w:proofErr w:type="spellEnd"/>
    </w:p>
    <w:p w14:paraId="22BF07D2" w14:textId="159BBD5D" w:rsidR="007C3260" w:rsidRPr="00B2780C" w:rsidRDefault="007C3260" w:rsidP="00090841">
      <w:pPr>
        <w:textAlignment w:val="baseline"/>
        <w:outlineLvl w:val="2"/>
        <w:rPr>
          <w:rFonts w:asciiTheme="minorHAnsi" w:eastAsiaTheme="minorHAnsi" w:hAnsiTheme="minorHAnsi" w:cstheme="minorHAnsi"/>
          <w:sz w:val="20"/>
          <w:szCs w:val="20"/>
          <w:lang w:eastAsia="en-US" w:bidi="he-IL"/>
        </w:rPr>
      </w:pPr>
    </w:p>
    <w:p w14:paraId="12BC437F" w14:textId="476BE93B" w:rsidR="007C3260" w:rsidRPr="00BC3878" w:rsidRDefault="00BC3878" w:rsidP="00090841">
      <w:pPr>
        <w:textAlignment w:val="baseline"/>
        <w:outlineLvl w:val="2"/>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Supplementary </w:t>
      </w:r>
      <w:r w:rsidR="007C3260" w:rsidRPr="00BC3878">
        <w:rPr>
          <w:rFonts w:asciiTheme="minorHAnsi" w:hAnsiTheme="minorHAnsi" w:cstheme="minorHAnsi"/>
          <w:b/>
          <w:bCs/>
          <w:sz w:val="20"/>
          <w:szCs w:val="20"/>
          <w:lang w:val="en-US"/>
        </w:rPr>
        <w:t>Methods</w:t>
      </w:r>
      <w:r w:rsidR="00090841" w:rsidRPr="00BC3878">
        <w:rPr>
          <w:rFonts w:asciiTheme="minorHAnsi" w:hAnsiTheme="minorHAnsi" w:cstheme="minorHAnsi"/>
          <w:b/>
          <w:bCs/>
          <w:sz w:val="20"/>
          <w:szCs w:val="20"/>
          <w:lang w:val="en-US"/>
        </w:rPr>
        <w:t>.</w:t>
      </w:r>
    </w:p>
    <w:p w14:paraId="6DDD5A6A" w14:textId="7A79C03D" w:rsidR="00090841" w:rsidRPr="00BC3878" w:rsidRDefault="00D4026E" w:rsidP="00090841">
      <w:pPr>
        <w:textAlignment w:val="baseline"/>
        <w:outlineLvl w:val="2"/>
        <w:rPr>
          <w:rFonts w:asciiTheme="minorHAnsi" w:hAnsiTheme="minorHAnsi" w:cstheme="minorHAnsi"/>
          <w:b/>
          <w:bCs/>
          <w:sz w:val="20"/>
          <w:szCs w:val="20"/>
          <w:lang w:val="en-US"/>
        </w:rPr>
      </w:pPr>
      <w:r>
        <w:rPr>
          <w:rFonts w:asciiTheme="minorHAnsi" w:hAnsiTheme="minorHAnsi" w:cstheme="minorHAnsi"/>
          <w:b/>
          <w:bCs/>
          <w:sz w:val="20"/>
          <w:szCs w:val="20"/>
          <w:lang w:val="en-US"/>
        </w:rPr>
        <w:t>Supplementary</w:t>
      </w:r>
      <w:r w:rsidR="00BC3878">
        <w:rPr>
          <w:rFonts w:asciiTheme="minorHAnsi" w:hAnsiTheme="minorHAnsi" w:cstheme="minorHAnsi"/>
          <w:b/>
          <w:bCs/>
          <w:sz w:val="20"/>
          <w:szCs w:val="20"/>
          <w:lang w:val="en-US"/>
        </w:rPr>
        <w:t xml:space="preserve"> </w:t>
      </w:r>
      <w:r w:rsidR="00090841" w:rsidRPr="00BC3878">
        <w:rPr>
          <w:rFonts w:asciiTheme="minorHAnsi" w:hAnsiTheme="minorHAnsi" w:cstheme="minorHAnsi"/>
          <w:b/>
          <w:bCs/>
          <w:sz w:val="20"/>
          <w:szCs w:val="20"/>
          <w:lang w:val="en-US"/>
        </w:rPr>
        <w:t>References.</w:t>
      </w:r>
    </w:p>
    <w:p w14:paraId="4C2ED938" w14:textId="656FE3F5" w:rsidR="007C3260" w:rsidRPr="00BC3878" w:rsidRDefault="00BC3878" w:rsidP="0045056C">
      <w:pPr>
        <w:pStyle w:val="ListParagraph"/>
        <w:spacing w:after="0" w:line="240" w:lineRule="auto"/>
        <w:ind w:left="0"/>
        <w:rPr>
          <w:rFonts w:cstheme="minorHAnsi"/>
          <w:b/>
          <w:bCs/>
          <w:sz w:val="20"/>
          <w:szCs w:val="20"/>
        </w:rPr>
      </w:pPr>
      <w:r>
        <w:rPr>
          <w:rFonts w:cstheme="minorHAnsi"/>
          <w:b/>
          <w:bCs/>
          <w:sz w:val="20"/>
          <w:szCs w:val="20"/>
        </w:rPr>
        <w:t xml:space="preserve">Supplementary </w:t>
      </w:r>
      <w:r w:rsidR="007C3260" w:rsidRPr="00BC3878">
        <w:rPr>
          <w:rFonts w:cstheme="minorHAnsi"/>
          <w:b/>
          <w:bCs/>
          <w:sz w:val="20"/>
          <w:szCs w:val="20"/>
        </w:rPr>
        <w:t>Figure 1</w:t>
      </w:r>
      <w:r w:rsidR="0045056C" w:rsidRPr="00BC3878">
        <w:rPr>
          <w:rFonts w:cstheme="minorHAnsi"/>
          <w:b/>
          <w:bCs/>
          <w:sz w:val="20"/>
          <w:szCs w:val="20"/>
        </w:rPr>
        <w:t xml:space="preserve">. </w:t>
      </w:r>
      <w:r w:rsidR="0045056C" w:rsidRPr="00BC3878">
        <w:rPr>
          <w:rFonts w:eastAsia="Times New Roman" w:cstheme="minorHAnsi"/>
          <w:sz w:val="20"/>
          <w:szCs w:val="20"/>
          <w:lang w:eastAsia="en-GB" w:bidi="ar-SA"/>
        </w:rPr>
        <w:t>Random survival forest analysis of stage 2 early colon cancer patients, optimal clusters.</w:t>
      </w:r>
    </w:p>
    <w:p w14:paraId="1E369ADF" w14:textId="7A309712" w:rsidR="007C3260" w:rsidRPr="00BC3878" w:rsidRDefault="00BC3878" w:rsidP="0045056C">
      <w:pPr>
        <w:textAlignment w:val="baseline"/>
        <w:outlineLvl w:val="2"/>
        <w:rPr>
          <w:rFonts w:asciiTheme="minorHAnsi" w:hAnsiTheme="minorHAnsi" w:cstheme="minorHAnsi"/>
          <w:sz w:val="20"/>
          <w:szCs w:val="20"/>
          <w:lang w:val="en-US"/>
        </w:rPr>
      </w:pPr>
      <w:r>
        <w:rPr>
          <w:rFonts w:asciiTheme="minorHAnsi" w:hAnsiTheme="minorHAnsi" w:cstheme="minorHAnsi"/>
          <w:b/>
          <w:bCs/>
          <w:sz w:val="20"/>
          <w:szCs w:val="20"/>
          <w:lang w:val="en-US"/>
        </w:rPr>
        <w:t xml:space="preserve">Supplementary </w:t>
      </w:r>
      <w:r w:rsidR="007C3260" w:rsidRPr="00BC3878">
        <w:rPr>
          <w:rFonts w:asciiTheme="minorHAnsi" w:hAnsiTheme="minorHAnsi" w:cstheme="minorHAnsi"/>
          <w:b/>
          <w:bCs/>
          <w:sz w:val="20"/>
          <w:szCs w:val="20"/>
          <w:lang w:val="en-US"/>
        </w:rPr>
        <w:t>Figure 2</w:t>
      </w:r>
      <w:r w:rsidR="0045056C" w:rsidRPr="00BC3878">
        <w:rPr>
          <w:rFonts w:asciiTheme="minorHAnsi" w:hAnsiTheme="minorHAnsi" w:cstheme="minorHAnsi"/>
          <w:b/>
          <w:bCs/>
          <w:sz w:val="20"/>
          <w:szCs w:val="20"/>
          <w:lang w:val="en-US"/>
        </w:rPr>
        <w:t xml:space="preserve">. </w:t>
      </w:r>
      <w:r w:rsidR="0045056C" w:rsidRPr="00BC3878">
        <w:rPr>
          <w:rFonts w:asciiTheme="minorHAnsi" w:hAnsiTheme="minorHAnsi" w:cstheme="minorHAnsi"/>
          <w:sz w:val="20"/>
          <w:szCs w:val="20"/>
          <w:lang w:val="en-US"/>
        </w:rPr>
        <w:t>Random survival forest analysis of stage 3 early colon cancer patients, optimal clusters.</w:t>
      </w:r>
    </w:p>
    <w:p w14:paraId="39CA38FC" w14:textId="0188DBB2" w:rsidR="00C86936" w:rsidRDefault="00C86936">
      <w:pPr>
        <w:spacing w:after="160" w:line="259" w:lineRule="auto"/>
        <w:rPr>
          <w:rFonts w:asciiTheme="minorHAnsi" w:hAnsiTheme="minorHAnsi" w:cstheme="minorHAnsi"/>
          <w:sz w:val="20"/>
          <w:szCs w:val="20"/>
          <w:lang w:val="en-US"/>
        </w:rPr>
      </w:pPr>
    </w:p>
    <w:p w14:paraId="1EC5C06B" w14:textId="77777777" w:rsidR="00443895" w:rsidRDefault="00443895" w:rsidP="00443895">
      <w:pPr>
        <w:spacing w:after="160" w:line="259" w:lineRule="auto"/>
        <w:rPr>
          <w:rFonts w:asciiTheme="minorHAnsi" w:hAnsiTheme="minorHAnsi" w:cstheme="minorHAnsi"/>
          <w:sz w:val="20"/>
          <w:szCs w:val="20"/>
          <w:lang w:val="en-US"/>
        </w:rPr>
      </w:pPr>
      <w:r>
        <w:rPr>
          <w:rFonts w:asciiTheme="minorHAnsi" w:hAnsiTheme="minorHAnsi" w:cstheme="minorHAnsi"/>
          <w:sz w:val="20"/>
          <w:szCs w:val="20"/>
          <w:lang w:val="en-US"/>
        </w:rPr>
        <w:t>In separate supplementary CSV file:</w:t>
      </w:r>
    </w:p>
    <w:p w14:paraId="461CDAAC" w14:textId="5201812F" w:rsidR="00443895" w:rsidRPr="00BC3878" w:rsidRDefault="00443895" w:rsidP="00443895">
      <w:pPr>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Supplementary </w:t>
      </w:r>
      <w:r w:rsidRPr="00BC3878">
        <w:rPr>
          <w:rFonts w:asciiTheme="minorHAnsi" w:hAnsiTheme="minorHAnsi" w:cstheme="minorHAnsi"/>
          <w:b/>
          <w:bCs/>
          <w:sz w:val="20"/>
          <w:szCs w:val="20"/>
          <w:lang w:val="en-US"/>
        </w:rPr>
        <w:t xml:space="preserve">Table 1. </w:t>
      </w:r>
      <w:r w:rsidRPr="00BC3878">
        <w:rPr>
          <w:rFonts w:asciiTheme="minorHAnsi" w:hAnsiTheme="minorHAnsi" w:cstheme="minorHAnsi"/>
          <w:sz w:val="20"/>
          <w:szCs w:val="20"/>
          <w:lang w:val="en-US"/>
        </w:rPr>
        <w:t>Pairs of TCs</w:t>
      </w:r>
    </w:p>
    <w:p w14:paraId="5BFDCAE7" w14:textId="77777777" w:rsidR="00443895" w:rsidRPr="00BC3878" w:rsidRDefault="00443895" w:rsidP="00443895">
      <w:pPr>
        <w:textAlignment w:val="baseline"/>
        <w:outlineLvl w:val="2"/>
        <w:rPr>
          <w:rFonts w:asciiTheme="minorHAnsi" w:hAnsiTheme="minorHAnsi" w:cstheme="minorHAnsi"/>
          <w:b/>
          <w:bCs/>
          <w:sz w:val="20"/>
          <w:szCs w:val="20"/>
          <w:lang w:val="en-US"/>
        </w:rPr>
      </w:pPr>
      <w:r>
        <w:rPr>
          <w:rFonts w:asciiTheme="minorHAnsi" w:hAnsiTheme="minorHAnsi" w:cstheme="minorHAnsi"/>
          <w:b/>
          <w:bCs/>
          <w:sz w:val="20"/>
          <w:szCs w:val="20"/>
          <w:lang w:val="en-US"/>
        </w:rPr>
        <w:t xml:space="preserve">Supplementary </w:t>
      </w:r>
      <w:r w:rsidRPr="00BC3878">
        <w:rPr>
          <w:rFonts w:asciiTheme="minorHAnsi" w:hAnsiTheme="minorHAnsi" w:cstheme="minorHAnsi"/>
          <w:b/>
          <w:bCs/>
          <w:sz w:val="20"/>
          <w:szCs w:val="20"/>
          <w:lang w:val="en-US"/>
        </w:rPr>
        <w:t xml:space="preserve">Table 2. </w:t>
      </w:r>
      <w:r w:rsidRPr="00BC3878">
        <w:rPr>
          <w:rFonts w:asciiTheme="minorHAnsi" w:hAnsiTheme="minorHAnsi" w:cstheme="minorHAnsi"/>
          <w:sz w:val="20"/>
          <w:szCs w:val="20"/>
          <w:lang w:val="en-US"/>
        </w:rPr>
        <w:t>Important scores TCs</w:t>
      </w:r>
    </w:p>
    <w:p w14:paraId="30E1162F" w14:textId="77777777" w:rsidR="00443895" w:rsidRPr="00BC3878" w:rsidRDefault="00443895">
      <w:pPr>
        <w:spacing w:after="160" w:line="259" w:lineRule="auto"/>
        <w:rPr>
          <w:rFonts w:asciiTheme="minorHAnsi" w:hAnsiTheme="minorHAnsi" w:cstheme="minorHAnsi"/>
          <w:sz w:val="20"/>
          <w:szCs w:val="20"/>
          <w:lang w:val="en-US"/>
        </w:rPr>
      </w:pPr>
    </w:p>
    <w:p w14:paraId="712A3CCF" w14:textId="77777777" w:rsidR="00C86936" w:rsidRPr="00BC3878" w:rsidRDefault="00C86936">
      <w:pPr>
        <w:spacing w:after="160" w:line="259" w:lineRule="auto"/>
        <w:rPr>
          <w:rFonts w:asciiTheme="minorHAnsi" w:hAnsiTheme="minorHAnsi" w:cstheme="minorHAnsi"/>
          <w:sz w:val="20"/>
          <w:szCs w:val="20"/>
          <w:lang w:val="en-US"/>
        </w:rPr>
      </w:pPr>
    </w:p>
    <w:p w14:paraId="4DD77EFA" w14:textId="77777777" w:rsidR="00C86936" w:rsidRPr="00BC3878" w:rsidRDefault="00C86936">
      <w:pPr>
        <w:spacing w:after="160" w:line="259" w:lineRule="auto"/>
        <w:rPr>
          <w:rFonts w:asciiTheme="minorHAnsi" w:hAnsiTheme="minorHAnsi" w:cstheme="minorHAnsi"/>
          <w:sz w:val="20"/>
          <w:szCs w:val="20"/>
          <w:lang w:val="en-US"/>
        </w:rPr>
      </w:pPr>
    </w:p>
    <w:p w14:paraId="2D4E5A04" w14:textId="77777777" w:rsidR="00C86936" w:rsidRPr="00BC3878" w:rsidRDefault="00C86936">
      <w:pPr>
        <w:spacing w:after="160" w:line="259" w:lineRule="auto"/>
        <w:rPr>
          <w:rFonts w:asciiTheme="minorHAnsi" w:hAnsiTheme="minorHAnsi" w:cstheme="minorHAnsi"/>
          <w:sz w:val="20"/>
          <w:szCs w:val="20"/>
          <w:lang w:val="en-US"/>
        </w:rPr>
      </w:pPr>
    </w:p>
    <w:p w14:paraId="7BF5A317" w14:textId="77777777" w:rsidR="00C86936" w:rsidRPr="00BC3878" w:rsidRDefault="00C86936">
      <w:pPr>
        <w:spacing w:after="160" w:line="259" w:lineRule="auto"/>
        <w:rPr>
          <w:rFonts w:asciiTheme="minorHAnsi" w:hAnsiTheme="minorHAnsi" w:cstheme="minorHAnsi"/>
          <w:sz w:val="20"/>
          <w:szCs w:val="20"/>
          <w:lang w:val="en-US"/>
        </w:rPr>
      </w:pPr>
    </w:p>
    <w:p w14:paraId="6B516E72" w14:textId="3E64DA4A" w:rsidR="00090841" w:rsidRPr="00BC3878" w:rsidRDefault="00C86936">
      <w:pPr>
        <w:spacing w:after="160" w:line="259" w:lineRule="auto"/>
        <w:rPr>
          <w:rFonts w:asciiTheme="minorHAnsi" w:hAnsiTheme="minorHAnsi" w:cstheme="minorHAnsi"/>
          <w:sz w:val="20"/>
          <w:szCs w:val="20"/>
          <w:lang w:val="en-US"/>
        </w:rPr>
      </w:pPr>
      <w:r w:rsidRPr="00BC3878">
        <w:rPr>
          <w:rFonts w:asciiTheme="minorHAnsi" w:hAnsiTheme="minorHAnsi" w:cstheme="minorHAnsi"/>
          <w:sz w:val="20"/>
          <w:szCs w:val="20"/>
          <w:lang w:val="en-US"/>
        </w:rPr>
        <w:t>This supplemental material has been provided by the authors to give readers additional information about their work.</w:t>
      </w:r>
      <w:r w:rsidR="00090841" w:rsidRPr="00BC3878">
        <w:rPr>
          <w:rFonts w:asciiTheme="minorHAnsi" w:hAnsiTheme="minorHAnsi" w:cstheme="minorHAnsi"/>
          <w:sz w:val="20"/>
          <w:szCs w:val="20"/>
          <w:lang w:val="en-US"/>
        </w:rPr>
        <w:br w:type="page"/>
      </w:r>
    </w:p>
    <w:p w14:paraId="69A41AD5" w14:textId="5CFAEA1E" w:rsidR="0045056C" w:rsidRPr="00BC3878" w:rsidRDefault="005215BB" w:rsidP="0045056C">
      <w:pPr>
        <w:rPr>
          <w:rFonts w:asciiTheme="minorHAnsi" w:eastAsia="Calibri" w:hAnsiTheme="minorHAnsi" w:cstheme="minorHAnsi"/>
          <w:b/>
          <w:color w:val="000000" w:themeColor="text1"/>
          <w:lang w:val="en-US"/>
        </w:rPr>
      </w:pPr>
      <w:r>
        <w:rPr>
          <w:rFonts w:asciiTheme="minorHAnsi" w:eastAsia="Calibri" w:hAnsiTheme="minorHAnsi" w:cstheme="minorHAnsi"/>
          <w:b/>
          <w:color w:val="000000" w:themeColor="text1"/>
          <w:lang w:val="en-US"/>
        </w:rPr>
        <w:lastRenderedPageBreak/>
        <w:t xml:space="preserve">Supplementary </w:t>
      </w:r>
      <w:r w:rsidR="0045056C" w:rsidRPr="00BC3878">
        <w:rPr>
          <w:rFonts w:asciiTheme="minorHAnsi" w:eastAsia="Calibri" w:hAnsiTheme="minorHAnsi" w:cstheme="minorHAnsi"/>
          <w:b/>
          <w:color w:val="000000" w:themeColor="text1"/>
          <w:lang w:val="en-US"/>
        </w:rPr>
        <w:t>Methods.</w:t>
      </w:r>
    </w:p>
    <w:p w14:paraId="1A480273" w14:textId="77777777" w:rsidR="0045056C" w:rsidRPr="00BC3878" w:rsidRDefault="0045056C" w:rsidP="0045056C">
      <w:pPr>
        <w:rPr>
          <w:rFonts w:asciiTheme="minorHAnsi" w:eastAsia="Calibri" w:hAnsiTheme="minorHAnsi" w:cstheme="minorHAnsi"/>
          <w:b/>
          <w:color w:val="000000" w:themeColor="text1"/>
          <w:lang w:val="en-US"/>
        </w:rPr>
      </w:pPr>
    </w:p>
    <w:p w14:paraId="57A6515E"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Data Acquisition</w:t>
      </w:r>
    </w:p>
    <w:p w14:paraId="228C63E2"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Publicly available raw microarray expression profiles were extracted from the Gene Expression Omnibus (GEO).</w:t>
      </w:r>
      <w:r w:rsidRPr="00BC3878">
        <w:rPr>
          <w:rFonts w:asciiTheme="minorHAnsi" w:hAnsiTheme="minorHAnsi" w:cstheme="minorHAnsi"/>
          <w:color w:val="000000" w:themeColor="text1"/>
          <w:sz w:val="20"/>
          <w:szCs w:val="20"/>
          <w:vertAlign w:val="superscript"/>
          <w:lang w:val="en-US"/>
        </w:rPr>
        <w:t>1</w:t>
      </w:r>
      <w:r w:rsidRPr="00BC3878">
        <w:rPr>
          <w:rFonts w:asciiTheme="minorHAnsi" w:hAnsiTheme="minorHAnsi" w:cstheme="minorHAnsi"/>
          <w:color w:val="000000" w:themeColor="text1"/>
          <w:sz w:val="20"/>
          <w:szCs w:val="20"/>
          <w:lang w:val="en-US"/>
        </w:rPr>
        <w:t xml:space="preserve"> The acquisition was restricted to the Affymetrix HG-U133 Plus 2.0 platform (GEO accession identifier: GPL570). Profiles were selected when generated with tissue samples of various healthy and disease conditions in the large intestine (Figure 1).</w:t>
      </w:r>
    </w:p>
    <w:p w14:paraId="7EE09BAE" w14:textId="77777777" w:rsidR="0045056C" w:rsidRPr="00BC3878" w:rsidRDefault="0045056C" w:rsidP="0045056C">
      <w:pPr>
        <w:ind w:firstLine="709"/>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For all selected early colorectal cancer (CRC) samples, corresponding clinicopathological (CP) data were collected from GEO or the corresponding manuscript. CP data included disease-free survival (DFS) data, stage, primary tumor location, age, gender, microsatellite instability (MSI) status, received adjuvant treatment or not, tumor protein P53 (TP53) status, Kirsten rat sarcoma virus (KRAS) status, and v-Raf murine sarcoma viral oncogene homolog B (BRAF) status.</w:t>
      </w:r>
    </w:p>
    <w:p w14:paraId="09C16677" w14:textId="77777777" w:rsidR="0045056C" w:rsidRPr="00BC3878" w:rsidRDefault="0045056C" w:rsidP="0045056C">
      <w:pPr>
        <w:ind w:firstLine="709"/>
        <w:rPr>
          <w:rFonts w:asciiTheme="minorHAnsi" w:hAnsiTheme="minorHAnsi" w:cstheme="minorHAnsi"/>
          <w:color w:val="000000" w:themeColor="text1"/>
          <w:sz w:val="20"/>
          <w:szCs w:val="20"/>
          <w:lang w:val="en-US"/>
        </w:rPr>
      </w:pPr>
      <w:r w:rsidRPr="00BC3878">
        <w:rPr>
          <w:rFonts w:asciiTheme="minorHAnsi" w:hAnsiTheme="minorHAnsi" w:cstheme="minorHAnsi"/>
          <w:bCs/>
          <w:color w:val="000000" w:themeColor="text1"/>
          <w:sz w:val="20"/>
          <w:szCs w:val="20"/>
          <w:lang w:val="en-US"/>
        </w:rPr>
        <w:t>The pre-processed and normalized expression profiles were used to infer the composition of the tumor microenvironment using t</w:t>
      </w:r>
      <w:r w:rsidRPr="00BC3878">
        <w:rPr>
          <w:rFonts w:asciiTheme="minorHAnsi" w:hAnsiTheme="minorHAnsi" w:cstheme="minorHAnsi"/>
          <w:color w:val="000000" w:themeColor="text1"/>
          <w:sz w:val="20"/>
          <w:szCs w:val="20"/>
          <w:lang w:val="en-US"/>
        </w:rPr>
        <w:t>he Microenvironment Cell Population (MCP) counter v.1.1. R package.</w:t>
      </w:r>
      <w:r w:rsidRPr="00BC3878">
        <w:rPr>
          <w:rFonts w:asciiTheme="minorHAnsi" w:hAnsiTheme="minorHAnsi" w:cstheme="minorHAnsi"/>
          <w:color w:val="000000" w:themeColor="text1"/>
          <w:sz w:val="20"/>
          <w:szCs w:val="20"/>
          <w:vertAlign w:val="superscript"/>
          <w:lang w:val="en-US"/>
        </w:rPr>
        <w:t>2</w:t>
      </w:r>
      <w:r w:rsidRPr="00BC3878">
        <w:rPr>
          <w:rFonts w:asciiTheme="minorHAnsi" w:hAnsiTheme="minorHAnsi" w:cstheme="minorHAnsi"/>
          <w:color w:val="000000" w:themeColor="text1"/>
          <w:sz w:val="20"/>
          <w:szCs w:val="20"/>
          <w:lang w:val="en-US"/>
        </w:rPr>
        <w:t xml:space="preserve"> MCP-counter infers the absolute abundance of eight immune and two stromal cell populations from bulk gene expression profiles. The MCP-counter computes scores per sample per cell type expressed in arbitrary units. These abundance scores allow the comparison of cellular composition between samples. The random forest CMS classifier</w:t>
      </w:r>
      <w:r w:rsidRPr="00BC3878">
        <w:rPr>
          <w:rFonts w:asciiTheme="minorHAnsi" w:hAnsiTheme="minorHAnsi" w:cstheme="minorHAnsi"/>
          <w:color w:val="000000" w:themeColor="text1"/>
          <w:sz w:val="20"/>
          <w:szCs w:val="20"/>
          <w:vertAlign w:val="superscript"/>
          <w:lang w:val="en-US"/>
        </w:rPr>
        <w:t xml:space="preserve"> </w:t>
      </w:r>
      <w:r w:rsidRPr="00BC3878">
        <w:rPr>
          <w:rFonts w:asciiTheme="minorHAnsi" w:hAnsiTheme="minorHAnsi" w:cstheme="minorHAnsi"/>
          <w:color w:val="000000" w:themeColor="text1"/>
          <w:sz w:val="20"/>
          <w:szCs w:val="20"/>
          <w:lang w:val="en-US"/>
        </w:rPr>
        <w:t>was applied to the data set, and a CMS class was assigned when the posterior probability of a sample belonging to a subtype was ≥0.5.</w:t>
      </w:r>
      <w:r w:rsidRPr="00BC3878">
        <w:rPr>
          <w:rFonts w:asciiTheme="minorHAnsi" w:hAnsiTheme="minorHAnsi" w:cstheme="minorHAnsi"/>
          <w:color w:val="000000" w:themeColor="text1"/>
          <w:sz w:val="20"/>
          <w:szCs w:val="20"/>
          <w:vertAlign w:val="superscript"/>
          <w:lang w:val="en-US"/>
        </w:rPr>
        <w:t>3</w:t>
      </w:r>
    </w:p>
    <w:p w14:paraId="5B848745" w14:textId="77777777" w:rsidR="0045056C" w:rsidRPr="00BC3878" w:rsidRDefault="0045056C" w:rsidP="0045056C">
      <w:pPr>
        <w:rPr>
          <w:rFonts w:asciiTheme="minorHAnsi" w:hAnsiTheme="minorHAnsi" w:cstheme="minorHAnsi"/>
          <w:color w:val="000000" w:themeColor="text1"/>
          <w:sz w:val="20"/>
          <w:szCs w:val="20"/>
          <w:lang w:val="en-US"/>
        </w:rPr>
      </w:pPr>
    </w:p>
    <w:p w14:paraId="06464A12"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Sample processing and quality control</w:t>
      </w:r>
    </w:p>
    <w:p w14:paraId="51944C82" w14:textId="77777777" w:rsidR="0045056C" w:rsidRPr="00BC3878" w:rsidRDefault="0045056C" w:rsidP="0045056C">
      <w:pPr>
        <w:rPr>
          <w:rFonts w:asciiTheme="minorHAnsi" w:hAnsiTheme="minorHAnsi" w:cstheme="minorHAnsi"/>
          <w:b/>
          <w:color w:val="000000" w:themeColor="text1"/>
          <w:sz w:val="20"/>
          <w:szCs w:val="20"/>
          <w:lang w:val="en-US"/>
        </w:rPr>
      </w:pPr>
      <w:r w:rsidRPr="00BC3878">
        <w:rPr>
          <w:rFonts w:asciiTheme="minorHAnsi" w:hAnsiTheme="minorHAnsi" w:cstheme="minorHAnsi"/>
          <w:color w:val="000000" w:themeColor="text1"/>
          <w:sz w:val="20"/>
          <w:szCs w:val="20"/>
          <w:lang w:val="en-US"/>
        </w:rPr>
        <w:t xml:space="preserve">Non-corrupted raw data CEL files were downloaded from GEO for the selected samples. We generated an MD5 hash for each CEL file to identify samples uploaded to GEO multiple times. After removing duplicate CEL files, pre-processing and aggregation of CEL files was performed with robust multiarray averaging (RMA using the </w:t>
      </w:r>
      <w:proofErr w:type="spellStart"/>
      <w:r w:rsidRPr="00BC3878">
        <w:rPr>
          <w:rFonts w:asciiTheme="minorHAnsi" w:hAnsiTheme="minorHAnsi" w:cstheme="minorHAnsi"/>
          <w:color w:val="000000" w:themeColor="text1"/>
          <w:sz w:val="20"/>
          <w:szCs w:val="20"/>
          <w:lang w:val="en-US"/>
        </w:rPr>
        <w:t>justRMA</w:t>
      </w:r>
      <w:proofErr w:type="spellEnd"/>
      <w:r w:rsidRPr="00BC3878">
        <w:rPr>
          <w:rFonts w:asciiTheme="minorHAnsi" w:hAnsiTheme="minorHAnsi" w:cstheme="minorHAnsi"/>
          <w:color w:val="000000" w:themeColor="text1"/>
          <w:sz w:val="20"/>
          <w:szCs w:val="20"/>
          <w:lang w:val="en-US"/>
        </w:rPr>
        <w:t xml:space="preserve"> function from R package </w:t>
      </w:r>
      <w:proofErr w:type="spellStart"/>
      <w:r w:rsidRPr="00BC3878">
        <w:rPr>
          <w:rFonts w:asciiTheme="minorHAnsi" w:hAnsiTheme="minorHAnsi" w:cstheme="minorHAnsi"/>
          <w:color w:val="000000" w:themeColor="text1"/>
          <w:sz w:val="20"/>
          <w:szCs w:val="20"/>
          <w:lang w:val="en-US"/>
        </w:rPr>
        <w:t>aroma.affymetrix</w:t>
      </w:r>
      <w:proofErr w:type="spellEnd"/>
      <w:r w:rsidRPr="00BC3878">
        <w:rPr>
          <w:rFonts w:asciiTheme="minorHAnsi" w:hAnsiTheme="minorHAnsi" w:cstheme="minorHAnsi"/>
          <w:color w:val="000000" w:themeColor="text1"/>
          <w:sz w:val="20"/>
          <w:szCs w:val="20"/>
          <w:lang w:val="en-US"/>
        </w:rPr>
        <w:t xml:space="preserve"> v3.2.0) method using R version 3.5.2. </w:t>
      </w:r>
      <w:r w:rsidRPr="00BC3878">
        <w:rPr>
          <w:rFonts w:asciiTheme="minorHAnsi" w:hAnsiTheme="minorHAnsi" w:cstheme="minorHAnsi"/>
          <w:bCs/>
          <w:color w:val="000000" w:themeColor="text1"/>
          <w:sz w:val="20"/>
          <w:szCs w:val="20"/>
          <w:lang w:val="en-US"/>
        </w:rPr>
        <w:t>Principal Component Analysis (PCA) on the sample correlation matrix was used for quality control as previously described.</w:t>
      </w:r>
      <w:r w:rsidRPr="00BC3878">
        <w:rPr>
          <w:rFonts w:asciiTheme="minorHAnsi" w:hAnsiTheme="minorHAnsi" w:cstheme="minorHAnsi"/>
          <w:bCs/>
          <w:color w:val="000000" w:themeColor="text1"/>
          <w:sz w:val="20"/>
          <w:szCs w:val="20"/>
          <w:vertAlign w:val="superscript"/>
          <w:lang w:val="en-US"/>
        </w:rPr>
        <w:t>4</w:t>
      </w:r>
      <w:r w:rsidRPr="00BC3878">
        <w:rPr>
          <w:rFonts w:asciiTheme="minorHAnsi" w:hAnsiTheme="minorHAnsi" w:cstheme="minorHAnsi"/>
          <w:bCs/>
          <w:color w:val="000000" w:themeColor="text1"/>
          <w:sz w:val="20"/>
          <w:szCs w:val="20"/>
          <w:lang w:val="en-US"/>
        </w:rPr>
        <w:t xml:space="preserve"> The first principal component (</w:t>
      </w:r>
      <w:proofErr w:type="spellStart"/>
      <w:r w:rsidRPr="00BC3878">
        <w:rPr>
          <w:rFonts w:asciiTheme="minorHAnsi" w:hAnsiTheme="minorHAnsi" w:cstheme="minorHAnsi"/>
          <w:bCs/>
          <w:color w:val="000000" w:themeColor="text1"/>
          <w:sz w:val="20"/>
          <w:szCs w:val="20"/>
          <w:lang w:val="en-US"/>
        </w:rPr>
        <w:t>PCqc</w:t>
      </w:r>
      <w:proofErr w:type="spellEnd"/>
      <w:r w:rsidRPr="00BC3878">
        <w:rPr>
          <w:rFonts w:asciiTheme="minorHAnsi" w:hAnsiTheme="minorHAnsi" w:cstheme="minorHAnsi"/>
          <w:bCs/>
          <w:color w:val="000000" w:themeColor="text1"/>
          <w:sz w:val="20"/>
          <w:szCs w:val="20"/>
          <w:lang w:val="en-US"/>
        </w:rPr>
        <w:t xml:space="preserve">) of such an expression microarray correlation matrix nearly always describes a constant pattern that dominates the data, explaining around 80% to 90% of the total variance. This pattern can be regarded as probe-specific or platform-specific variance, independent of the biological sample hybridized to the array. The correlation of each microarray expression profile with this </w:t>
      </w:r>
      <w:proofErr w:type="spellStart"/>
      <w:r w:rsidRPr="00BC3878">
        <w:rPr>
          <w:rFonts w:asciiTheme="minorHAnsi" w:hAnsiTheme="minorHAnsi" w:cstheme="minorHAnsi"/>
          <w:bCs/>
          <w:color w:val="000000" w:themeColor="text1"/>
          <w:sz w:val="20"/>
          <w:szCs w:val="20"/>
          <w:lang w:val="en-US"/>
        </w:rPr>
        <w:t>PCqc</w:t>
      </w:r>
      <w:proofErr w:type="spellEnd"/>
      <w:r w:rsidRPr="00BC3878">
        <w:rPr>
          <w:rFonts w:asciiTheme="minorHAnsi" w:hAnsiTheme="minorHAnsi" w:cstheme="minorHAnsi"/>
          <w:bCs/>
          <w:color w:val="000000" w:themeColor="text1"/>
          <w:sz w:val="20"/>
          <w:szCs w:val="20"/>
          <w:lang w:val="en-US"/>
        </w:rPr>
        <w:t xml:space="preserve"> can be used to detect outliers, as arrays of lesser quality will have a lower correlation with the </w:t>
      </w:r>
      <w:proofErr w:type="spellStart"/>
      <w:r w:rsidRPr="00BC3878">
        <w:rPr>
          <w:rFonts w:asciiTheme="minorHAnsi" w:hAnsiTheme="minorHAnsi" w:cstheme="minorHAnsi"/>
          <w:bCs/>
          <w:color w:val="000000" w:themeColor="text1"/>
          <w:sz w:val="20"/>
          <w:szCs w:val="20"/>
          <w:lang w:val="en-US"/>
        </w:rPr>
        <w:t>PCqc</w:t>
      </w:r>
      <w:proofErr w:type="spellEnd"/>
      <w:r w:rsidRPr="00BC3878">
        <w:rPr>
          <w:rFonts w:asciiTheme="minorHAnsi" w:hAnsiTheme="minorHAnsi" w:cstheme="minorHAnsi"/>
          <w:bCs/>
          <w:color w:val="000000" w:themeColor="text1"/>
          <w:sz w:val="20"/>
          <w:szCs w:val="20"/>
          <w:lang w:val="en-US"/>
        </w:rPr>
        <w:t xml:space="preserve">. We removed samples that had a correlation R &lt; 0.8. </w:t>
      </w:r>
      <w:r w:rsidRPr="00BC3878">
        <w:rPr>
          <w:rFonts w:asciiTheme="minorHAnsi" w:hAnsiTheme="minorHAnsi" w:cstheme="minorHAnsi"/>
          <w:color w:val="000000" w:themeColor="text1"/>
          <w:sz w:val="20"/>
          <w:szCs w:val="20"/>
          <w:lang w:val="en-US"/>
        </w:rPr>
        <w:t xml:space="preserve">MD5 hash duplicate removal does not detect identical samples when meta-data is different in the raw CEL files. </w:t>
      </w:r>
      <w:r w:rsidRPr="00BC3878">
        <w:rPr>
          <w:rFonts w:asciiTheme="minorHAnsi" w:hAnsiTheme="minorHAnsi" w:cstheme="minorHAnsi"/>
          <w:bCs/>
          <w:color w:val="000000" w:themeColor="text1"/>
          <w:sz w:val="20"/>
          <w:szCs w:val="20"/>
          <w:lang w:val="en-US"/>
        </w:rPr>
        <w:t>Pearson correlation coefficients among gene expression profiles were obtained to identify samples with identical expression values. One sample from each set of duplicate samples was randomly chosen, and the remaining were removed from subsequent analyses.</w:t>
      </w:r>
    </w:p>
    <w:p w14:paraId="41480B5E" w14:textId="77777777" w:rsidR="0045056C" w:rsidRPr="00BC3878" w:rsidRDefault="0045056C" w:rsidP="0045056C">
      <w:pPr>
        <w:rPr>
          <w:rFonts w:asciiTheme="minorHAnsi" w:hAnsiTheme="minorHAnsi" w:cstheme="minorHAnsi"/>
          <w:bCs/>
          <w:color w:val="000000" w:themeColor="text1"/>
          <w:sz w:val="20"/>
          <w:szCs w:val="20"/>
          <w:lang w:val="en-US"/>
        </w:rPr>
      </w:pPr>
    </w:p>
    <w:p w14:paraId="03E8DD75"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Consensus-independent component analysis (c-ICA)</w:t>
      </w:r>
    </w:p>
    <w:p w14:paraId="17848FD9" w14:textId="77777777" w:rsidR="0045056C" w:rsidRPr="00BC3878" w:rsidRDefault="0045056C" w:rsidP="0045056C">
      <w:pPr>
        <w:rPr>
          <w:rFonts w:asciiTheme="minorHAnsi" w:hAnsiTheme="minorHAnsi" w:cstheme="minorHAnsi"/>
          <w:bCs/>
          <w:color w:val="000000" w:themeColor="text1"/>
          <w:sz w:val="20"/>
          <w:szCs w:val="20"/>
          <w:lang w:val="en-US"/>
        </w:rPr>
      </w:pPr>
      <w:r w:rsidRPr="00BC3878">
        <w:rPr>
          <w:rFonts w:asciiTheme="minorHAnsi" w:hAnsiTheme="minorHAnsi" w:cstheme="minorHAnsi"/>
          <w:bCs/>
          <w:color w:val="000000" w:themeColor="text1"/>
          <w:sz w:val="20"/>
          <w:szCs w:val="20"/>
          <w:lang w:val="en-US"/>
        </w:rPr>
        <w:t>Consensus-independent component analysis (c-ICA) was performed to segregate the average expression patterns of complex biopsies into statistically independent transcriptional patterns as previously described.</w:t>
      </w:r>
      <w:r w:rsidRPr="00BC3878">
        <w:rPr>
          <w:rFonts w:asciiTheme="minorHAnsi" w:hAnsiTheme="minorHAnsi" w:cstheme="minorHAnsi"/>
          <w:bCs/>
          <w:color w:val="000000" w:themeColor="text1"/>
          <w:sz w:val="20"/>
          <w:szCs w:val="20"/>
          <w:vertAlign w:val="superscript"/>
          <w:lang w:val="en-US"/>
        </w:rPr>
        <w:t>5</w:t>
      </w:r>
      <w:r w:rsidRPr="00BC3878">
        <w:rPr>
          <w:rFonts w:asciiTheme="minorHAnsi" w:hAnsiTheme="minorHAnsi" w:cstheme="minorHAnsi"/>
          <w:bCs/>
          <w:color w:val="000000" w:themeColor="text1"/>
          <w:sz w:val="20"/>
          <w:szCs w:val="20"/>
          <w:lang w:val="en-US"/>
        </w:rPr>
        <w:t xml:space="preserve"> </w:t>
      </w:r>
      <w:r w:rsidRPr="00BC3878">
        <w:rPr>
          <w:rFonts w:asciiTheme="minorHAnsi" w:hAnsiTheme="minorHAnsi" w:cstheme="minorHAnsi"/>
          <w:color w:val="000000" w:themeColor="text1"/>
          <w:sz w:val="20"/>
          <w:szCs w:val="20"/>
          <w:lang w:val="en-US"/>
        </w:rPr>
        <w:t>These patterns are hereafter referred to as transcriptional components (TCs).</w:t>
      </w:r>
    </w:p>
    <w:p w14:paraId="538F301A" w14:textId="77777777" w:rsidR="0045056C" w:rsidRPr="00BC3878" w:rsidRDefault="0045056C" w:rsidP="0045056C">
      <w:pPr>
        <w:ind w:firstLine="720"/>
        <w:rPr>
          <w:rFonts w:asciiTheme="minorHAnsi" w:hAnsiTheme="minorHAnsi" w:cstheme="minorHAnsi"/>
          <w:bCs/>
          <w:color w:val="000000" w:themeColor="text1"/>
          <w:sz w:val="20"/>
          <w:szCs w:val="20"/>
          <w:lang w:val="en-US"/>
        </w:rPr>
      </w:pPr>
      <w:r w:rsidRPr="00BC3878">
        <w:rPr>
          <w:rFonts w:asciiTheme="minorHAnsi" w:hAnsiTheme="minorHAnsi" w:cstheme="minorHAnsi"/>
          <w:color w:val="000000" w:themeColor="text1"/>
          <w:sz w:val="20"/>
          <w:szCs w:val="20"/>
          <w:lang w:val="en-US"/>
        </w:rPr>
        <w:t xml:space="preserve">Applying ICA on a gene expression data set with </w:t>
      </w:r>
      <w:r w:rsidRPr="00BC3878">
        <w:rPr>
          <w:rFonts w:ascii="Cambria Math" w:hAnsi="Cambria Math" w:cs="Cambria Math"/>
          <w:color w:val="000000" w:themeColor="text1"/>
          <w:sz w:val="20"/>
          <w:szCs w:val="20"/>
          <w:lang w:val="en-US"/>
        </w:rPr>
        <w:t>𝑝</w:t>
      </w:r>
      <w:r w:rsidRPr="00BC3878">
        <w:rPr>
          <w:rFonts w:asciiTheme="minorHAnsi" w:hAnsiTheme="minorHAnsi" w:cstheme="minorHAnsi"/>
          <w:color w:val="000000" w:themeColor="text1"/>
          <w:sz w:val="20"/>
          <w:szCs w:val="20"/>
          <w:lang w:val="en-US"/>
        </w:rPr>
        <w:t xml:space="preserve"> genes and </w:t>
      </w:r>
      <w:r w:rsidRPr="00BC3878">
        <w:rPr>
          <w:rFonts w:ascii="Cambria Math" w:hAnsi="Cambria Math" w:cs="Cambria Math"/>
          <w:color w:val="000000" w:themeColor="text1"/>
          <w:sz w:val="20"/>
          <w:szCs w:val="20"/>
          <w:lang w:val="en-US"/>
        </w:rPr>
        <w:t>𝑛</w:t>
      </w:r>
      <w:r w:rsidRPr="00BC3878">
        <w:rPr>
          <w:rFonts w:asciiTheme="minorHAnsi" w:hAnsiTheme="minorHAnsi" w:cstheme="minorHAnsi"/>
          <w:color w:val="000000" w:themeColor="text1"/>
          <w:sz w:val="20"/>
          <w:szCs w:val="20"/>
          <w:lang w:val="en-US"/>
        </w:rPr>
        <w:t xml:space="preserve"> samples results in the extraction of </w:t>
      </w:r>
      <w:proofErr w:type="spellStart"/>
      <w:r w:rsidRPr="00BC3878">
        <w:rPr>
          <w:rFonts w:asciiTheme="minorHAnsi" w:hAnsiTheme="minorHAnsi" w:cstheme="minorHAnsi"/>
          <w:i/>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xml:space="preserve"> independent components of dimension 1×</w:t>
      </w:r>
      <w:r w:rsidRPr="00BC3878">
        <w:rPr>
          <w:rFonts w:asciiTheme="minorHAnsi" w:hAnsiTheme="minorHAnsi" w:cstheme="minorHAnsi"/>
          <w:i/>
          <w:iCs/>
          <w:color w:val="000000" w:themeColor="text1"/>
          <w:sz w:val="20"/>
          <w:szCs w:val="20"/>
          <w:lang w:val="en-US"/>
        </w:rPr>
        <w:t xml:space="preserve">p </w:t>
      </w:r>
      <w:r w:rsidRPr="00BC3878">
        <w:rPr>
          <w:rFonts w:asciiTheme="minorHAnsi" w:hAnsiTheme="minorHAnsi" w:cstheme="minorHAnsi"/>
          <w:iCs/>
          <w:color w:val="000000" w:themeColor="text1"/>
          <w:sz w:val="20"/>
          <w:szCs w:val="20"/>
          <w:lang w:val="en-US"/>
        </w:rPr>
        <w:t>(hereafter called estimated sources, ESs)</w:t>
      </w:r>
      <w:r w:rsidRPr="00BC3878">
        <w:rPr>
          <w:rFonts w:asciiTheme="minorHAnsi" w:hAnsiTheme="minorHAnsi" w:cstheme="minorHAnsi"/>
          <w:color w:val="000000" w:themeColor="text1"/>
          <w:sz w:val="20"/>
          <w:szCs w:val="20"/>
          <w:lang w:val="en-US"/>
        </w:rPr>
        <w:t xml:space="preserve"> and a mixing matrix (MM) of dimension </w:t>
      </w:r>
      <w:proofErr w:type="spellStart"/>
      <w:r w:rsidRPr="00BC3878">
        <w:rPr>
          <w:rFonts w:asciiTheme="minorHAnsi" w:hAnsiTheme="minorHAnsi" w:cstheme="minorHAnsi"/>
          <w:i/>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 </w:t>
      </w:r>
      <w:r w:rsidRPr="00BC3878">
        <w:rPr>
          <w:rFonts w:asciiTheme="minorHAnsi" w:hAnsiTheme="minorHAnsi" w:cstheme="minorHAnsi"/>
          <w:i/>
          <w:color w:val="000000" w:themeColor="text1"/>
          <w:sz w:val="20"/>
          <w:szCs w:val="20"/>
          <w:lang w:val="en-US"/>
        </w:rPr>
        <w:t>n,</w:t>
      </w:r>
      <w:r w:rsidRPr="00BC3878">
        <w:rPr>
          <w:rFonts w:asciiTheme="minorHAnsi" w:hAnsiTheme="minorHAnsi" w:cstheme="minorHAnsi"/>
          <w:color w:val="000000" w:themeColor="text1"/>
          <w:sz w:val="20"/>
          <w:szCs w:val="20"/>
          <w:lang w:val="en-US"/>
        </w:rPr>
        <w:t xml:space="preserve"> which contains the coefficients of ESs in each sample.</w:t>
      </w:r>
      <w:r w:rsidRPr="00BC3878">
        <w:rPr>
          <w:rFonts w:asciiTheme="minorHAnsi" w:hAnsiTheme="minorHAnsi" w:cstheme="minorHAnsi"/>
          <w:bCs/>
          <w:color w:val="000000" w:themeColor="text1"/>
          <w:sz w:val="20"/>
          <w:szCs w:val="20"/>
          <w:lang w:val="en-US"/>
        </w:rPr>
        <w:t xml:space="preserve"> </w:t>
      </w:r>
      <w:r w:rsidRPr="00BC3878">
        <w:rPr>
          <w:rFonts w:asciiTheme="minorHAnsi" w:hAnsiTheme="minorHAnsi" w:cstheme="minorHAnsi"/>
          <w:color w:val="000000" w:themeColor="text1"/>
          <w:sz w:val="20"/>
          <w:szCs w:val="20"/>
          <w:lang w:val="en-US"/>
        </w:rPr>
        <w:t xml:space="preserve">The weight of each ES represents the direction and magnitude of its effect on the expression level of each gene. The coefficients of MM represent activity scores of the ESs in the corresponding sample. In ICA, a pre-processing technique called whitening is applied to the input data set to make the estimation more time-efficient. Whitening was used to transform the gene expression profiles of all samples so that the transformed profiles are uncorrelated and have a variance of one. Next, ICA was performed on the whitened data set using the </w:t>
      </w:r>
      <w:proofErr w:type="spellStart"/>
      <w:r w:rsidRPr="00BC3878">
        <w:rPr>
          <w:rFonts w:asciiTheme="minorHAnsi" w:hAnsiTheme="minorHAnsi" w:cstheme="minorHAnsi"/>
          <w:color w:val="000000" w:themeColor="text1"/>
          <w:sz w:val="20"/>
          <w:szCs w:val="20"/>
          <w:lang w:val="en-US"/>
        </w:rPr>
        <w:t>fastICA</w:t>
      </w:r>
      <w:proofErr w:type="spellEnd"/>
      <w:r w:rsidRPr="00BC3878">
        <w:rPr>
          <w:rFonts w:asciiTheme="minorHAnsi" w:hAnsiTheme="minorHAnsi" w:cstheme="minorHAnsi"/>
          <w:color w:val="000000" w:themeColor="text1"/>
          <w:sz w:val="20"/>
          <w:szCs w:val="20"/>
          <w:lang w:val="en-US"/>
        </w:rPr>
        <w:t xml:space="preserve"> algorithm in our in-house tool </w:t>
      </w:r>
      <w:proofErr w:type="spellStart"/>
      <w:r w:rsidRPr="00BC3878">
        <w:rPr>
          <w:rFonts w:asciiTheme="minorHAnsi" w:hAnsiTheme="minorHAnsi" w:cstheme="minorHAnsi"/>
          <w:color w:val="000000" w:themeColor="text1"/>
          <w:sz w:val="20"/>
          <w:szCs w:val="20"/>
          <w:lang w:val="en-US"/>
        </w:rPr>
        <w:t>Analyzertool</w:t>
      </w:r>
      <w:proofErr w:type="spellEnd"/>
      <w:r w:rsidRPr="00BC3878">
        <w:rPr>
          <w:rFonts w:asciiTheme="minorHAnsi" w:hAnsiTheme="minorHAnsi" w:cstheme="minorHAnsi"/>
          <w:color w:val="000000" w:themeColor="text1"/>
          <w:sz w:val="20"/>
          <w:szCs w:val="20"/>
          <w:lang w:val="en-US"/>
        </w:rPr>
        <w:t xml:space="preserve"> version 5.0, resulting in the extraction of </w:t>
      </w:r>
      <w:proofErr w:type="spellStart"/>
      <w:r w:rsidRPr="00BC3878">
        <w:rPr>
          <w:rFonts w:asciiTheme="minorHAnsi" w:hAnsiTheme="minorHAnsi" w:cstheme="minorHAnsi"/>
          <w:i/>
          <w:iCs/>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xml:space="preserve"> independent components and a mixing matrix. The parameter </w:t>
      </w:r>
      <w:proofErr w:type="spellStart"/>
      <w:r w:rsidRPr="00BC3878">
        <w:rPr>
          <w:rFonts w:asciiTheme="minorHAnsi" w:hAnsiTheme="minorHAnsi" w:cstheme="minorHAnsi"/>
          <w:i/>
          <w:iCs/>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xml:space="preserve"> was chosen as the number of top principal components, which captured 90% of the total variance in the data set.</w:t>
      </w:r>
    </w:p>
    <w:p w14:paraId="37353F18" w14:textId="77777777" w:rsidR="0045056C" w:rsidRPr="00BC3878" w:rsidRDefault="0045056C" w:rsidP="0045056C">
      <w:pPr>
        <w:ind w:firstLine="720"/>
        <w:rPr>
          <w:rFonts w:asciiTheme="minorHAnsi" w:hAnsiTheme="minorHAnsi" w:cstheme="minorHAnsi"/>
          <w:bCs/>
          <w:color w:val="000000" w:themeColor="text1"/>
          <w:sz w:val="20"/>
          <w:szCs w:val="20"/>
          <w:lang w:val="en-US"/>
        </w:rPr>
      </w:pPr>
      <w:r w:rsidRPr="00BC3878">
        <w:rPr>
          <w:rFonts w:asciiTheme="minorHAnsi" w:hAnsiTheme="minorHAnsi" w:cstheme="minorHAnsi"/>
          <w:color w:val="000000" w:themeColor="text1"/>
          <w:sz w:val="20"/>
          <w:szCs w:val="20"/>
          <w:lang w:val="en-US"/>
        </w:rPr>
        <w:t xml:space="preserve">In ICA, an initial random weight vector with a variance of 1 must be chosen to start the search for statistically independent ESs. Hence, varying initial random weight vectors could result in different sets of ESs. To retrieve a set of consensus ESs (referred to as TCs), we performed 25 ICA runs, each with another random initialization weight vector. The assumption is that over many ICA runs, the </w:t>
      </w:r>
      <w:proofErr w:type="spellStart"/>
      <w:r w:rsidRPr="00BC3878">
        <w:rPr>
          <w:rFonts w:asciiTheme="minorHAnsi" w:hAnsiTheme="minorHAnsi" w:cstheme="minorHAnsi"/>
          <w:color w:val="000000" w:themeColor="text1"/>
          <w:sz w:val="20"/>
          <w:szCs w:val="20"/>
          <w:lang w:val="en-US"/>
        </w:rPr>
        <w:t>fastICA</w:t>
      </w:r>
      <w:proofErr w:type="spellEnd"/>
      <w:r w:rsidRPr="00BC3878">
        <w:rPr>
          <w:rFonts w:asciiTheme="minorHAnsi" w:hAnsiTheme="minorHAnsi" w:cstheme="minorHAnsi"/>
          <w:color w:val="000000" w:themeColor="text1"/>
          <w:sz w:val="20"/>
          <w:szCs w:val="20"/>
          <w:lang w:val="en-US"/>
        </w:rPr>
        <w:t xml:space="preserve"> algorithm converges to global solution for most of the runs. ESs extracted from these runs were clustered together if the absolute </w:t>
      </w:r>
      <w:r w:rsidRPr="00BC3878">
        <w:rPr>
          <w:rFonts w:asciiTheme="minorHAnsi" w:hAnsiTheme="minorHAnsi" w:cstheme="minorHAnsi"/>
          <w:color w:val="000000" w:themeColor="text1"/>
          <w:sz w:val="20"/>
          <w:szCs w:val="20"/>
          <w:lang w:val="en-US"/>
        </w:rPr>
        <w:lastRenderedPageBreak/>
        <w:t xml:space="preserve">value of Pearson correlation between them was &gt; 0.9. Clusters with ES present in &gt;50% of the runs were used to obtain </w:t>
      </w:r>
      <w:r w:rsidRPr="00BC3878">
        <w:rPr>
          <w:rFonts w:asciiTheme="minorHAnsi" w:hAnsiTheme="minorHAnsi" w:cstheme="minorHAnsi"/>
          <w:i/>
          <w:iCs/>
          <w:color w:val="000000" w:themeColor="text1"/>
          <w:sz w:val="20"/>
          <w:szCs w:val="20"/>
          <w:lang w:val="en-US"/>
        </w:rPr>
        <w:t>m</w:t>
      </w:r>
      <w:r w:rsidRPr="00BC3878">
        <w:rPr>
          <w:rFonts w:asciiTheme="minorHAnsi" w:hAnsiTheme="minorHAnsi" w:cstheme="minorHAnsi"/>
          <w:color w:val="000000" w:themeColor="text1"/>
          <w:sz w:val="20"/>
          <w:szCs w:val="20"/>
          <w:lang w:val="en-US"/>
        </w:rPr>
        <w:t xml:space="preserve"> TCs using the following formula:</w:t>
      </w:r>
    </w:p>
    <w:p w14:paraId="10C259E8" w14:textId="77777777" w:rsidR="0045056C" w:rsidRPr="00BC3878" w:rsidRDefault="0045056C" w:rsidP="0045056C">
      <w:pPr>
        <w:rPr>
          <w:rFonts w:asciiTheme="minorHAnsi" w:hAnsiTheme="minorHAnsi" w:cstheme="minorHAnsi"/>
          <w:color w:val="000000" w:themeColor="text1"/>
          <w:sz w:val="20"/>
          <w:szCs w:val="20"/>
          <w:lang w:val="en-US"/>
        </w:rPr>
      </w:pPr>
      <m:oMathPara>
        <m:oMath>
          <m:r>
            <w:rPr>
              <w:rFonts w:ascii="Cambria Math" w:hAnsi="Cambria Math" w:cstheme="minorHAnsi"/>
              <w:color w:val="000000" w:themeColor="text1"/>
              <w:sz w:val="20"/>
              <w:szCs w:val="20"/>
              <w:lang w:val="en-US"/>
            </w:rPr>
            <m:t xml:space="preserve"> </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TC</m:t>
              </m:r>
            </m:e>
            <m:sub>
              <m:r>
                <w:rPr>
                  <w:rFonts w:ascii="Cambria Math" w:hAnsi="Cambria Math" w:cstheme="minorHAnsi"/>
                  <w:color w:val="000000" w:themeColor="text1"/>
                  <w:sz w:val="20"/>
                  <w:szCs w:val="20"/>
                  <w:lang w:val="en-US"/>
                </w:rPr>
                <m:t>p×1</m:t>
              </m:r>
            </m:sub>
          </m:sSub>
          <m:r>
            <w:rPr>
              <w:rFonts w:ascii="Cambria Math" w:hAnsi="Cambria Math" w:cstheme="minorHAnsi"/>
              <w:color w:val="000000" w:themeColor="text1"/>
              <w:sz w:val="20"/>
              <w:szCs w:val="20"/>
              <w:lang w:val="en-US"/>
            </w:rPr>
            <m:t>=(1/n)</m:t>
          </m:r>
          <m:nary>
            <m:naryPr>
              <m:chr m:val="∑"/>
              <m:limLoc m:val="subSup"/>
              <m:ctrlPr>
                <w:rPr>
                  <w:rFonts w:ascii="Cambria Math" w:hAnsi="Cambria Math" w:cstheme="minorHAnsi"/>
                  <w:i/>
                  <w:color w:val="000000" w:themeColor="text1"/>
                  <w:sz w:val="20"/>
                  <w:szCs w:val="20"/>
                  <w:lang w:val="en-US"/>
                </w:rPr>
              </m:ctrlPr>
            </m:naryPr>
            <m:sub>
              <m:r>
                <w:rPr>
                  <w:rFonts w:ascii="Cambria Math" w:hAnsi="Cambria Math" w:cstheme="minorHAnsi"/>
                  <w:color w:val="000000" w:themeColor="text1"/>
                  <w:sz w:val="20"/>
                  <w:szCs w:val="20"/>
                  <w:lang w:val="en-US"/>
                </w:rPr>
                <m:t>i=1</m:t>
              </m:r>
            </m:sub>
            <m:sup>
              <m:r>
                <w:rPr>
                  <w:rFonts w:ascii="Cambria Math" w:hAnsi="Cambria Math" w:cstheme="minorHAnsi"/>
                  <w:color w:val="000000" w:themeColor="text1"/>
                  <w:sz w:val="20"/>
                  <w:szCs w:val="20"/>
                  <w:lang w:val="en-US"/>
                </w:rPr>
                <m:t>n</m:t>
              </m:r>
            </m:sup>
            <m:e>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ES</m:t>
                  </m:r>
                </m:e>
                <m:sub>
                  <m:r>
                    <w:rPr>
                      <w:rFonts w:ascii="Cambria Math" w:hAnsi="Cambria Math" w:cstheme="minorHAnsi"/>
                      <w:color w:val="000000" w:themeColor="text1"/>
                      <w:sz w:val="20"/>
                      <w:szCs w:val="20"/>
                      <w:lang w:val="en-US"/>
                    </w:rPr>
                    <m:t>i</m:t>
                  </m:r>
                </m:sub>
              </m:sSub>
              <m:r>
                <w:rPr>
                  <w:rFonts w:ascii="Cambria Math" w:hAnsi="Cambria Math" w:cstheme="minorHAnsi"/>
                  <w:color w:val="000000" w:themeColor="text1"/>
                  <w:sz w:val="20"/>
                  <w:szCs w:val="20"/>
                  <w:lang w:val="en-US"/>
                </w:rPr>
                <m:t>×sign</m:t>
              </m:r>
              <m:d>
                <m:dPr>
                  <m:ctrlPr>
                    <w:rPr>
                      <w:rFonts w:ascii="Cambria Math" w:hAnsi="Cambria Math" w:cstheme="minorHAnsi"/>
                      <w:i/>
                      <w:color w:val="000000" w:themeColor="text1"/>
                      <w:sz w:val="20"/>
                      <w:szCs w:val="20"/>
                      <w:lang w:val="en-US"/>
                    </w:rPr>
                  </m:ctrlPr>
                </m:dPr>
                <m:e>
                  <m:r>
                    <w:rPr>
                      <w:rFonts w:ascii="Cambria Math" w:hAnsi="Cambria Math" w:cstheme="minorHAnsi"/>
                      <w:color w:val="000000" w:themeColor="text1"/>
                      <w:sz w:val="20"/>
                      <w:szCs w:val="20"/>
                      <w:lang w:val="en-US"/>
                    </w:rPr>
                    <m:t>correlation</m:t>
                  </m:r>
                  <m:d>
                    <m:dPr>
                      <m:ctrlPr>
                        <w:rPr>
                          <w:rFonts w:ascii="Cambria Math" w:hAnsi="Cambria Math" w:cstheme="minorHAnsi"/>
                          <w:i/>
                          <w:color w:val="000000" w:themeColor="text1"/>
                          <w:sz w:val="20"/>
                          <w:szCs w:val="20"/>
                          <w:lang w:val="en-US"/>
                        </w:rPr>
                      </m:ctrlPr>
                    </m:dPr>
                    <m:e>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ES</m:t>
                          </m:r>
                        </m:e>
                        <m:sub>
                          <m:r>
                            <w:rPr>
                              <w:rFonts w:ascii="Cambria Math" w:hAnsi="Cambria Math" w:cstheme="minorHAnsi"/>
                              <w:color w:val="000000" w:themeColor="text1"/>
                              <w:sz w:val="20"/>
                              <w:szCs w:val="20"/>
                              <w:lang w:val="en-US"/>
                            </w:rPr>
                            <m:t>1</m:t>
                          </m:r>
                        </m:sub>
                      </m:sSub>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ES</m:t>
                          </m:r>
                        </m:e>
                        <m:sub>
                          <m:r>
                            <w:rPr>
                              <w:rFonts w:ascii="Cambria Math" w:hAnsi="Cambria Math" w:cstheme="minorHAnsi"/>
                              <w:color w:val="000000" w:themeColor="text1"/>
                              <w:sz w:val="20"/>
                              <w:szCs w:val="20"/>
                              <w:lang w:val="en-US"/>
                            </w:rPr>
                            <m:t>i</m:t>
                          </m:r>
                        </m:sub>
                      </m:sSub>
                    </m:e>
                  </m:d>
                </m:e>
              </m:d>
              <m:r>
                <w:rPr>
                  <w:rFonts w:ascii="Cambria Math" w:hAnsi="Cambria Math" w:cstheme="minorHAnsi"/>
                  <w:color w:val="000000" w:themeColor="text1"/>
                  <w:sz w:val="20"/>
                  <w:szCs w:val="20"/>
                  <w:lang w:val="en-US"/>
                </w:rPr>
                <m:t>)</m:t>
              </m:r>
            </m:e>
          </m:nary>
        </m:oMath>
      </m:oMathPara>
    </w:p>
    <w:p w14:paraId="0AFFD920" w14:textId="77777777" w:rsidR="0045056C" w:rsidRPr="00BC3878" w:rsidRDefault="0045056C" w:rsidP="0045056C">
      <w:pPr>
        <w:ind w:firstLine="72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 xml:space="preserve">These </w:t>
      </w:r>
      <w:r w:rsidRPr="00BC3878">
        <w:rPr>
          <w:rFonts w:asciiTheme="minorHAnsi" w:hAnsiTheme="minorHAnsi" w:cstheme="minorHAnsi"/>
          <w:i/>
          <w:iCs/>
          <w:color w:val="000000" w:themeColor="text1"/>
          <w:sz w:val="20"/>
          <w:szCs w:val="20"/>
          <w:lang w:val="en-US"/>
        </w:rPr>
        <w:t>m</w:t>
      </w:r>
      <w:r w:rsidRPr="00BC3878">
        <w:rPr>
          <w:rFonts w:asciiTheme="minorHAnsi" w:hAnsiTheme="minorHAnsi" w:cstheme="minorHAnsi"/>
          <w:color w:val="000000" w:themeColor="text1"/>
          <w:sz w:val="20"/>
          <w:szCs w:val="20"/>
          <w:lang w:val="en-US"/>
        </w:rPr>
        <w:t xml:space="preserve"> TCs and the gene expression data set with </w:t>
      </w:r>
      <w:r w:rsidRPr="00BC3878">
        <w:rPr>
          <w:rFonts w:asciiTheme="minorHAnsi" w:hAnsiTheme="minorHAnsi" w:cstheme="minorHAnsi"/>
          <w:i/>
          <w:iCs/>
          <w:color w:val="000000" w:themeColor="text1"/>
          <w:sz w:val="20"/>
          <w:szCs w:val="20"/>
          <w:lang w:val="en-US"/>
        </w:rPr>
        <w:t>p</w:t>
      </w:r>
      <w:r w:rsidRPr="00BC3878">
        <w:rPr>
          <w:rFonts w:asciiTheme="minorHAnsi" w:hAnsiTheme="minorHAnsi" w:cstheme="minorHAnsi"/>
          <w:color w:val="000000" w:themeColor="text1"/>
          <w:sz w:val="20"/>
          <w:szCs w:val="20"/>
          <w:lang w:val="en-US"/>
        </w:rPr>
        <w:t xml:space="preserve"> genes and </w:t>
      </w:r>
      <w:r w:rsidRPr="00BC3878">
        <w:rPr>
          <w:rFonts w:asciiTheme="minorHAnsi" w:hAnsiTheme="minorHAnsi" w:cstheme="minorHAnsi"/>
          <w:i/>
          <w:iCs/>
          <w:color w:val="000000" w:themeColor="text1"/>
          <w:sz w:val="20"/>
          <w:szCs w:val="20"/>
          <w:lang w:val="en-US"/>
        </w:rPr>
        <w:t>n</w:t>
      </w:r>
      <w:r w:rsidRPr="00BC3878">
        <w:rPr>
          <w:rFonts w:asciiTheme="minorHAnsi" w:hAnsiTheme="minorHAnsi" w:cstheme="minorHAnsi"/>
          <w:color w:val="000000" w:themeColor="text1"/>
          <w:sz w:val="20"/>
          <w:szCs w:val="20"/>
          <w:lang w:val="en-US"/>
        </w:rPr>
        <w:t xml:space="preserve"> samples (</w:t>
      </w:r>
      <m:oMath>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X</m:t>
            </m:r>
          </m:e>
          <m:sub>
            <m:r>
              <w:rPr>
                <w:rFonts w:ascii="Cambria Math" w:hAnsi="Cambria Math" w:cstheme="minorHAnsi"/>
                <w:color w:val="000000" w:themeColor="text1"/>
                <w:sz w:val="20"/>
                <w:szCs w:val="20"/>
                <w:lang w:val="en-US"/>
              </w:rPr>
              <m:t>p×n</m:t>
            </m:r>
          </m:sub>
        </m:sSub>
      </m:oMath>
      <w:r w:rsidRPr="00BC3878">
        <w:rPr>
          <w:rFonts w:asciiTheme="minorHAnsi" w:eastAsiaTheme="minorEastAsia" w:hAnsiTheme="minorHAnsi" w:cstheme="minorHAnsi"/>
          <w:color w:val="000000" w:themeColor="text1"/>
          <w:sz w:val="20"/>
          <w:szCs w:val="20"/>
          <w:lang w:val="en-US"/>
        </w:rPr>
        <w:t xml:space="preserve">) </w:t>
      </w:r>
      <w:r w:rsidRPr="00BC3878">
        <w:rPr>
          <w:rFonts w:asciiTheme="minorHAnsi" w:hAnsiTheme="minorHAnsi" w:cstheme="minorHAnsi"/>
          <w:color w:val="000000" w:themeColor="text1"/>
          <w:sz w:val="20"/>
          <w:szCs w:val="20"/>
          <w:lang w:val="en-US"/>
        </w:rPr>
        <w:t>were used in the formula below to obtain a consensus mixing matrix (or CMM), which contains the coefficients of TCs in each sample:</w:t>
      </w:r>
    </w:p>
    <w:p w14:paraId="14394AD0" w14:textId="77777777" w:rsidR="0045056C" w:rsidRPr="00BC3878" w:rsidRDefault="00000000" w:rsidP="0045056C">
      <w:pPr>
        <w:rPr>
          <w:rFonts w:asciiTheme="minorHAnsi" w:hAnsiTheme="minorHAnsi" w:cstheme="minorHAnsi"/>
          <w:color w:val="000000" w:themeColor="text1"/>
          <w:sz w:val="20"/>
          <w:szCs w:val="20"/>
          <w:lang w:val="en-US"/>
        </w:rPr>
      </w:pPr>
      <m:oMathPara>
        <m:oMath>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CMM</m:t>
              </m:r>
            </m:e>
            <m:sub>
              <m:r>
                <w:rPr>
                  <w:rFonts w:ascii="Cambria Math" w:hAnsi="Cambria Math" w:cstheme="minorHAnsi"/>
                  <w:color w:val="000000" w:themeColor="text1"/>
                  <w:sz w:val="20"/>
                  <w:szCs w:val="20"/>
                  <w:lang w:val="en-US"/>
                </w:rPr>
                <m:t>m×n</m:t>
              </m:r>
            </m:sub>
          </m:sSub>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d>
                <m:dPr>
                  <m:ctrlPr>
                    <w:rPr>
                      <w:rFonts w:ascii="Cambria Math" w:hAnsi="Cambria Math" w:cstheme="minorHAnsi"/>
                      <w:i/>
                      <w:color w:val="000000" w:themeColor="text1"/>
                      <w:sz w:val="20"/>
                      <w:szCs w:val="20"/>
                      <w:lang w:val="en-US"/>
                    </w:rPr>
                  </m:ctrlPr>
                </m:dPr>
                <m:e>
                  <m:sSup>
                    <m:sSupPr>
                      <m:ctrlPr>
                        <w:rPr>
                          <w:rFonts w:ascii="Cambria Math" w:hAnsi="Cambria Math" w:cstheme="minorHAnsi"/>
                          <w:i/>
                          <w:color w:val="000000" w:themeColor="text1"/>
                          <w:sz w:val="20"/>
                          <w:szCs w:val="20"/>
                          <w:lang w:val="en-US"/>
                        </w:rPr>
                      </m:ctrlPr>
                    </m:sSupPr>
                    <m:e>
                      <m:r>
                        <w:rPr>
                          <w:rFonts w:ascii="Cambria Math" w:hAnsi="Cambria Math" w:cstheme="minorHAnsi"/>
                          <w:color w:val="000000" w:themeColor="text1"/>
                          <w:sz w:val="20"/>
                          <w:szCs w:val="20"/>
                          <w:lang w:val="en-US"/>
                        </w:rPr>
                        <m:t>TC</m:t>
                      </m:r>
                    </m:e>
                    <m:sup>
                      <m:r>
                        <w:rPr>
                          <w:rFonts w:ascii="Cambria Math" w:hAnsi="Cambria Math" w:cstheme="minorHAnsi"/>
                          <w:color w:val="000000" w:themeColor="text1"/>
                          <w:sz w:val="20"/>
                          <w:szCs w:val="20"/>
                          <w:lang w:val="en-US"/>
                        </w:rPr>
                        <m:t>'</m:t>
                      </m:r>
                    </m:sup>
                  </m:sSup>
                </m:e>
              </m:d>
            </m:e>
            <m:sub>
              <m:r>
                <w:rPr>
                  <w:rFonts w:ascii="Cambria Math" w:hAnsi="Cambria Math" w:cstheme="minorHAnsi"/>
                  <w:color w:val="000000" w:themeColor="text1"/>
                  <w:sz w:val="20"/>
                  <w:szCs w:val="20"/>
                  <w:lang w:val="en-US"/>
                </w:rPr>
                <m:t>m×p</m:t>
              </m:r>
            </m:sub>
          </m:sSub>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TC</m:t>
              </m:r>
            </m:e>
            <m:sub>
              <m:r>
                <w:rPr>
                  <w:rFonts w:ascii="Cambria Math" w:hAnsi="Cambria Math" w:cstheme="minorHAnsi"/>
                  <w:color w:val="000000" w:themeColor="text1"/>
                  <w:sz w:val="20"/>
                  <w:szCs w:val="20"/>
                  <w:lang w:val="en-US"/>
                </w:rPr>
                <m:t>p×m</m:t>
              </m:r>
            </m:sub>
          </m:sSub>
          <m:sSup>
            <m:sSupPr>
              <m:ctrlPr>
                <w:rPr>
                  <w:rFonts w:ascii="Cambria Math" w:hAnsi="Cambria Math" w:cstheme="minorHAnsi"/>
                  <w:i/>
                  <w:color w:val="000000" w:themeColor="text1"/>
                  <w:sz w:val="20"/>
                  <w:szCs w:val="20"/>
                  <w:lang w:val="en-US"/>
                </w:rPr>
              </m:ctrlPr>
            </m:sSupPr>
            <m:e>
              <m:r>
                <w:rPr>
                  <w:rFonts w:ascii="Cambria Math" w:hAnsi="Cambria Math" w:cstheme="minorHAnsi"/>
                  <w:color w:val="000000" w:themeColor="text1"/>
                  <w:sz w:val="20"/>
                  <w:szCs w:val="20"/>
                  <w:lang w:val="en-US"/>
                </w:rPr>
                <m:t>)</m:t>
              </m:r>
            </m:e>
            <m:sup>
              <m:r>
                <w:rPr>
                  <w:rFonts w:ascii="Cambria Math" w:hAnsi="Cambria Math" w:cstheme="minorHAnsi"/>
                  <w:color w:val="000000" w:themeColor="text1"/>
                  <w:sz w:val="20"/>
                  <w:szCs w:val="20"/>
                  <w:lang w:val="en-US"/>
                </w:rPr>
                <m:t>-1</m:t>
              </m:r>
            </m:sup>
          </m:sSup>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m:t>
              </m:r>
              <m:sSup>
                <m:sSupPr>
                  <m:ctrlPr>
                    <w:rPr>
                      <w:rFonts w:ascii="Cambria Math" w:hAnsi="Cambria Math" w:cstheme="minorHAnsi"/>
                      <w:i/>
                      <w:color w:val="000000" w:themeColor="text1"/>
                      <w:sz w:val="20"/>
                      <w:szCs w:val="20"/>
                      <w:lang w:val="en-US"/>
                    </w:rPr>
                  </m:ctrlPr>
                </m:sSupPr>
                <m:e>
                  <m:r>
                    <w:rPr>
                      <w:rFonts w:ascii="Cambria Math" w:hAnsi="Cambria Math" w:cstheme="minorHAnsi"/>
                      <w:color w:val="000000" w:themeColor="text1"/>
                      <w:sz w:val="20"/>
                      <w:szCs w:val="20"/>
                      <w:lang w:val="en-US"/>
                    </w:rPr>
                    <m:t>TC</m:t>
                  </m:r>
                </m:e>
                <m:sup>
                  <m:r>
                    <w:rPr>
                      <w:rFonts w:ascii="Cambria Math" w:hAnsi="Cambria Math" w:cstheme="minorHAnsi"/>
                      <w:color w:val="000000" w:themeColor="text1"/>
                      <w:sz w:val="20"/>
                      <w:szCs w:val="20"/>
                      <w:lang w:val="en-US"/>
                    </w:rPr>
                    <m:t>'</m:t>
                  </m:r>
                </m:sup>
              </m:sSup>
              <m:r>
                <w:rPr>
                  <w:rFonts w:ascii="Cambria Math" w:hAnsi="Cambria Math" w:cstheme="minorHAnsi"/>
                  <w:color w:val="000000" w:themeColor="text1"/>
                  <w:sz w:val="20"/>
                  <w:szCs w:val="20"/>
                  <w:lang w:val="en-US"/>
                </w:rPr>
                <m:t>)</m:t>
              </m:r>
            </m:e>
            <m:sub>
              <m:r>
                <w:rPr>
                  <w:rFonts w:ascii="Cambria Math" w:hAnsi="Cambria Math" w:cstheme="minorHAnsi"/>
                  <w:color w:val="000000" w:themeColor="text1"/>
                  <w:sz w:val="20"/>
                  <w:szCs w:val="20"/>
                  <w:lang w:val="en-US"/>
                </w:rPr>
                <m:t>m×p</m:t>
              </m:r>
            </m:sub>
          </m:sSub>
          <m:r>
            <w:rPr>
              <w:rFonts w:ascii="Cambria Math" w:hAnsi="Cambria Math" w:cstheme="minorHAnsi"/>
              <w:color w:val="000000" w:themeColor="text1"/>
              <w:sz w:val="20"/>
              <w:szCs w:val="20"/>
              <w:lang w:val="en-US"/>
            </w:rPr>
            <m:t>×</m:t>
          </m:r>
          <m:sSub>
            <m:sSubPr>
              <m:ctrlPr>
                <w:rPr>
                  <w:rFonts w:ascii="Cambria Math" w:hAnsi="Cambria Math" w:cstheme="minorHAnsi"/>
                  <w:i/>
                  <w:color w:val="000000" w:themeColor="text1"/>
                  <w:sz w:val="20"/>
                  <w:szCs w:val="20"/>
                  <w:lang w:val="en-US"/>
                </w:rPr>
              </m:ctrlPr>
            </m:sSubPr>
            <m:e>
              <m:r>
                <w:rPr>
                  <w:rFonts w:ascii="Cambria Math" w:hAnsi="Cambria Math" w:cstheme="minorHAnsi"/>
                  <w:color w:val="000000" w:themeColor="text1"/>
                  <w:sz w:val="20"/>
                  <w:szCs w:val="20"/>
                  <w:lang w:val="en-US"/>
                </w:rPr>
                <m:t>X</m:t>
              </m:r>
            </m:e>
            <m:sub>
              <m:r>
                <w:rPr>
                  <w:rFonts w:ascii="Cambria Math" w:hAnsi="Cambria Math" w:cstheme="minorHAnsi"/>
                  <w:color w:val="000000" w:themeColor="text1"/>
                  <w:sz w:val="20"/>
                  <w:szCs w:val="20"/>
                  <w:lang w:val="en-US"/>
                </w:rPr>
                <m:t>p×n</m:t>
              </m:r>
            </m:sub>
          </m:sSub>
        </m:oMath>
      </m:oMathPara>
    </w:p>
    <w:p w14:paraId="74F7CB27"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The coefficients of CMM represent the activity scores of the TCs in the corresponding sample.</w:t>
      </w:r>
    </w:p>
    <w:p w14:paraId="61397CD8" w14:textId="77777777" w:rsidR="0045056C" w:rsidRPr="00BC3878" w:rsidRDefault="0045056C" w:rsidP="0045056C">
      <w:pPr>
        <w:rPr>
          <w:rFonts w:asciiTheme="minorHAnsi" w:hAnsiTheme="minorHAnsi" w:cstheme="minorHAnsi"/>
          <w:b/>
          <w:color w:val="000000" w:themeColor="text1"/>
          <w:sz w:val="20"/>
          <w:szCs w:val="20"/>
          <w:lang w:val="en-US"/>
        </w:rPr>
      </w:pPr>
    </w:p>
    <w:p w14:paraId="75775709"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Survival analysis</w:t>
      </w:r>
    </w:p>
    <w:p w14:paraId="7E52FC09" w14:textId="77777777" w:rsidR="0045056C" w:rsidRPr="00BC3878" w:rsidRDefault="0045056C" w:rsidP="0045056C">
      <w:pPr>
        <w:rPr>
          <w:rFonts w:asciiTheme="minorHAnsi" w:hAnsiTheme="minorHAnsi" w:cstheme="minorHAnsi"/>
          <w:i/>
          <w:iCs/>
          <w:color w:val="000000" w:themeColor="text1"/>
          <w:sz w:val="20"/>
          <w:szCs w:val="20"/>
          <w:lang w:val="en-US"/>
        </w:rPr>
      </w:pPr>
      <w:r w:rsidRPr="00BC3878">
        <w:rPr>
          <w:rFonts w:asciiTheme="minorHAnsi" w:hAnsiTheme="minorHAnsi" w:cstheme="minorHAnsi"/>
          <w:i/>
          <w:iCs/>
          <w:color w:val="000000" w:themeColor="text1"/>
          <w:sz w:val="20"/>
          <w:szCs w:val="20"/>
          <w:lang w:val="en-US"/>
        </w:rPr>
        <w:t>Univariate survival analysis</w:t>
      </w:r>
    </w:p>
    <w:p w14:paraId="509BEA91"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In a subset of samples (n = 836, Table 1), we performed univariate and multivariate Cox proportional hazards analysis to assess the association between the activity of TCs and DFS. The activity of each TC was used as a predictor in each Cox proportional hazards analysis, which resulted in an adjusted p-value for the corresponding TC, thus conveying the significance of the association between the activity of the TC with DFS. Thereafter, -log</w:t>
      </w:r>
      <w:r w:rsidRPr="00BC3878">
        <w:rPr>
          <w:rFonts w:asciiTheme="minorHAnsi" w:hAnsiTheme="minorHAnsi" w:cstheme="minorHAnsi"/>
          <w:color w:val="000000" w:themeColor="text1"/>
          <w:sz w:val="20"/>
          <w:szCs w:val="20"/>
          <w:vertAlign w:val="subscript"/>
          <w:lang w:val="en-US"/>
        </w:rPr>
        <w:t>10</w:t>
      </w:r>
      <w:r w:rsidRPr="00BC3878">
        <w:rPr>
          <w:rFonts w:asciiTheme="minorHAnsi" w:hAnsiTheme="minorHAnsi" w:cstheme="minorHAnsi"/>
          <w:color w:val="000000" w:themeColor="text1"/>
          <w:sz w:val="20"/>
          <w:szCs w:val="20"/>
          <w:lang w:val="en-US"/>
        </w:rPr>
        <w:t xml:space="preserve">(adjusted p-value) for each TC </w:t>
      </w:r>
      <w:proofErr w:type="spellStart"/>
      <w:r w:rsidRPr="00BC3878">
        <w:rPr>
          <w:rFonts w:asciiTheme="minorHAnsi" w:hAnsiTheme="minorHAnsi" w:cstheme="minorHAnsi"/>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xml:space="preserve"> was obtained (original_minus_log10_adj_p</w:t>
      </w:r>
      <w:r w:rsidRPr="00BC3878">
        <w:rPr>
          <w:rFonts w:asciiTheme="minorHAnsi" w:hAnsiTheme="minorHAnsi" w:cstheme="minorHAnsi"/>
          <w:color w:val="000000" w:themeColor="text1"/>
          <w:sz w:val="20"/>
          <w:szCs w:val="20"/>
          <w:vertAlign w:val="subscript"/>
          <w:lang w:val="en-US"/>
        </w:rPr>
        <w:t>i</w:t>
      </w:r>
      <w:r w:rsidRPr="00BC3878">
        <w:rPr>
          <w:rFonts w:asciiTheme="minorHAnsi" w:hAnsiTheme="minorHAnsi" w:cstheme="minorHAnsi"/>
          <w:color w:val="000000" w:themeColor="text1"/>
          <w:sz w:val="20"/>
          <w:szCs w:val="20"/>
          <w:lang w:val="en-US"/>
        </w:rPr>
        <w:t>) for further analyses. We conducted a permutation test to reduce the probability of false-positive association due to multiple testing. The permutation test was performed on each TC separately using the following steps:</w:t>
      </w:r>
    </w:p>
    <w:p w14:paraId="08829BEA"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eastAsiaTheme="minorEastAsia" w:cstheme="minorHAnsi"/>
          <w:color w:val="000000" w:themeColor="text1"/>
          <w:sz w:val="20"/>
          <w:szCs w:val="20"/>
        </w:rPr>
        <w:t>The activity scores of the TCs are permuted 10,000 times.</w:t>
      </w:r>
    </w:p>
    <w:p w14:paraId="15A40E51"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cstheme="minorHAnsi"/>
          <w:color w:val="000000" w:themeColor="text1"/>
          <w:sz w:val="20"/>
          <w:szCs w:val="20"/>
        </w:rPr>
        <w:t>Permuted activity of each individual TC is used as a predictor in each Cox proportional hazards analysis to find association with DFS. Each Cox proportional hazards analysis results into an adjusted p-value for the corresponding permuted TC.</w:t>
      </w:r>
    </w:p>
    <w:p w14:paraId="51C5F6A4"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cstheme="minorHAnsi"/>
          <w:color w:val="000000" w:themeColor="text1"/>
          <w:sz w:val="20"/>
          <w:szCs w:val="20"/>
        </w:rPr>
        <w:t>From the cox proportional hazards analyses described above, -log</w:t>
      </w:r>
      <w:r w:rsidRPr="00BC3878">
        <w:rPr>
          <w:rFonts w:cstheme="minorHAnsi"/>
          <w:color w:val="000000" w:themeColor="text1"/>
          <w:sz w:val="20"/>
          <w:szCs w:val="20"/>
          <w:vertAlign w:val="subscript"/>
        </w:rPr>
        <w:t>10</w:t>
      </w:r>
      <w:r w:rsidRPr="00BC3878">
        <w:rPr>
          <w:rFonts w:cstheme="minorHAnsi"/>
          <w:color w:val="000000" w:themeColor="text1"/>
          <w:sz w:val="20"/>
          <w:szCs w:val="20"/>
        </w:rPr>
        <w:t>(adjusted p-value) corresponding to all permuted TCs are obtained (referred to as permuted_minus_log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p>
    <w:p w14:paraId="3293DAC7"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eastAsiaTheme="minorEastAsia" w:cstheme="minorHAnsi"/>
          <w:color w:val="000000" w:themeColor="text1"/>
          <w:sz w:val="20"/>
          <w:szCs w:val="20"/>
        </w:rPr>
        <w:t xml:space="preserve">Sort the weights of </w:t>
      </w:r>
      <w:r w:rsidRPr="00BC3878">
        <w:rPr>
          <w:rFonts w:cstheme="minorHAnsi"/>
          <w:color w:val="000000" w:themeColor="text1"/>
          <w:sz w:val="20"/>
          <w:szCs w:val="20"/>
        </w:rPr>
        <w:t>permuted_minus_log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color w:val="000000" w:themeColor="text1"/>
          <w:sz w:val="20"/>
          <w:szCs w:val="20"/>
        </w:rPr>
        <w:t xml:space="preserve"> in decreasing order (</w:t>
      </w:r>
      <w:r w:rsidRPr="00BC3878">
        <w:rPr>
          <w:rFonts w:eastAsiaTheme="minorEastAsia" w:cstheme="minorHAnsi"/>
          <w:iCs/>
          <w:color w:val="000000" w:themeColor="text1"/>
          <w:sz w:val="20"/>
          <w:szCs w:val="20"/>
        </w:rPr>
        <w:t>sp_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color w:val="000000" w:themeColor="text1"/>
          <w:sz w:val="20"/>
          <w:szCs w:val="20"/>
        </w:rPr>
        <w:t>).</w:t>
      </w:r>
    </w:p>
    <w:p w14:paraId="6D3CDF07"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eastAsiaTheme="minorEastAsia" w:cstheme="minorHAnsi"/>
          <w:color w:val="000000" w:themeColor="text1"/>
          <w:sz w:val="20"/>
          <w:szCs w:val="20"/>
        </w:rPr>
        <w:t xml:space="preserve">Sort the weights of </w:t>
      </w:r>
      <w:r w:rsidRPr="00BC3878">
        <w:rPr>
          <w:rFonts w:cstheme="minorHAnsi"/>
          <w:color w:val="000000" w:themeColor="text1"/>
          <w:sz w:val="20"/>
          <w:szCs w:val="20"/>
        </w:rPr>
        <w:t>original_minus_log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color w:val="000000" w:themeColor="text1"/>
          <w:sz w:val="20"/>
          <w:szCs w:val="20"/>
        </w:rPr>
        <w:t xml:space="preserve"> in decreasing order (</w:t>
      </w:r>
      <w:r w:rsidRPr="00BC3878">
        <w:rPr>
          <w:rFonts w:eastAsiaTheme="minorEastAsia" w:cstheme="minorHAnsi"/>
          <w:iCs/>
          <w:color w:val="000000" w:themeColor="text1"/>
          <w:sz w:val="20"/>
          <w:szCs w:val="20"/>
        </w:rPr>
        <w:t>so_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color w:val="000000" w:themeColor="text1"/>
          <w:sz w:val="20"/>
          <w:szCs w:val="20"/>
        </w:rPr>
        <w:t>).</w:t>
      </w:r>
    </w:p>
    <w:p w14:paraId="53450E78"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eastAsiaTheme="minorEastAsia" w:cstheme="minorHAnsi"/>
          <w:color w:val="000000" w:themeColor="text1"/>
          <w:sz w:val="20"/>
          <w:szCs w:val="20"/>
        </w:rPr>
        <w:t xml:space="preserve">For every </w:t>
      </w:r>
      <w:r w:rsidRPr="00BC3878">
        <w:rPr>
          <w:rFonts w:cstheme="minorHAnsi"/>
          <w:color w:val="000000" w:themeColor="text1"/>
          <w:sz w:val="20"/>
          <w:szCs w:val="20"/>
        </w:rPr>
        <w:t xml:space="preserve">weight </w:t>
      </w:r>
      <w:r w:rsidRPr="00BC3878">
        <w:rPr>
          <w:rFonts w:eastAsiaTheme="minorEastAsia" w:cstheme="minorHAnsi"/>
          <w:color w:val="000000" w:themeColor="text1"/>
          <w:sz w:val="20"/>
          <w:szCs w:val="20"/>
        </w:rPr>
        <w:t xml:space="preserve">of </w:t>
      </w:r>
      <w:r w:rsidRPr="00BC3878">
        <w:rPr>
          <w:rFonts w:eastAsiaTheme="minorEastAsia" w:cstheme="minorHAnsi"/>
          <w:iCs/>
          <w:color w:val="000000" w:themeColor="text1"/>
          <w:sz w:val="20"/>
          <w:szCs w:val="20"/>
        </w:rPr>
        <w:t>so_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i/>
          <w:color w:val="000000" w:themeColor="text1"/>
          <w:sz w:val="20"/>
          <w:szCs w:val="20"/>
          <w:vertAlign w:val="subscript"/>
        </w:rPr>
        <w:t xml:space="preserve"> </w:t>
      </w:r>
      <w:r w:rsidRPr="00BC3878">
        <w:rPr>
          <w:rFonts w:eastAsiaTheme="minorEastAsia" w:cstheme="minorHAnsi"/>
          <w:color w:val="000000" w:themeColor="text1"/>
          <w:sz w:val="20"/>
          <w:szCs w:val="20"/>
        </w:rPr>
        <w:t>(</w:t>
      </w:r>
      <w:r w:rsidRPr="00BC3878">
        <w:rPr>
          <w:rFonts w:eastAsiaTheme="minorEastAsia" w:cstheme="minorHAnsi"/>
          <w:iCs/>
          <w:color w:val="000000" w:themeColor="text1"/>
          <w:sz w:val="20"/>
          <w:szCs w:val="20"/>
        </w:rPr>
        <w:t>so_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i/>
          <w:color w:val="000000" w:themeColor="text1"/>
          <w:sz w:val="20"/>
          <w:szCs w:val="20"/>
          <w:vertAlign w:val="subscript"/>
        </w:rPr>
        <w:t>j</w:t>
      </w:r>
      <w:r w:rsidRPr="00BC3878">
        <w:rPr>
          <w:rFonts w:eastAsiaTheme="minorEastAsia" w:cstheme="minorHAnsi"/>
          <w:color w:val="000000" w:themeColor="text1"/>
          <w:sz w:val="20"/>
          <w:szCs w:val="20"/>
        </w:rPr>
        <w:t xml:space="preserve">), obtain the number of </w:t>
      </w:r>
      <w:r w:rsidRPr="00BC3878">
        <w:rPr>
          <w:rFonts w:cstheme="minorHAnsi"/>
          <w:color w:val="000000" w:themeColor="text1"/>
          <w:sz w:val="20"/>
          <w:szCs w:val="20"/>
        </w:rPr>
        <w:t>weight</w:t>
      </w:r>
      <w:r w:rsidRPr="00BC3878">
        <w:rPr>
          <w:rFonts w:eastAsiaTheme="minorEastAsia" w:cstheme="minorHAnsi"/>
          <w:color w:val="000000" w:themeColor="text1"/>
          <w:sz w:val="20"/>
          <w:szCs w:val="20"/>
        </w:rPr>
        <w:t xml:space="preserve">s of </w:t>
      </w:r>
      <w:r w:rsidRPr="00BC3878">
        <w:rPr>
          <w:rFonts w:eastAsiaTheme="minorEastAsia" w:cstheme="minorHAnsi"/>
          <w:iCs/>
          <w:color w:val="000000" w:themeColor="text1"/>
          <w:sz w:val="20"/>
          <w:szCs w:val="20"/>
        </w:rPr>
        <w:t>sp_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i/>
          <w:color w:val="000000" w:themeColor="text1"/>
          <w:sz w:val="20"/>
          <w:szCs w:val="20"/>
          <w:vertAlign w:val="subscript"/>
        </w:rPr>
        <w:t>i</w:t>
      </w:r>
      <w:r w:rsidRPr="00BC3878">
        <w:rPr>
          <w:rFonts w:eastAsiaTheme="minorEastAsia" w:cstheme="minorHAnsi"/>
          <w:i/>
          <w:color w:val="000000" w:themeColor="text1"/>
          <w:sz w:val="20"/>
          <w:szCs w:val="20"/>
        </w:rPr>
        <w:t xml:space="preserve"> </w:t>
      </w:r>
      <w:r w:rsidRPr="00BC3878">
        <w:rPr>
          <w:rFonts w:eastAsiaTheme="minorEastAsia" w:cstheme="minorHAnsi"/>
          <w:color w:val="000000" w:themeColor="text1"/>
          <w:sz w:val="20"/>
          <w:szCs w:val="20"/>
        </w:rPr>
        <w:t xml:space="preserve">greater than </w:t>
      </w:r>
      <w:r w:rsidRPr="00BC3878">
        <w:rPr>
          <w:rFonts w:eastAsiaTheme="minorEastAsia" w:cstheme="minorHAnsi"/>
          <w:iCs/>
          <w:color w:val="000000" w:themeColor="text1"/>
          <w:sz w:val="20"/>
          <w:szCs w:val="20"/>
        </w:rPr>
        <w:t>so_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i/>
          <w:color w:val="000000" w:themeColor="text1"/>
          <w:sz w:val="20"/>
          <w:szCs w:val="20"/>
          <w:vertAlign w:val="subscript"/>
        </w:rPr>
        <w:t>j</w:t>
      </w:r>
      <w:r w:rsidRPr="00BC3878">
        <w:rPr>
          <w:rFonts w:eastAsiaTheme="minorEastAsia" w:cstheme="minorHAnsi"/>
          <w:color w:val="000000" w:themeColor="text1"/>
          <w:sz w:val="20"/>
          <w:szCs w:val="20"/>
        </w:rPr>
        <w:t xml:space="preserve"> (</w:t>
      </w:r>
      <w:r w:rsidRPr="00BC3878">
        <w:rPr>
          <w:rFonts w:eastAsiaTheme="minorEastAsia" w:cstheme="minorHAnsi"/>
          <w:i/>
          <w:color w:val="000000" w:themeColor="text1"/>
          <w:sz w:val="20"/>
          <w:szCs w:val="20"/>
        </w:rPr>
        <w:t>f</w:t>
      </w:r>
      <w:r w:rsidRPr="00BC3878">
        <w:rPr>
          <w:rFonts w:eastAsiaTheme="minorEastAsia" w:cstheme="minorHAnsi"/>
          <w:i/>
          <w:color w:val="000000" w:themeColor="text1"/>
          <w:sz w:val="20"/>
          <w:szCs w:val="20"/>
          <w:vertAlign w:val="subscript"/>
        </w:rPr>
        <w:t>&gt;j</w:t>
      </w:r>
      <w:r w:rsidRPr="00BC3878">
        <w:rPr>
          <w:rFonts w:eastAsiaTheme="minorEastAsia" w:cstheme="minorHAnsi"/>
          <w:color w:val="000000" w:themeColor="text1"/>
          <w:sz w:val="20"/>
          <w:szCs w:val="20"/>
        </w:rPr>
        <w:t>).</w:t>
      </w:r>
    </w:p>
    <w:p w14:paraId="1B490669"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eastAsiaTheme="minorEastAsia" w:cstheme="minorHAnsi"/>
          <w:color w:val="000000" w:themeColor="text1"/>
          <w:sz w:val="20"/>
          <w:szCs w:val="20"/>
        </w:rPr>
        <w:t xml:space="preserve">Obtain the optimal cut-off for the </w:t>
      </w:r>
      <w:r w:rsidRPr="00BC3878">
        <w:rPr>
          <w:rFonts w:eastAsiaTheme="minorEastAsia" w:cstheme="minorHAnsi"/>
          <w:iCs/>
          <w:color w:val="000000" w:themeColor="text1"/>
          <w:sz w:val="20"/>
          <w:szCs w:val="20"/>
        </w:rPr>
        <w:t>sp_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i/>
          <w:color w:val="000000" w:themeColor="text1"/>
          <w:sz w:val="20"/>
          <w:szCs w:val="20"/>
          <w:vertAlign w:val="subscript"/>
        </w:rPr>
        <w:t>i</w:t>
      </w:r>
      <w:r w:rsidRPr="00BC3878">
        <w:rPr>
          <w:rFonts w:eastAsiaTheme="minorEastAsia" w:cstheme="minorHAnsi"/>
          <w:color w:val="000000" w:themeColor="text1"/>
          <w:sz w:val="20"/>
          <w:szCs w:val="20"/>
        </w:rPr>
        <w:t xml:space="preserve"> (</w:t>
      </w:r>
      <w:proofErr w:type="spellStart"/>
      <w:r w:rsidRPr="00BC3878">
        <w:rPr>
          <w:rFonts w:eastAsiaTheme="minorEastAsia" w:cstheme="minorHAnsi"/>
          <w:iCs/>
          <w:color w:val="000000" w:themeColor="text1"/>
          <w:sz w:val="20"/>
          <w:szCs w:val="20"/>
        </w:rPr>
        <w:t>oc</w:t>
      </w:r>
      <w:r w:rsidRPr="00BC3878">
        <w:rPr>
          <w:rFonts w:eastAsiaTheme="minorEastAsia" w:cstheme="minorHAnsi"/>
          <w:i/>
          <w:color w:val="000000" w:themeColor="text1"/>
          <w:sz w:val="20"/>
          <w:szCs w:val="20"/>
          <w:vertAlign w:val="subscript"/>
        </w:rPr>
        <w:t>i</w:t>
      </w:r>
      <w:proofErr w:type="spellEnd"/>
      <w:r w:rsidRPr="00BC3878">
        <w:rPr>
          <w:rFonts w:eastAsiaTheme="minorEastAsia" w:cstheme="minorHAnsi"/>
          <w:color w:val="000000" w:themeColor="text1"/>
          <w:sz w:val="20"/>
          <w:szCs w:val="20"/>
        </w:rPr>
        <w:t xml:space="preserve">) as the maximum value of the </w:t>
      </w:r>
      <w:r w:rsidRPr="00BC3878">
        <w:rPr>
          <w:rFonts w:cstheme="minorHAnsi"/>
          <w:color w:val="000000" w:themeColor="text1"/>
          <w:sz w:val="20"/>
          <w:szCs w:val="20"/>
        </w:rPr>
        <w:t xml:space="preserve">weights </w:t>
      </w:r>
      <w:r w:rsidRPr="00BC3878">
        <w:rPr>
          <w:rFonts w:eastAsiaTheme="minorEastAsia" w:cstheme="minorHAnsi"/>
          <w:color w:val="000000" w:themeColor="text1"/>
          <w:sz w:val="20"/>
          <w:szCs w:val="20"/>
        </w:rPr>
        <w:t xml:space="preserve">of </w:t>
      </w:r>
      <w:r w:rsidRPr="00BC3878">
        <w:rPr>
          <w:rFonts w:eastAsiaTheme="minorEastAsia" w:cstheme="minorHAnsi"/>
          <w:iCs/>
          <w:color w:val="000000" w:themeColor="text1"/>
          <w:sz w:val="20"/>
          <w:szCs w:val="20"/>
        </w:rPr>
        <w:t>so_</w:t>
      </w:r>
      <w:r w:rsidRPr="00BC3878">
        <w:rPr>
          <w:rFonts w:cstheme="minorHAnsi"/>
          <w:color w:val="000000" w:themeColor="text1"/>
          <w:sz w:val="20"/>
          <w:szCs w:val="20"/>
        </w:rPr>
        <w:t>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eastAsiaTheme="minorEastAsia" w:cstheme="minorHAnsi"/>
          <w:color w:val="000000" w:themeColor="text1"/>
          <w:sz w:val="20"/>
          <w:szCs w:val="20"/>
        </w:rPr>
        <w:t xml:space="preserve"> for which </w:t>
      </w:r>
      <w:r w:rsidRPr="00BC3878">
        <w:rPr>
          <w:rFonts w:eastAsiaTheme="minorEastAsia" w:cstheme="minorHAnsi"/>
          <w:i/>
          <w:color w:val="000000" w:themeColor="text1"/>
          <w:sz w:val="20"/>
          <w:szCs w:val="20"/>
        </w:rPr>
        <w:t>f</w:t>
      </w:r>
      <w:r w:rsidRPr="00BC3878">
        <w:rPr>
          <w:rFonts w:eastAsiaTheme="minorEastAsia" w:cstheme="minorHAnsi"/>
          <w:i/>
          <w:color w:val="000000" w:themeColor="text1"/>
          <w:sz w:val="20"/>
          <w:szCs w:val="20"/>
          <w:vertAlign w:val="subscript"/>
        </w:rPr>
        <w:t>&gt;j</w:t>
      </w:r>
      <w:r w:rsidRPr="00BC3878">
        <w:rPr>
          <w:rFonts w:eastAsiaTheme="minorEastAsia" w:cstheme="minorHAnsi"/>
          <w:color w:val="000000" w:themeColor="text1"/>
          <w:sz w:val="20"/>
          <w:szCs w:val="20"/>
        </w:rPr>
        <w:t>/</w:t>
      </w:r>
      <w:r w:rsidRPr="00BC3878">
        <w:rPr>
          <w:rFonts w:eastAsiaTheme="minorEastAsia" w:cstheme="minorHAnsi"/>
          <w:i/>
          <w:color w:val="000000" w:themeColor="text1"/>
          <w:sz w:val="20"/>
          <w:szCs w:val="20"/>
        </w:rPr>
        <w:t>j</w:t>
      </w:r>
      <w:r w:rsidRPr="00BC3878">
        <w:rPr>
          <w:rFonts w:eastAsiaTheme="minorEastAsia" w:cstheme="minorHAnsi"/>
          <w:color w:val="000000" w:themeColor="text1"/>
          <w:sz w:val="20"/>
          <w:szCs w:val="20"/>
        </w:rPr>
        <w:t xml:space="preserve"> &gt; 1%.</w:t>
      </w:r>
    </w:p>
    <w:p w14:paraId="5B87A470"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cstheme="minorHAnsi"/>
          <w:color w:val="000000" w:themeColor="text1"/>
          <w:sz w:val="20"/>
          <w:szCs w:val="20"/>
        </w:rPr>
        <w:t>Indicator marks (</w:t>
      </w:r>
      <w:proofErr w:type="spellStart"/>
      <w:r w:rsidRPr="00BC3878">
        <w:rPr>
          <w:rFonts w:cstheme="minorHAnsi"/>
          <w:color w:val="000000" w:themeColor="text1"/>
          <w:sz w:val="20"/>
          <w:szCs w:val="20"/>
        </w:rPr>
        <w:t>im</w:t>
      </w:r>
      <w:proofErr w:type="spellEnd"/>
      <w:r w:rsidRPr="00BC3878">
        <w:rPr>
          <w:rFonts w:cstheme="minorHAnsi"/>
          <w:color w:val="000000" w:themeColor="text1"/>
          <w:sz w:val="20"/>
          <w:szCs w:val="20"/>
        </w:rPr>
        <w:t>) for every weight of the original_minus_log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cstheme="minorHAnsi"/>
          <w:i/>
          <w:color w:val="000000" w:themeColor="text1"/>
          <w:sz w:val="20"/>
          <w:szCs w:val="20"/>
        </w:rPr>
        <w:t xml:space="preserve"> </w:t>
      </w:r>
      <w:r w:rsidRPr="00BC3878">
        <w:rPr>
          <w:rFonts w:cstheme="minorHAnsi"/>
          <w:color w:val="000000" w:themeColor="text1"/>
          <w:sz w:val="20"/>
          <w:szCs w:val="20"/>
        </w:rPr>
        <w:t>(original_minus_log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cstheme="minorHAnsi"/>
          <w:i/>
          <w:color w:val="000000" w:themeColor="text1"/>
          <w:sz w:val="20"/>
          <w:szCs w:val="20"/>
          <w:vertAlign w:val="subscript"/>
        </w:rPr>
        <w:t>s</w:t>
      </w:r>
      <w:r w:rsidRPr="00BC3878">
        <w:rPr>
          <w:rFonts w:cstheme="minorHAnsi"/>
          <w:color w:val="000000" w:themeColor="text1"/>
          <w:sz w:val="20"/>
          <w:szCs w:val="20"/>
        </w:rPr>
        <w:t>) are obtained in the following way</w:t>
      </w:r>
    </w:p>
    <w:p w14:paraId="7DBC42A9" w14:textId="77777777" w:rsidR="0045056C" w:rsidRPr="00BC3878" w:rsidRDefault="0045056C" w:rsidP="0045056C">
      <w:pPr>
        <w:pStyle w:val="NoSpacing"/>
        <w:numPr>
          <w:ilvl w:val="1"/>
          <w:numId w:val="2"/>
        </w:numPr>
        <w:ind w:left="993" w:hanging="567"/>
        <w:jc w:val="left"/>
        <w:rPr>
          <w:rFonts w:cstheme="minorHAnsi"/>
          <w:color w:val="000000" w:themeColor="text1"/>
          <w:sz w:val="20"/>
          <w:szCs w:val="20"/>
        </w:rPr>
      </w:pPr>
      <w:r w:rsidRPr="00BC3878">
        <w:rPr>
          <w:rFonts w:cstheme="minorHAnsi"/>
          <w:color w:val="000000" w:themeColor="text1"/>
          <w:sz w:val="20"/>
          <w:szCs w:val="20"/>
        </w:rPr>
        <w:t>If original_minus_log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cstheme="minorHAnsi"/>
          <w:i/>
          <w:color w:val="000000" w:themeColor="text1"/>
          <w:sz w:val="20"/>
          <w:szCs w:val="20"/>
          <w:vertAlign w:val="subscript"/>
        </w:rPr>
        <w:t>s</w:t>
      </w:r>
      <w:r w:rsidRPr="00BC3878">
        <w:rPr>
          <w:rFonts w:cstheme="minorHAnsi"/>
          <w:color w:val="000000" w:themeColor="text1"/>
          <w:sz w:val="20"/>
          <w:szCs w:val="20"/>
        </w:rPr>
        <w:t xml:space="preserve"> &gt;= 80% quantile of </w:t>
      </w:r>
      <w:proofErr w:type="spellStart"/>
      <w:r w:rsidRPr="00BC3878">
        <w:rPr>
          <w:rFonts w:cstheme="minorHAnsi"/>
          <w:color w:val="000000" w:themeColor="text1"/>
          <w:sz w:val="20"/>
          <w:szCs w:val="20"/>
        </w:rPr>
        <w:t>oc</w:t>
      </w:r>
      <w:proofErr w:type="spellEnd"/>
      <w:r w:rsidRPr="00BC3878">
        <w:rPr>
          <w:rFonts w:cstheme="minorHAnsi"/>
          <w:color w:val="000000" w:themeColor="text1"/>
          <w:sz w:val="20"/>
          <w:szCs w:val="20"/>
        </w:rPr>
        <w:t xml:space="preserve"> then </w:t>
      </w:r>
      <w:proofErr w:type="spellStart"/>
      <w:r w:rsidRPr="00BC3878">
        <w:rPr>
          <w:rFonts w:cstheme="minorHAnsi"/>
          <w:color w:val="000000" w:themeColor="text1"/>
          <w:sz w:val="20"/>
          <w:szCs w:val="20"/>
        </w:rPr>
        <w:t>im</w:t>
      </w:r>
      <w:r w:rsidRPr="00BC3878">
        <w:rPr>
          <w:rFonts w:cstheme="minorHAnsi"/>
          <w:i/>
          <w:color w:val="000000" w:themeColor="text1"/>
          <w:sz w:val="20"/>
          <w:szCs w:val="20"/>
          <w:vertAlign w:val="subscript"/>
        </w:rPr>
        <w:t>s</w:t>
      </w:r>
      <w:proofErr w:type="spellEnd"/>
      <w:r w:rsidRPr="00BC3878">
        <w:rPr>
          <w:rFonts w:cstheme="minorHAnsi"/>
          <w:color w:val="000000" w:themeColor="text1"/>
          <w:sz w:val="20"/>
          <w:szCs w:val="20"/>
        </w:rPr>
        <w:t xml:space="preserve"> = 1</w:t>
      </w:r>
    </w:p>
    <w:p w14:paraId="3A5655C4" w14:textId="77777777" w:rsidR="0045056C" w:rsidRPr="00BC3878" w:rsidRDefault="0045056C" w:rsidP="0045056C">
      <w:pPr>
        <w:pStyle w:val="NoSpacing"/>
        <w:numPr>
          <w:ilvl w:val="1"/>
          <w:numId w:val="2"/>
        </w:numPr>
        <w:ind w:left="993" w:hanging="567"/>
        <w:jc w:val="left"/>
        <w:rPr>
          <w:rFonts w:cstheme="minorHAnsi"/>
          <w:color w:val="000000" w:themeColor="text1"/>
          <w:sz w:val="20"/>
          <w:szCs w:val="20"/>
        </w:rPr>
      </w:pPr>
      <w:r w:rsidRPr="00BC3878">
        <w:rPr>
          <w:rFonts w:cstheme="minorHAnsi"/>
          <w:color w:val="000000" w:themeColor="text1"/>
          <w:sz w:val="20"/>
          <w:szCs w:val="20"/>
        </w:rPr>
        <w:t>Otherwise zero.</w:t>
      </w:r>
    </w:p>
    <w:p w14:paraId="1D250A29" w14:textId="77777777" w:rsidR="0045056C" w:rsidRPr="00BC3878" w:rsidRDefault="0045056C" w:rsidP="0045056C">
      <w:pPr>
        <w:pStyle w:val="NoSpacing"/>
        <w:numPr>
          <w:ilvl w:val="0"/>
          <w:numId w:val="2"/>
        </w:numPr>
        <w:ind w:left="357" w:hanging="357"/>
        <w:jc w:val="left"/>
        <w:rPr>
          <w:rFonts w:cstheme="minorHAnsi"/>
          <w:color w:val="000000" w:themeColor="text1"/>
          <w:sz w:val="20"/>
          <w:szCs w:val="20"/>
        </w:rPr>
      </w:pPr>
      <w:r w:rsidRPr="00BC3878">
        <w:rPr>
          <w:rFonts w:cstheme="minorHAnsi"/>
          <w:color w:val="000000" w:themeColor="text1"/>
          <w:sz w:val="20"/>
          <w:szCs w:val="20"/>
        </w:rPr>
        <w:t xml:space="preserve">TCs with </w:t>
      </w:r>
      <w:proofErr w:type="spellStart"/>
      <w:r w:rsidRPr="00BC3878">
        <w:rPr>
          <w:rFonts w:cstheme="minorHAnsi"/>
          <w:color w:val="000000" w:themeColor="text1"/>
          <w:sz w:val="20"/>
          <w:szCs w:val="20"/>
        </w:rPr>
        <w:t>im</w:t>
      </w:r>
      <w:proofErr w:type="spellEnd"/>
      <w:r w:rsidRPr="00BC3878">
        <w:rPr>
          <w:rFonts w:cstheme="minorHAnsi"/>
          <w:color w:val="000000" w:themeColor="text1"/>
          <w:sz w:val="20"/>
          <w:szCs w:val="20"/>
        </w:rPr>
        <w:t xml:space="preserve"> as 1 were statistically significantly associated with DFS in the permutation test framework.</w:t>
      </w:r>
    </w:p>
    <w:p w14:paraId="31038516" w14:textId="77777777" w:rsidR="0045056C" w:rsidRPr="00BC3878" w:rsidRDefault="0045056C" w:rsidP="0045056C">
      <w:pPr>
        <w:rPr>
          <w:rFonts w:asciiTheme="minorHAnsi" w:hAnsiTheme="minorHAnsi" w:cstheme="minorHAnsi"/>
          <w:b/>
          <w:color w:val="000000" w:themeColor="text1"/>
          <w:sz w:val="20"/>
          <w:szCs w:val="20"/>
          <w:lang w:val="en-US"/>
        </w:rPr>
      </w:pPr>
    </w:p>
    <w:p w14:paraId="6F156DB0" w14:textId="77777777" w:rsidR="0045056C" w:rsidRPr="00BC3878" w:rsidRDefault="0045056C" w:rsidP="0045056C">
      <w:pPr>
        <w:rPr>
          <w:rFonts w:asciiTheme="minorHAnsi" w:hAnsiTheme="minorHAnsi" w:cstheme="minorHAnsi"/>
          <w:bCs/>
          <w:i/>
          <w:iCs/>
          <w:color w:val="000000" w:themeColor="text1"/>
          <w:sz w:val="20"/>
          <w:szCs w:val="20"/>
          <w:lang w:val="en-US"/>
        </w:rPr>
      </w:pPr>
      <w:r w:rsidRPr="00BC3878">
        <w:rPr>
          <w:rFonts w:asciiTheme="minorHAnsi" w:hAnsiTheme="minorHAnsi" w:cstheme="minorHAnsi"/>
          <w:bCs/>
          <w:i/>
          <w:iCs/>
          <w:color w:val="000000" w:themeColor="text1"/>
          <w:sz w:val="20"/>
          <w:szCs w:val="20"/>
          <w:lang w:val="en-US"/>
        </w:rPr>
        <w:t>Multivariate survival analysis</w:t>
      </w:r>
    </w:p>
    <w:p w14:paraId="241DEAD5"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Next, we performed a multivariate Cox proportional hazards analysis using gender, MSI status, BRAF status, KRAS status, primary tumor location, stage, and treatment with adjuvant systemic therapy as covariates. These were all categorical data. Therefore, if data was missing, another category was added with the label 'unknown' and these samples with ‘unknown’ labels were included in the analysis. For each TC, multivariate survival analysis with DFS as the outcome variable was conducted using the following steps:</w:t>
      </w:r>
    </w:p>
    <w:p w14:paraId="2AC6A474" w14:textId="77777777" w:rsidR="0045056C" w:rsidRPr="00BC3878" w:rsidRDefault="0045056C" w:rsidP="0045056C">
      <w:pPr>
        <w:pStyle w:val="ListParagraph"/>
        <w:numPr>
          <w:ilvl w:val="0"/>
          <w:numId w:val="3"/>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Activity of each individual TC was used as a predictor in each Cox proportional hazards analysis, which resulted in an adjusted p-value for the corresponding TC. Thereafter, -log</w:t>
      </w:r>
      <w:r w:rsidRPr="00BC3878">
        <w:rPr>
          <w:rFonts w:cstheme="minorHAnsi"/>
          <w:color w:val="000000" w:themeColor="text1"/>
          <w:sz w:val="20"/>
          <w:szCs w:val="20"/>
          <w:vertAlign w:val="subscript"/>
        </w:rPr>
        <w:t xml:space="preserve">10 </w:t>
      </w:r>
      <w:r w:rsidRPr="00BC3878">
        <w:rPr>
          <w:rFonts w:cstheme="minorHAnsi"/>
          <w:color w:val="000000" w:themeColor="text1"/>
          <w:sz w:val="20"/>
          <w:szCs w:val="20"/>
        </w:rPr>
        <w:t>values</w:t>
      </w:r>
      <w:r w:rsidRPr="00BC3878">
        <w:rPr>
          <w:rFonts w:cstheme="minorHAnsi"/>
          <w:color w:val="000000" w:themeColor="text1"/>
          <w:sz w:val="20"/>
          <w:szCs w:val="20"/>
          <w:vertAlign w:val="subscript"/>
        </w:rPr>
        <w:t xml:space="preserve"> </w:t>
      </w:r>
      <w:r w:rsidRPr="00BC3878">
        <w:rPr>
          <w:rFonts w:cstheme="minorHAnsi"/>
          <w:color w:val="000000" w:themeColor="text1"/>
          <w:sz w:val="20"/>
          <w:szCs w:val="20"/>
        </w:rPr>
        <w:t>(adjusted p-values)</w:t>
      </w:r>
      <w:r w:rsidRPr="00BC3878" w:rsidDel="00386034">
        <w:rPr>
          <w:rFonts w:cstheme="minorHAnsi"/>
          <w:color w:val="000000" w:themeColor="text1"/>
          <w:sz w:val="20"/>
          <w:szCs w:val="20"/>
        </w:rPr>
        <w:t xml:space="preserve"> </w:t>
      </w:r>
      <w:r w:rsidRPr="00BC3878">
        <w:rPr>
          <w:rFonts w:cstheme="minorHAnsi"/>
          <w:color w:val="000000" w:themeColor="text1"/>
          <w:sz w:val="20"/>
          <w:szCs w:val="20"/>
        </w:rPr>
        <w:t>for each TC as a predictor (original_minus_log</w:t>
      </w:r>
      <w:r w:rsidRPr="00BC3878">
        <w:rPr>
          <w:rFonts w:cstheme="minorHAnsi"/>
          <w:color w:val="000000" w:themeColor="text1"/>
          <w:sz w:val="20"/>
          <w:szCs w:val="20"/>
          <w:vertAlign w:val="subscript"/>
        </w:rPr>
        <w:t>10</w:t>
      </w:r>
      <w:r w:rsidRPr="00BC3878">
        <w:rPr>
          <w:rFonts w:cstheme="minorHAnsi"/>
          <w:color w:val="000000" w:themeColor="text1"/>
          <w:sz w:val="20"/>
          <w:szCs w:val="20"/>
        </w:rPr>
        <w:t>_adj_p</w:t>
      </w:r>
      <w:r w:rsidRPr="00BC3878">
        <w:rPr>
          <w:rFonts w:cstheme="minorHAnsi"/>
          <w:color w:val="000000" w:themeColor="text1"/>
          <w:sz w:val="20"/>
          <w:szCs w:val="20"/>
          <w:vertAlign w:val="subscript"/>
        </w:rPr>
        <w:t>i</w:t>
      </w:r>
      <w:r w:rsidRPr="00BC3878">
        <w:rPr>
          <w:rFonts w:cstheme="minorHAnsi"/>
          <w:color w:val="000000" w:themeColor="text1"/>
          <w:sz w:val="20"/>
          <w:szCs w:val="20"/>
        </w:rPr>
        <w:t>) were obtained from the multivariate survival analysis.</w:t>
      </w:r>
    </w:p>
    <w:p w14:paraId="219FBD06" w14:textId="77777777" w:rsidR="0045056C" w:rsidRPr="00BC3878" w:rsidRDefault="0045056C" w:rsidP="0045056C">
      <w:pPr>
        <w:pStyle w:val="ListParagraph"/>
        <w:numPr>
          <w:ilvl w:val="0"/>
          <w:numId w:val="3"/>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Permutation tests were performed on each TC, as described in the univariate survival analysis section. As a result, we obtained a list of TCs significantly associated with DFS after removing the effects of gender, MSI status, BRAF status, KRAS status, primary tumor location, and stage in the permutation test framework.</w:t>
      </w:r>
    </w:p>
    <w:p w14:paraId="08236294" w14:textId="77777777" w:rsidR="0045056C" w:rsidRPr="00BC3878" w:rsidRDefault="0045056C" w:rsidP="0045056C">
      <w:pPr>
        <w:rPr>
          <w:rFonts w:asciiTheme="minorHAnsi" w:hAnsiTheme="minorHAnsi" w:cstheme="minorHAnsi"/>
          <w:color w:val="000000" w:themeColor="text1"/>
          <w:sz w:val="20"/>
          <w:szCs w:val="20"/>
          <w:lang w:val="en-US"/>
        </w:rPr>
      </w:pPr>
    </w:p>
    <w:p w14:paraId="5089819C"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Biological characterization of transcriptional components associated with disease-free survival</w:t>
      </w:r>
    </w:p>
    <w:p w14:paraId="463E2034" w14:textId="77777777" w:rsidR="0045056C" w:rsidRPr="00BC3878" w:rsidRDefault="0045056C" w:rsidP="0045056C">
      <w:pPr>
        <w:outlineLvl w:val="0"/>
        <w:rPr>
          <w:rFonts w:asciiTheme="minorHAnsi" w:hAnsiTheme="minorHAnsi" w:cstheme="minorHAnsi"/>
          <w:bCs/>
          <w:color w:val="000000" w:themeColor="text1"/>
          <w:sz w:val="20"/>
          <w:szCs w:val="20"/>
          <w:lang w:val="en-US"/>
        </w:rPr>
      </w:pPr>
      <w:r w:rsidRPr="00BC3878">
        <w:rPr>
          <w:rFonts w:asciiTheme="minorHAnsi" w:hAnsiTheme="minorHAnsi" w:cstheme="minorHAnsi"/>
          <w:bCs/>
          <w:color w:val="000000" w:themeColor="text1"/>
          <w:sz w:val="20"/>
          <w:szCs w:val="20"/>
          <w:lang w:val="en-US"/>
        </w:rPr>
        <w:t>The identified TCs associated with DFS were characterized at the individual gene and biological pathway level using several methods.</w:t>
      </w:r>
    </w:p>
    <w:p w14:paraId="58663F42" w14:textId="77777777" w:rsidR="0045056C" w:rsidRPr="00BC3878" w:rsidRDefault="0045056C" w:rsidP="0045056C">
      <w:pPr>
        <w:ind w:firstLine="708"/>
        <w:outlineLvl w:val="0"/>
        <w:rPr>
          <w:rFonts w:asciiTheme="minorHAnsi" w:hAnsiTheme="minorHAnsi" w:cstheme="minorHAnsi"/>
          <w:color w:val="000000" w:themeColor="text1"/>
          <w:sz w:val="20"/>
          <w:szCs w:val="20"/>
          <w:lang w:val="en-US"/>
        </w:rPr>
      </w:pPr>
      <w:bookmarkStart w:id="0" w:name="_Hlk55471391"/>
      <w:r w:rsidRPr="00BC3878">
        <w:rPr>
          <w:rFonts w:asciiTheme="minorHAnsi" w:hAnsiTheme="minorHAnsi" w:cstheme="minorHAnsi"/>
          <w:bCs/>
          <w:color w:val="000000" w:themeColor="text1"/>
          <w:sz w:val="20"/>
          <w:szCs w:val="20"/>
          <w:lang w:val="en-US"/>
        </w:rPr>
        <w:t xml:space="preserve">Firstly, gene set enrichment analysis (GSEA) was performed with </w:t>
      </w:r>
      <w:r w:rsidRPr="00BC3878">
        <w:rPr>
          <w:rFonts w:asciiTheme="minorHAnsi" w:hAnsiTheme="minorHAnsi" w:cstheme="minorHAnsi"/>
          <w:color w:val="000000" w:themeColor="text1"/>
          <w:sz w:val="20"/>
          <w:szCs w:val="20"/>
          <w:lang w:val="en-US"/>
        </w:rPr>
        <w:t>13 gene set collections</w:t>
      </w:r>
      <w:r w:rsidRPr="00BC3878">
        <w:rPr>
          <w:rFonts w:asciiTheme="minorHAnsi" w:hAnsiTheme="minorHAnsi" w:cstheme="minorHAnsi"/>
          <w:bCs/>
          <w:color w:val="000000" w:themeColor="text1"/>
          <w:sz w:val="20"/>
          <w:szCs w:val="20"/>
          <w:lang w:val="en-US"/>
        </w:rPr>
        <w:t xml:space="preserve"> from the Molecular Signatures Database (</w:t>
      </w:r>
      <w:proofErr w:type="spellStart"/>
      <w:r w:rsidRPr="00BC3878">
        <w:rPr>
          <w:rFonts w:asciiTheme="minorHAnsi" w:hAnsiTheme="minorHAnsi" w:cstheme="minorHAnsi"/>
          <w:bCs/>
          <w:color w:val="000000" w:themeColor="text1"/>
          <w:sz w:val="20"/>
          <w:szCs w:val="20"/>
          <w:lang w:val="en-US"/>
        </w:rPr>
        <w:t>MsigDB</w:t>
      </w:r>
      <w:proofErr w:type="spellEnd"/>
      <w:r w:rsidRPr="00BC3878">
        <w:rPr>
          <w:rFonts w:asciiTheme="minorHAnsi" w:hAnsiTheme="minorHAnsi" w:cstheme="minorHAnsi"/>
          <w:bCs/>
          <w:color w:val="000000" w:themeColor="text1"/>
          <w:sz w:val="20"/>
          <w:szCs w:val="20"/>
          <w:lang w:val="en-US"/>
        </w:rPr>
        <w:t>) version 7.1.</w:t>
      </w:r>
      <w:bookmarkEnd w:id="0"/>
      <w:r w:rsidRPr="00BC3878">
        <w:rPr>
          <w:rFonts w:asciiTheme="minorHAnsi" w:hAnsiTheme="minorHAnsi" w:cstheme="minorHAnsi"/>
          <w:bCs/>
          <w:color w:val="000000" w:themeColor="text1"/>
          <w:sz w:val="20"/>
          <w:szCs w:val="20"/>
          <w:vertAlign w:val="superscript"/>
          <w:lang w:val="en-US"/>
        </w:rPr>
        <w:t>6</w:t>
      </w:r>
      <w:r w:rsidRPr="00BC3878">
        <w:rPr>
          <w:rFonts w:asciiTheme="minorHAnsi" w:hAnsiTheme="minorHAnsi" w:cstheme="minorHAnsi"/>
          <w:bCs/>
          <w:color w:val="000000" w:themeColor="text1"/>
          <w:sz w:val="20"/>
          <w:szCs w:val="20"/>
          <w:lang w:val="en-US"/>
        </w:rPr>
        <w:t xml:space="preserve"> </w:t>
      </w:r>
      <w:r w:rsidRPr="00BC3878">
        <w:rPr>
          <w:rFonts w:asciiTheme="minorHAnsi" w:hAnsiTheme="minorHAnsi" w:cstheme="minorHAnsi"/>
          <w:color w:val="000000" w:themeColor="text1"/>
          <w:sz w:val="20"/>
          <w:szCs w:val="20"/>
          <w:lang w:val="en-US"/>
        </w:rPr>
        <w:t xml:space="preserve">We included all gene sets with 10 to 500 genes after filtering out genes not present in the expression profiles. Enrichment of each gene set was tested according to the two-sample Welch's t-test for unequal variance between the set of genes under investigation versus the set </w:t>
      </w:r>
      <w:r w:rsidRPr="00BC3878">
        <w:rPr>
          <w:rFonts w:asciiTheme="minorHAnsi" w:hAnsiTheme="minorHAnsi" w:cstheme="minorHAnsi"/>
          <w:color w:val="000000" w:themeColor="text1"/>
          <w:sz w:val="20"/>
          <w:szCs w:val="20"/>
          <w:lang w:val="en-US"/>
        </w:rPr>
        <w:lastRenderedPageBreak/>
        <w:t xml:space="preserve">of genes that was not under investigation. To compare gene sets of different sizes, we transformed Welch's t statistic into a Z-score. Enrichment heatmaps were made using </w:t>
      </w:r>
      <w:proofErr w:type="spellStart"/>
      <w:r w:rsidRPr="00BC3878">
        <w:rPr>
          <w:rFonts w:asciiTheme="minorHAnsi" w:hAnsiTheme="minorHAnsi" w:cstheme="minorHAnsi"/>
          <w:color w:val="000000" w:themeColor="text1"/>
          <w:sz w:val="20"/>
          <w:szCs w:val="20"/>
          <w:lang w:val="en-US"/>
        </w:rPr>
        <w:t>ClustVis</w:t>
      </w:r>
      <w:proofErr w:type="spellEnd"/>
      <w:r w:rsidRPr="00BC3878">
        <w:rPr>
          <w:rFonts w:asciiTheme="minorHAnsi" w:hAnsiTheme="minorHAnsi" w:cstheme="minorHAnsi"/>
          <w:color w:val="000000" w:themeColor="text1"/>
          <w:sz w:val="20"/>
          <w:szCs w:val="20"/>
          <w:lang w:val="en-US"/>
        </w:rPr>
        <w:t>. In the enrichment heatmaps, gene sets were included if the enrichment for at least one TC passed the Bonferroni threshold for multiple testing correction. Gene sets were clustered using Spearman correlation and Ward D2.</w:t>
      </w:r>
    </w:p>
    <w:p w14:paraId="6595B50B" w14:textId="77777777" w:rsidR="0045056C" w:rsidRPr="00BC3878" w:rsidRDefault="0045056C" w:rsidP="0045056C">
      <w:pPr>
        <w:ind w:firstLine="708"/>
        <w:outlineLvl w:val="0"/>
        <w:rPr>
          <w:rFonts w:asciiTheme="minorHAnsi" w:hAnsiTheme="minorHAnsi" w:cstheme="minorHAnsi"/>
          <w:bCs/>
          <w:color w:val="000000" w:themeColor="text1"/>
          <w:sz w:val="20"/>
          <w:szCs w:val="20"/>
          <w:lang w:val="en-US"/>
        </w:rPr>
      </w:pPr>
      <w:r w:rsidRPr="00BC3878">
        <w:rPr>
          <w:rFonts w:asciiTheme="minorHAnsi" w:hAnsiTheme="minorHAnsi" w:cstheme="minorHAnsi"/>
          <w:bCs/>
          <w:color w:val="000000" w:themeColor="text1"/>
          <w:sz w:val="20"/>
          <w:szCs w:val="20"/>
          <w:lang w:val="en-US"/>
        </w:rPr>
        <w:t xml:space="preserve">Secondly, </w:t>
      </w:r>
      <w:r w:rsidRPr="00BC3878">
        <w:rPr>
          <w:rFonts w:asciiTheme="minorHAnsi" w:hAnsiTheme="minorHAnsi" w:cstheme="minorHAnsi"/>
          <w:color w:val="000000" w:themeColor="text1"/>
          <w:sz w:val="20"/>
          <w:szCs w:val="20"/>
          <w:lang w:val="en-US"/>
        </w:rPr>
        <w:t xml:space="preserve">we used </w:t>
      </w:r>
      <w:r w:rsidRPr="00BC3878">
        <w:rPr>
          <w:rFonts w:asciiTheme="minorHAnsi" w:hAnsiTheme="minorHAnsi" w:cstheme="minorHAnsi"/>
          <w:bCs/>
          <w:color w:val="000000" w:themeColor="text1"/>
          <w:sz w:val="20"/>
          <w:szCs w:val="20"/>
          <w:lang w:val="en-US"/>
        </w:rPr>
        <w:t>the recently developed Transcriptional Adaptation to Copy Number Alterations (TACNA) profiling method.</w:t>
      </w:r>
      <w:r w:rsidRPr="00BC3878">
        <w:rPr>
          <w:rFonts w:asciiTheme="minorHAnsi" w:hAnsiTheme="minorHAnsi" w:cstheme="minorHAnsi"/>
          <w:bCs/>
          <w:color w:val="000000" w:themeColor="text1"/>
          <w:sz w:val="20"/>
          <w:szCs w:val="20"/>
          <w:vertAlign w:val="superscript"/>
          <w:lang w:val="en-US"/>
        </w:rPr>
        <w:t>6</w:t>
      </w:r>
      <w:r w:rsidRPr="00BC3878">
        <w:rPr>
          <w:rFonts w:asciiTheme="minorHAnsi" w:hAnsiTheme="minorHAnsi" w:cstheme="minorHAnsi"/>
          <w:bCs/>
          <w:color w:val="000000" w:themeColor="text1"/>
          <w:sz w:val="20"/>
          <w:szCs w:val="20"/>
          <w:lang w:val="en-US"/>
        </w:rPr>
        <w:t xml:space="preserve"> This method was used </w:t>
      </w:r>
      <w:r w:rsidRPr="00BC3878">
        <w:rPr>
          <w:rFonts w:asciiTheme="minorHAnsi" w:hAnsiTheme="minorHAnsi" w:cstheme="minorHAnsi"/>
          <w:color w:val="000000" w:themeColor="text1"/>
          <w:sz w:val="20"/>
          <w:szCs w:val="20"/>
          <w:lang w:val="en-US"/>
        </w:rPr>
        <w:t>to identify TCs that capture the downstream effects of copy number alterations (CNAs) on gene expression levels.</w:t>
      </w:r>
    </w:p>
    <w:p w14:paraId="3B4F60AE" w14:textId="77777777" w:rsidR="0045056C" w:rsidRPr="00BC3878" w:rsidRDefault="0045056C" w:rsidP="0045056C">
      <w:pPr>
        <w:outlineLvl w:val="0"/>
        <w:rPr>
          <w:rFonts w:asciiTheme="minorHAnsi" w:hAnsiTheme="minorHAnsi" w:cstheme="minorHAnsi"/>
          <w:color w:val="000000" w:themeColor="text1"/>
          <w:sz w:val="20"/>
          <w:szCs w:val="20"/>
          <w:lang w:val="en-US"/>
        </w:rPr>
      </w:pPr>
      <w:r w:rsidRPr="00BC3878">
        <w:rPr>
          <w:rFonts w:asciiTheme="minorHAnsi" w:hAnsiTheme="minorHAnsi" w:cstheme="minorHAnsi"/>
          <w:bCs/>
          <w:color w:val="000000" w:themeColor="text1"/>
          <w:sz w:val="20"/>
          <w:szCs w:val="20"/>
          <w:lang w:val="en-US"/>
        </w:rPr>
        <w:t xml:space="preserve">Thirdly, </w:t>
      </w:r>
      <w:r w:rsidRPr="00BC3878">
        <w:rPr>
          <w:rFonts w:asciiTheme="minorHAnsi" w:hAnsiTheme="minorHAnsi" w:cstheme="minorHAnsi"/>
          <w:color w:val="000000" w:themeColor="text1"/>
          <w:sz w:val="20"/>
          <w:szCs w:val="20"/>
          <w:lang w:val="en-US"/>
        </w:rPr>
        <w:t xml:space="preserve">we used the </w:t>
      </w:r>
      <w:proofErr w:type="spellStart"/>
      <w:r w:rsidRPr="00BC3878">
        <w:rPr>
          <w:rFonts w:asciiTheme="minorHAnsi" w:hAnsiTheme="minorHAnsi" w:cstheme="minorHAnsi"/>
          <w:color w:val="000000" w:themeColor="text1"/>
          <w:sz w:val="20"/>
          <w:szCs w:val="20"/>
          <w:lang w:val="en-US"/>
        </w:rPr>
        <w:t>genetICA</w:t>
      </w:r>
      <w:proofErr w:type="spellEnd"/>
      <w:r w:rsidRPr="00BC3878">
        <w:rPr>
          <w:rFonts w:asciiTheme="minorHAnsi" w:hAnsiTheme="minorHAnsi" w:cstheme="minorHAnsi"/>
          <w:color w:val="000000" w:themeColor="text1"/>
          <w:sz w:val="20"/>
          <w:szCs w:val="20"/>
          <w:lang w:val="en-US"/>
        </w:rPr>
        <w:t xml:space="preserve">-network (available at </w:t>
      </w:r>
      <w:hyperlink r:id="rId7" w:history="1">
        <w:r w:rsidRPr="00BC3878">
          <w:rPr>
            <w:rFonts w:asciiTheme="minorHAnsi" w:hAnsiTheme="minorHAnsi" w:cstheme="minorHAnsi"/>
            <w:color w:val="000000" w:themeColor="text1"/>
            <w:sz w:val="20"/>
            <w:szCs w:val="20"/>
            <w:lang w:val="en-US"/>
          </w:rPr>
          <w:t>https://www.genetica-network.com</w:t>
        </w:r>
      </w:hyperlink>
      <w:r w:rsidRPr="00BC3878">
        <w:rPr>
          <w:rFonts w:asciiTheme="minorHAnsi" w:hAnsiTheme="minorHAnsi" w:cstheme="minorHAnsi"/>
          <w:color w:val="000000" w:themeColor="text1"/>
          <w:sz w:val="20"/>
          <w:szCs w:val="20"/>
          <w:lang w:val="en-US"/>
        </w:rPr>
        <w:t>).</w:t>
      </w:r>
      <w:r w:rsidRPr="00BC3878">
        <w:rPr>
          <w:rFonts w:asciiTheme="minorHAnsi" w:hAnsiTheme="minorHAnsi" w:cstheme="minorHAnsi"/>
          <w:color w:val="000000" w:themeColor="text1"/>
          <w:sz w:val="20"/>
          <w:szCs w:val="20"/>
          <w:vertAlign w:val="superscript"/>
          <w:lang w:val="en-US"/>
        </w:rPr>
        <w:t>7</w:t>
      </w:r>
      <w:r w:rsidRPr="00BC3878">
        <w:rPr>
          <w:rFonts w:asciiTheme="minorHAnsi" w:hAnsiTheme="minorHAnsi" w:cstheme="minorHAnsi"/>
          <w:color w:val="000000" w:themeColor="text1"/>
          <w:sz w:val="20"/>
          <w:szCs w:val="20"/>
          <w:lang w:val="en-US"/>
        </w:rPr>
        <w:t xml:space="preserve"> In short, a guilt-by-association (GBA) approach was used to predict likely functions for genes based on gene co-regulation. For this, we conducted a consensus-ICA on a large scale. A covariance matrix was calculated between 19,635 genes using the expression patterns of 135,000 gene expression profiles generated with Affymetrix HG-U133 Plus 2.0, representing the many disease states, cellular states, and genetic and chemical perturbations that were obtained. Consensus-ICA was performed on the covariance matrix. This identified a large CESs set and a mixing matrix reflecting the activity of each source in the expression pattern of the genes across the samples. Next, a GBA approach was used to predict the functionality of individual genes. First, we retrieved 16 public gene set collections describing a broad range of biological processes and phenotypes. We calculated its “bar code” by averaging the MM weight of its member genes for each gene set. Next, for each gene in the MM, the distance correlation was determined between its MM weights and the gene set bar code. A high correlation between a gene's MM weight and a gene set bar code indicated that the gene under investigation shared functionality with the genes of the specific gene set under investigation. Significance levels were obtained with permutated data (250 permutations). This strategy was applied to 23,372 well-described functional gene sets, which enabled us to create a comprehensive network of predicted functionalities of individual genes. The top and bottom 250 genes were included if their weights were ≥ 3 or ≤ -3, respectively. Next, the enrichment of predicted functionality was calculated for the resulting gene clusters.</w:t>
      </w:r>
    </w:p>
    <w:p w14:paraId="6F3CCC73" w14:textId="77777777" w:rsidR="0045056C" w:rsidRPr="00BC3878" w:rsidRDefault="0045056C" w:rsidP="0045056C">
      <w:pPr>
        <w:outlineLvl w:val="0"/>
        <w:rPr>
          <w:rFonts w:asciiTheme="minorHAnsi" w:hAnsiTheme="minorHAnsi" w:cstheme="minorHAnsi"/>
          <w:color w:val="000000" w:themeColor="text1"/>
          <w:sz w:val="20"/>
          <w:szCs w:val="20"/>
          <w:lang w:val="en-US"/>
        </w:rPr>
      </w:pPr>
    </w:p>
    <w:p w14:paraId="0A7C3E6F"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Determining association between transcriptional components and clinicopathological parameters</w:t>
      </w:r>
    </w:p>
    <w:p w14:paraId="5B73D61B" w14:textId="77777777" w:rsidR="0045056C" w:rsidRPr="00BC3878" w:rsidRDefault="0045056C" w:rsidP="0045056C">
      <w:pPr>
        <w:outlineLvl w:val="0"/>
        <w:rPr>
          <w:rFonts w:asciiTheme="minorHAnsi" w:hAnsiTheme="minorHAnsi" w:cstheme="minorHAnsi"/>
          <w:color w:val="000000" w:themeColor="text1"/>
          <w:sz w:val="20"/>
          <w:szCs w:val="20"/>
          <w:lang w:val="en-US"/>
        </w:rPr>
      </w:pPr>
      <w:bookmarkStart w:id="1" w:name="_Hlk55470451"/>
      <w:r w:rsidRPr="00BC3878">
        <w:rPr>
          <w:rFonts w:asciiTheme="minorHAnsi" w:hAnsiTheme="minorHAnsi" w:cstheme="minorHAnsi"/>
          <w:color w:val="000000" w:themeColor="text1"/>
          <w:sz w:val="20"/>
          <w:szCs w:val="20"/>
          <w:lang w:val="en-US"/>
        </w:rPr>
        <w:t>The associations between categorical variables and TCs were assessed with multinomial regression. For continuous variables, Spearman's rank correlation</w:t>
      </w:r>
      <w:r w:rsidRPr="00BC3878">
        <w:rPr>
          <w:rFonts w:asciiTheme="minorHAnsi" w:hAnsiTheme="minorHAnsi" w:cstheme="minorHAnsi"/>
          <w:bCs/>
          <w:color w:val="000000" w:themeColor="text1"/>
          <w:sz w:val="20"/>
          <w:szCs w:val="20"/>
          <w:lang w:val="en-US"/>
        </w:rPr>
        <w:t xml:space="preserve"> </w:t>
      </w:r>
      <w:r w:rsidRPr="00BC3878">
        <w:rPr>
          <w:rFonts w:asciiTheme="minorHAnsi" w:hAnsiTheme="minorHAnsi" w:cstheme="minorHAnsi"/>
          <w:color w:val="000000" w:themeColor="text1"/>
          <w:sz w:val="20"/>
          <w:szCs w:val="20"/>
          <w:lang w:val="en-US"/>
        </w:rPr>
        <w:t xml:space="preserve">test was applied. All statistical analyses were performed with </w:t>
      </w:r>
      <w:r w:rsidRPr="00BC3878">
        <w:rPr>
          <w:rFonts w:asciiTheme="minorHAnsi" w:hAnsiTheme="minorHAnsi" w:cstheme="minorHAnsi"/>
          <w:bCs/>
          <w:color w:val="000000" w:themeColor="text1"/>
          <w:sz w:val="20"/>
          <w:szCs w:val="20"/>
          <w:lang w:val="en-US"/>
        </w:rPr>
        <w:t>R version 3.6.2.</w:t>
      </w:r>
    </w:p>
    <w:bookmarkEnd w:id="1"/>
    <w:p w14:paraId="05E9A2FA" w14:textId="77777777" w:rsidR="0045056C" w:rsidRPr="00BC3878" w:rsidRDefault="0045056C" w:rsidP="0045056C">
      <w:pPr>
        <w:rPr>
          <w:rFonts w:asciiTheme="minorHAnsi" w:hAnsiTheme="minorHAnsi" w:cstheme="minorHAnsi"/>
          <w:color w:val="000000" w:themeColor="text1"/>
          <w:sz w:val="20"/>
          <w:szCs w:val="20"/>
          <w:lang w:val="en-US"/>
        </w:rPr>
      </w:pPr>
    </w:p>
    <w:p w14:paraId="6F1E0A23" w14:textId="77777777" w:rsidR="0045056C" w:rsidRPr="00BC3878" w:rsidRDefault="0045056C" w:rsidP="0045056C">
      <w:pPr>
        <w:rPr>
          <w:rFonts w:asciiTheme="minorHAnsi" w:eastAsia="Calibri" w:hAnsiTheme="minorHAnsi" w:cstheme="minorHAnsi"/>
          <w:b/>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Building random survival forests</w:t>
      </w:r>
    </w:p>
    <w:p w14:paraId="6E77DF31" w14:textId="77777777" w:rsidR="0045056C" w:rsidRPr="00BC3878" w:rsidRDefault="0045056C" w:rsidP="0045056C">
      <w:pPr>
        <w:outlineLvl w:val="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Separate random survival forests (RSFs) were built for stages 2 and 3 colon cancer using TC activities as classifiers and DFS as the response variable. For each RSF, 1,000 separate survival trees were built — each time selecting five randomly chosen TCs from the entire set of input TCs. The RSF was built with a recursive process. At each recursive step, all activity thresholds for all TCs were evaluated on their capacity to split the patients into two subgroups with divergent survival curves (assessed with a log-rank test). Next, the winner TC and its activity threshold was selected based on the most significant log-rank test. This recursive step was repeated separately for each of the two patient subgroups resulting from splitting the patients based on this winner TC and its activity threshold. A recursive step stopped if the number of total patients dropped below 50, if the number of total events (i.e., disease recurrence) was less than 25, or if splitting the patients based on the winner TC and its activity threshold resulted in a subgroup with less than 17 patients. When all recursive steps were stopped, a patient-by-patient proximity matrix was obtained for the resulting survival tree. This matrix indicates how similarly the survival tree classifies two patients.</w:t>
      </w:r>
    </w:p>
    <w:p w14:paraId="07BA4C05" w14:textId="405711F4" w:rsidR="0045056C" w:rsidRPr="00BC3878" w:rsidRDefault="0045056C" w:rsidP="0045056C">
      <w:pPr>
        <w:ind w:firstLine="720"/>
        <w:outlineLvl w:val="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 xml:space="preserve">For a RSF, all 1,000 proximity matrices are element-wise summed to get a final proximity matrix. Next, hierarchical clustering — using the Ward D2 method — was performed on this final proximity matrix to find </w:t>
      </w:r>
      <w:r w:rsidR="00B2780C">
        <w:rPr>
          <w:rFonts w:asciiTheme="minorHAnsi" w:hAnsiTheme="minorHAnsi" w:cstheme="minorHAnsi"/>
          <w:color w:val="000000" w:themeColor="text1"/>
          <w:sz w:val="20"/>
          <w:szCs w:val="20"/>
          <w:lang w:val="en-US"/>
        </w:rPr>
        <w:t>patient subgroups</w:t>
      </w:r>
      <w:r w:rsidRPr="00BC3878">
        <w:rPr>
          <w:rFonts w:asciiTheme="minorHAnsi" w:hAnsiTheme="minorHAnsi" w:cstheme="minorHAnsi"/>
          <w:color w:val="000000" w:themeColor="text1"/>
          <w:sz w:val="20"/>
          <w:szCs w:val="20"/>
          <w:lang w:val="en-US"/>
        </w:rPr>
        <w:t xml:space="preserve"> of similarly classified patients based on the 1,000 survival trees in the RSF. Next, the maximum number of </w:t>
      </w:r>
      <w:r w:rsidR="00B2780C">
        <w:rPr>
          <w:rFonts w:asciiTheme="minorHAnsi" w:hAnsiTheme="minorHAnsi" w:cstheme="minorHAnsi"/>
          <w:color w:val="000000" w:themeColor="text1"/>
          <w:sz w:val="20"/>
          <w:szCs w:val="20"/>
          <w:lang w:val="en-US"/>
        </w:rPr>
        <w:t>patient subgroups</w:t>
      </w:r>
      <w:r w:rsidRPr="00BC3878">
        <w:rPr>
          <w:rFonts w:asciiTheme="minorHAnsi" w:hAnsiTheme="minorHAnsi" w:cstheme="minorHAnsi"/>
          <w:color w:val="000000" w:themeColor="text1"/>
          <w:sz w:val="20"/>
          <w:szCs w:val="20"/>
          <w:lang w:val="en-US"/>
        </w:rPr>
        <w:t xml:space="preserve"> was determined for which the log-rank test showed a significant difference in survival curves.</w:t>
      </w:r>
    </w:p>
    <w:p w14:paraId="110320FA" w14:textId="77777777" w:rsidR="0045056C" w:rsidRPr="00BC3878" w:rsidRDefault="0045056C" w:rsidP="0045056C">
      <w:pPr>
        <w:outlineLvl w:val="0"/>
        <w:rPr>
          <w:rFonts w:asciiTheme="minorHAnsi" w:hAnsiTheme="minorHAnsi" w:cstheme="minorHAnsi"/>
          <w:color w:val="000000" w:themeColor="text1"/>
          <w:sz w:val="20"/>
          <w:szCs w:val="20"/>
          <w:lang w:val="en-US"/>
        </w:rPr>
      </w:pPr>
    </w:p>
    <w:p w14:paraId="4014E366" w14:textId="77777777" w:rsidR="0045056C" w:rsidRPr="00BC3878" w:rsidRDefault="0045056C" w:rsidP="0045056C">
      <w:pPr>
        <w:outlineLvl w:val="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More specifically, random survival forest analysis was performed using the following steps:</w:t>
      </w:r>
    </w:p>
    <w:p w14:paraId="7C648BF4" w14:textId="77777777" w:rsidR="0045056C" w:rsidRPr="00BC3878" w:rsidRDefault="0045056C" w:rsidP="0045056C">
      <w:pPr>
        <w:pStyle w:val="ListParagraph"/>
        <w:numPr>
          <w:ilvl w:val="0"/>
          <w:numId w:val="4"/>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For each of the classifiers (C</w:t>
      </w:r>
      <w:r w:rsidRPr="00BC3878">
        <w:rPr>
          <w:rFonts w:cstheme="minorHAnsi"/>
          <w:color w:val="000000" w:themeColor="text1"/>
          <w:sz w:val="20"/>
          <w:szCs w:val="20"/>
          <w:vertAlign w:val="subscript"/>
        </w:rPr>
        <w:t>i</w:t>
      </w:r>
      <w:r w:rsidRPr="00BC3878">
        <w:rPr>
          <w:rFonts w:cstheme="minorHAnsi"/>
          <w:color w:val="000000" w:themeColor="text1"/>
          <w:sz w:val="20"/>
          <w:szCs w:val="20"/>
        </w:rPr>
        <w:t>):</w:t>
      </w:r>
    </w:p>
    <w:p w14:paraId="385A0FEB" w14:textId="77777777" w:rsidR="0045056C" w:rsidRPr="00BC3878" w:rsidRDefault="0045056C" w:rsidP="0045056C">
      <w:pPr>
        <w:pStyle w:val="ListParagraph"/>
        <w:numPr>
          <w:ilvl w:val="1"/>
          <w:numId w:val="4"/>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 xml:space="preserve">If the classifier is a numeric variable, </w:t>
      </w:r>
    </w:p>
    <w:p w14:paraId="72218302" w14:textId="77777777" w:rsidR="0045056C" w:rsidRPr="00BC3878" w:rsidRDefault="0045056C" w:rsidP="0045056C">
      <w:pPr>
        <w:pStyle w:val="ListParagraph"/>
        <w:numPr>
          <w:ilvl w:val="2"/>
          <w:numId w:val="4"/>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For each possible weight of the classifier as a cut-off (c):</w:t>
      </w:r>
    </w:p>
    <w:p w14:paraId="0AABDF5D"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t>Obtain two subsets of the samples.</w:t>
      </w:r>
    </w:p>
    <w:p w14:paraId="7EA49B2B" w14:textId="77777777" w:rsidR="0045056C" w:rsidRPr="00BC3878" w:rsidRDefault="0045056C" w:rsidP="0045056C">
      <w:pPr>
        <w:pStyle w:val="ListParagraph"/>
        <w:numPr>
          <w:ilvl w:val="4"/>
          <w:numId w:val="4"/>
        </w:numPr>
        <w:spacing w:after="0" w:line="240" w:lineRule="auto"/>
        <w:ind w:left="2977" w:hanging="425"/>
        <w:rPr>
          <w:rFonts w:cstheme="minorHAnsi"/>
          <w:color w:val="000000" w:themeColor="text1"/>
          <w:sz w:val="20"/>
          <w:szCs w:val="20"/>
        </w:rPr>
      </w:pPr>
      <w:r w:rsidRPr="00BC3878">
        <w:rPr>
          <w:rFonts w:cstheme="minorHAnsi"/>
          <w:color w:val="000000" w:themeColor="text1"/>
          <w:sz w:val="20"/>
          <w:szCs w:val="20"/>
        </w:rPr>
        <w:t>Samples having weights &lt; cut-off weight</w:t>
      </w:r>
    </w:p>
    <w:p w14:paraId="0BE1BD28" w14:textId="77777777" w:rsidR="0045056C" w:rsidRPr="00BC3878" w:rsidRDefault="0045056C" w:rsidP="0045056C">
      <w:pPr>
        <w:pStyle w:val="ListParagraph"/>
        <w:numPr>
          <w:ilvl w:val="4"/>
          <w:numId w:val="4"/>
        </w:numPr>
        <w:spacing w:after="0" w:line="240" w:lineRule="auto"/>
        <w:ind w:left="2977" w:hanging="425"/>
        <w:rPr>
          <w:rFonts w:cstheme="minorHAnsi"/>
          <w:color w:val="000000" w:themeColor="text1"/>
          <w:sz w:val="20"/>
          <w:szCs w:val="20"/>
        </w:rPr>
      </w:pPr>
      <w:r w:rsidRPr="00BC3878">
        <w:rPr>
          <w:rFonts w:cstheme="minorHAnsi"/>
          <w:color w:val="000000" w:themeColor="text1"/>
          <w:sz w:val="20"/>
          <w:szCs w:val="20"/>
        </w:rPr>
        <w:t>Or samples having weights ≥ cut-off weight</w:t>
      </w:r>
    </w:p>
    <w:p w14:paraId="6E2256CF"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t xml:space="preserve">Obtain survival probabilities for both of the subsets. </w:t>
      </w:r>
    </w:p>
    <w:p w14:paraId="366934A4"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lastRenderedPageBreak/>
        <w:t>Compare the survival probabilities using the log-rank test and obtain the log-rank statistic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i,c</w:t>
      </w:r>
      <w:proofErr w:type="spellEnd"/>
      <w:r w:rsidRPr="00BC3878">
        <w:rPr>
          <w:rFonts w:cstheme="minorHAnsi"/>
          <w:color w:val="000000" w:themeColor="text1"/>
          <w:sz w:val="20"/>
          <w:szCs w:val="20"/>
        </w:rPr>
        <w:t>).</w:t>
      </w:r>
    </w:p>
    <w:p w14:paraId="7D1551B7" w14:textId="77777777" w:rsidR="0045056C" w:rsidRPr="00BC3878" w:rsidRDefault="0045056C" w:rsidP="0045056C">
      <w:pPr>
        <w:pStyle w:val="ListParagraph"/>
        <w:numPr>
          <w:ilvl w:val="2"/>
          <w:numId w:val="4"/>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Obtain the optimum cut-off c (</w:t>
      </w:r>
      <w:proofErr w:type="spellStart"/>
      <w:r w:rsidRPr="00BC3878">
        <w:rPr>
          <w:rFonts w:cstheme="minorHAnsi"/>
          <w:color w:val="000000" w:themeColor="text1"/>
          <w:sz w:val="20"/>
          <w:szCs w:val="20"/>
        </w:rPr>
        <w:t>oc</w:t>
      </w:r>
      <w:r w:rsidRPr="00BC3878">
        <w:rPr>
          <w:rFonts w:cstheme="minorHAnsi"/>
          <w:color w:val="000000" w:themeColor="text1"/>
          <w:sz w:val="20"/>
          <w:szCs w:val="20"/>
          <w:vertAlign w:val="subscript"/>
        </w:rPr>
        <w:t>i</w:t>
      </w:r>
      <w:proofErr w:type="spellEnd"/>
      <w:r w:rsidRPr="00BC3878">
        <w:rPr>
          <w:rFonts w:cstheme="minorHAnsi"/>
          <w:color w:val="000000" w:themeColor="text1"/>
          <w:sz w:val="20"/>
          <w:szCs w:val="20"/>
        </w:rPr>
        <w:t xml:space="preserve">) for which log-rank statistic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i,c</w:t>
      </w:r>
      <w:proofErr w:type="spellEnd"/>
      <w:r w:rsidRPr="00BC3878">
        <w:rPr>
          <w:rFonts w:cstheme="minorHAnsi"/>
          <w:color w:val="000000" w:themeColor="text1"/>
          <w:sz w:val="20"/>
          <w:szCs w:val="20"/>
        </w:rPr>
        <w:t xml:space="preserve"> is maximum. Assign maximum of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i,c</w:t>
      </w:r>
      <w:proofErr w:type="spellEnd"/>
      <w:r w:rsidRPr="00BC3878">
        <w:rPr>
          <w:rFonts w:cstheme="minorHAnsi"/>
          <w:color w:val="000000" w:themeColor="text1"/>
          <w:sz w:val="20"/>
          <w:szCs w:val="20"/>
        </w:rPr>
        <w:t xml:space="preserve"> as </w:t>
      </w:r>
      <w:proofErr w:type="spellStart"/>
      <w:r w:rsidRPr="00BC3878">
        <w:rPr>
          <w:rFonts w:cstheme="minorHAnsi"/>
          <w:color w:val="000000" w:themeColor="text1"/>
          <w:sz w:val="20"/>
          <w:szCs w:val="20"/>
        </w:rPr>
        <w:t>max_LRC</w:t>
      </w:r>
      <w:r w:rsidRPr="00BC3878">
        <w:rPr>
          <w:rFonts w:cstheme="minorHAnsi"/>
          <w:color w:val="000000" w:themeColor="text1"/>
          <w:sz w:val="20"/>
          <w:szCs w:val="20"/>
          <w:vertAlign w:val="subscript"/>
        </w:rPr>
        <w:t>i</w:t>
      </w:r>
      <w:proofErr w:type="spellEnd"/>
      <w:r w:rsidRPr="00BC3878">
        <w:rPr>
          <w:rFonts w:cstheme="minorHAnsi"/>
          <w:color w:val="000000" w:themeColor="text1"/>
          <w:sz w:val="20"/>
          <w:szCs w:val="20"/>
        </w:rPr>
        <w:t>.</w:t>
      </w:r>
    </w:p>
    <w:p w14:paraId="35ECC707" w14:textId="77777777" w:rsidR="0045056C" w:rsidRPr="00BC3878" w:rsidRDefault="0045056C" w:rsidP="0045056C">
      <w:pPr>
        <w:pStyle w:val="ListParagraph"/>
        <w:numPr>
          <w:ilvl w:val="1"/>
          <w:numId w:val="4"/>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 xml:space="preserve">If the classifier is a categorical variable, </w:t>
      </w:r>
    </w:p>
    <w:p w14:paraId="579C2099" w14:textId="77777777" w:rsidR="0045056C" w:rsidRPr="00BC3878" w:rsidRDefault="0045056C" w:rsidP="0045056C">
      <w:pPr>
        <w:pStyle w:val="ListParagraph"/>
        <w:numPr>
          <w:ilvl w:val="2"/>
          <w:numId w:val="4"/>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For each possible combination of different levels of the classifier:</w:t>
      </w:r>
    </w:p>
    <w:p w14:paraId="1B9B6B3F"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t>Obtain two subsets of samples A and B.</w:t>
      </w:r>
    </w:p>
    <w:p w14:paraId="346E0550"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t xml:space="preserve">Obtain survival probabilities for both subsets. </w:t>
      </w:r>
    </w:p>
    <w:p w14:paraId="7BCE9517" w14:textId="77777777" w:rsidR="0045056C" w:rsidRPr="00BC3878" w:rsidRDefault="0045056C" w:rsidP="0045056C">
      <w:pPr>
        <w:pStyle w:val="ListParagraph"/>
        <w:numPr>
          <w:ilvl w:val="3"/>
          <w:numId w:val="4"/>
        </w:numPr>
        <w:spacing w:after="0" w:line="240" w:lineRule="auto"/>
        <w:ind w:left="2268" w:hanging="425"/>
        <w:rPr>
          <w:rFonts w:cstheme="minorHAnsi"/>
          <w:color w:val="000000" w:themeColor="text1"/>
          <w:sz w:val="20"/>
          <w:szCs w:val="20"/>
        </w:rPr>
      </w:pPr>
      <w:r w:rsidRPr="00BC3878">
        <w:rPr>
          <w:rFonts w:cstheme="minorHAnsi"/>
          <w:color w:val="000000" w:themeColor="text1"/>
          <w:sz w:val="20"/>
          <w:szCs w:val="20"/>
        </w:rPr>
        <w:t>Compare the survival probabilities using the log-rank test and obtain the log-rank statistic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i,AB</w:t>
      </w:r>
      <w:proofErr w:type="spellEnd"/>
      <w:r w:rsidRPr="00BC3878">
        <w:rPr>
          <w:rFonts w:cstheme="minorHAnsi"/>
          <w:color w:val="000000" w:themeColor="text1"/>
          <w:sz w:val="20"/>
          <w:szCs w:val="20"/>
        </w:rPr>
        <w:t>).</w:t>
      </w:r>
    </w:p>
    <w:p w14:paraId="3F3A9B0D" w14:textId="77777777" w:rsidR="0045056C" w:rsidRPr="00BC3878" w:rsidRDefault="0045056C" w:rsidP="0045056C">
      <w:pPr>
        <w:pStyle w:val="ListParagraph"/>
        <w:numPr>
          <w:ilvl w:val="2"/>
          <w:numId w:val="4"/>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Obtain the optimum combination of levels in two subsets A, B (</w:t>
      </w:r>
      <w:proofErr w:type="spellStart"/>
      <w:r w:rsidRPr="00BC3878">
        <w:rPr>
          <w:rFonts w:cstheme="minorHAnsi"/>
          <w:color w:val="000000" w:themeColor="text1"/>
          <w:sz w:val="20"/>
          <w:szCs w:val="20"/>
        </w:rPr>
        <w:t>oc</w:t>
      </w:r>
      <w:r w:rsidRPr="00BC3878">
        <w:rPr>
          <w:rFonts w:cstheme="minorHAnsi"/>
          <w:color w:val="000000" w:themeColor="text1"/>
          <w:sz w:val="20"/>
          <w:szCs w:val="20"/>
          <w:vertAlign w:val="subscript"/>
        </w:rPr>
        <w:t>i</w:t>
      </w:r>
      <w:proofErr w:type="spellEnd"/>
      <w:r w:rsidRPr="00BC3878">
        <w:rPr>
          <w:rFonts w:cstheme="minorHAnsi"/>
          <w:color w:val="000000" w:themeColor="text1"/>
          <w:sz w:val="20"/>
          <w:szCs w:val="20"/>
        </w:rPr>
        <w:t xml:space="preserve">) for which log-rank statistic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i,AB</w:t>
      </w:r>
      <w:proofErr w:type="spellEnd"/>
      <w:r w:rsidRPr="00BC3878">
        <w:rPr>
          <w:rFonts w:cstheme="minorHAnsi"/>
          <w:color w:val="000000" w:themeColor="text1"/>
          <w:sz w:val="20"/>
          <w:szCs w:val="20"/>
        </w:rPr>
        <w:t xml:space="preserve"> is maximum. Assign maximum of </w:t>
      </w:r>
      <w:proofErr w:type="spellStart"/>
      <w:r w:rsidRPr="00BC3878">
        <w:rPr>
          <w:rFonts w:cstheme="minorHAnsi"/>
          <w:color w:val="000000" w:themeColor="text1"/>
          <w:sz w:val="20"/>
          <w:szCs w:val="20"/>
        </w:rPr>
        <w:t>LRC</w:t>
      </w:r>
      <w:r w:rsidRPr="00BC3878">
        <w:rPr>
          <w:rFonts w:cstheme="minorHAnsi"/>
          <w:color w:val="000000" w:themeColor="text1"/>
          <w:sz w:val="20"/>
          <w:szCs w:val="20"/>
          <w:vertAlign w:val="subscript"/>
        </w:rPr>
        <w:t>i,AB</w:t>
      </w:r>
      <w:proofErr w:type="spellEnd"/>
      <w:r w:rsidRPr="00BC3878">
        <w:rPr>
          <w:rFonts w:cstheme="minorHAnsi"/>
          <w:color w:val="000000" w:themeColor="text1"/>
          <w:sz w:val="20"/>
          <w:szCs w:val="20"/>
        </w:rPr>
        <w:t xml:space="preserve"> as </w:t>
      </w:r>
      <w:proofErr w:type="spellStart"/>
      <w:r w:rsidRPr="00BC3878">
        <w:rPr>
          <w:rFonts w:cstheme="minorHAnsi"/>
          <w:color w:val="000000" w:themeColor="text1"/>
          <w:sz w:val="20"/>
          <w:szCs w:val="20"/>
        </w:rPr>
        <w:t>max_LRC</w:t>
      </w:r>
      <w:r w:rsidRPr="00BC3878">
        <w:rPr>
          <w:rFonts w:cstheme="minorHAnsi"/>
          <w:color w:val="000000" w:themeColor="text1"/>
          <w:sz w:val="20"/>
          <w:szCs w:val="20"/>
          <w:vertAlign w:val="subscript"/>
        </w:rPr>
        <w:t>i</w:t>
      </w:r>
      <w:proofErr w:type="spellEnd"/>
      <w:r w:rsidRPr="00BC3878">
        <w:rPr>
          <w:rFonts w:cstheme="minorHAnsi"/>
          <w:color w:val="000000" w:themeColor="text1"/>
          <w:sz w:val="20"/>
          <w:szCs w:val="20"/>
        </w:rPr>
        <w:t>.</w:t>
      </w:r>
    </w:p>
    <w:p w14:paraId="465B19C3" w14:textId="77777777" w:rsidR="0045056C" w:rsidRPr="00BC3878" w:rsidRDefault="0045056C" w:rsidP="0045056C">
      <w:pPr>
        <w:pStyle w:val="ListParagraph"/>
        <w:numPr>
          <w:ilvl w:val="0"/>
          <w:numId w:val="4"/>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Obtain the most significant classifier along with the optimum cut-off/combination of levels (</w:t>
      </w:r>
      <w:proofErr w:type="spellStart"/>
      <w:r w:rsidRPr="00BC3878">
        <w:rPr>
          <w:rFonts w:cstheme="minorHAnsi"/>
          <w:color w:val="000000" w:themeColor="text1"/>
          <w:sz w:val="20"/>
          <w:szCs w:val="20"/>
        </w:rPr>
        <w:t>oc</w:t>
      </w:r>
      <w:proofErr w:type="spellEnd"/>
      <w:r w:rsidRPr="00BC3878">
        <w:rPr>
          <w:rFonts w:cstheme="minorHAnsi"/>
          <w:color w:val="000000" w:themeColor="text1"/>
          <w:sz w:val="20"/>
          <w:szCs w:val="20"/>
        </w:rPr>
        <w:t xml:space="preserve">) for which </w:t>
      </w:r>
      <w:proofErr w:type="spellStart"/>
      <w:r w:rsidRPr="00BC3878">
        <w:rPr>
          <w:rFonts w:cstheme="minorHAnsi"/>
          <w:color w:val="000000" w:themeColor="text1"/>
          <w:sz w:val="20"/>
          <w:szCs w:val="20"/>
        </w:rPr>
        <w:t>max_LRC</w:t>
      </w:r>
      <w:r w:rsidRPr="00BC3878">
        <w:rPr>
          <w:rFonts w:cstheme="minorHAnsi"/>
          <w:color w:val="000000" w:themeColor="text1"/>
          <w:sz w:val="20"/>
          <w:szCs w:val="20"/>
          <w:vertAlign w:val="subscript"/>
        </w:rPr>
        <w:t>i</w:t>
      </w:r>
      <w:proofErr w:type="spellEnd"/>
      <w:r w:rsidRPr="00BC3878">
        <w:rPr>
          <w:rFonts w:cstheme="minorHAnsi"/>
          <w:color w:val="000000" w:themeColor="text1"/>
          <w:sz w:val="20"/>
          <w:szCs w:val="20"/>
        </w:rPr>
        <w:t xml:space="preserve"> is maximum among all classifiers.</w:t>
      </w:r>
    </w:p>
    <w:p w14:paraId="2FF83817" w14:textId="77777777" w:rsidR="0045056C" w:rsidRPr="00BC3878" w:rsidRDefault="0045056C" w:rsidP="0045056C">
      <w:pPr>
        <w:pStyle w:val="ListParagraph"/>
        <w:numPr>
          <w:ilvl w:val="0"/>
          <w:numId w:val="4"/>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Classify the samples into subsets (subset_1 and subset_2) using the most significant classifier and optimum cut-off/combination of levels.</w:t>
      </w:r>
    </w:p>
    <w:p w14:paraId="608C938F" w14:textId="77777777" w:rsidR="0045056C" w:rsidRPr="00BC3878" w:rsidRDefault="0045056C" w:rsidP="0045056C">
      <w:pPr>
        <w:pStyle w:val="ListParagraph"/>
        <w:numPr>
          <w:ilvl w:val="0"/>
          <w:numId w:val="4"/>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In each of the subsets of the data set, repeat steps 1, 2 &amp; 3 till the following constraints are maintained.</w:t>
      </w:r>
    </w:p>
    <w:p w14:paraId="0C05C08D" w14:textId="77777777" w:rsidR="0045056C" w:rsidRPr="00BC3878" w:rsidRDefault="0045056C" w:rsidP="0045056C">
      <w:pPr>
        <w:pStyle w:val="ListParagraph"/>
        <w:numPr>
          <w:ilvl w:val="1"/>
          <w:numId w:val="4"/>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Number of samples in subset_1 + number of samples in subset_2 ≥ 50</w:t>
      </w:r>
    </w:p>
    <w:p w14:paraId="53B88E67" w14:textId="77777777" w:rsidR="0045056C" w:rsidRPr="00BC3878" w:rsidRDefault="0045056C" w:rsidP="0045056C">
      <w:pPr>
        <w:pStyle w:val="ListParagraph"/>
        <w:numPr>
          <w:ilvl w:val="1"/>
          <w:numId w:val="4"/>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Number of events in subset_1 + number of events in subset_2 ≥ 25</w:t>
      </w:r>
    </w:p>
    <w:p w14:paraId="6A3BF38F" w14:textId="77777777" w:rsidR="0045056C" w:rsidRPr="00BC3878" w:rsidRDefault="0045056C" w:rsidP="0045056C">
      <w:pPr>
        <w:pStyle w:val="ListParagraph"/>
        <w:numPr>
          <w:ilvl w:val="1"/>
          <w:numId w:val="4"/>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Number of samples in subset_1 or number of samples in subset_2 ≥ 17</w:t>
      </w:r>
    </w:p>
    <w:p w14:paraId="18FBB59B" w14:textId="77777777" w:rsidR="0045056C" w:rsidRPr="00BC3878" w:rsidRDefault="0045056C" w:rsidP="0045056C">
      <w:pPr>
        <w:rPr>
          <w:rFonts w:asciiTheme="minorHAnsi" w:hAnsiTheme="minorHAnsi" w:cstheme="minorHAnsi"/>
          <w:sz w:val="20"/>
          <w:szCs w:val="20"/>
          <w:lang w:val="en-US"/>
        </w:rPr>
      </w:pPr>
    </w:p>
    <w:p w14:paraId="0B72AA11"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To assess the goodness-of-fit of the survival tree, the following steps were conducted:</w:t>
      </w:r>
    </w:p>
    <w:p w14:paraId="48F30ED7" w14:textId="7317A506" w:rsidR="0045056C" w:rsidRPr="00BC3878" w:rsidRDefault="0045056C" w:rsidP="0045056C">
      <w:pPr>
        <w:pStyle w:val="ListParagraph"/>
        <w:numPr>
          <w:ilvl w:val="0"/>
          <w:numId w:val="5"/>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 xml:space="preserve">A new variable called survival </w:t>
      </w:r>
      <w:r w:rsidR="00B2780C">
        <w:rPr>
          <w:rFonts w:cstheme="minorHAnsi"/>
          <w:color w:val="000000" w:themeColor="text1"/>
          <w:sz w:val="20"/>
          <w:szCs w:val="20"/>
        </w:rPr>
        <w:t>patient subgroups</w:t>
      </w:r>
      <w:r w:rsidRPr="00BC3878">
        <w:rPr>
          <w:rFonts w:cstheme="minorHAnsi"/>
          <w:color w:val="000000" w:themeColor="text1"/>
          <w:sz w:val="20"/>
          <w:szCs w:val="20"/>
        </w:rPr>
        <w:t xml:space="preserve"> was created to store the terminal node number in the survival tree of each sample.</w:t>
      </w:r>
    </w:p>
    <w:p w14:paraId="2F8D1E94" w14:textId="1E035798" w:rsidR="0045056C" w:rsidRPr="00BC3878" w:rsidRDefault="0045056C" w:rsidP="0045056C">
      <w:pPr>
        <w:pStyle w:val="ListParagraph"/>
        <w:numPr>
          <w:ilvl w:val="0"/>
          <w:numId w:val="5"/>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 xml:space="preserve">Univariate Cox proportional hazards analysis with this new variable survival </w:t>
      </w:r>
      <w:r w:rsidR="00B2780C">
        <w:rPr>
          <w:rFonts w:cstheme="minorHAnsi"/>
          <w:color w:val="000000" w:themeColor="text1"/>
          <w:sz w:val="20"/>
          <w:szCs w:val="20"/>
        </w:rPr>
        <w:t>patient subgroups</w:t>
      </w:r>
      <w:r w:rsidRPr="00BC3878">
        <w:rPr>
          <w:rFonts w:cstheme="minorHAnsi"/>
          <w:color w:val="000000" w:themeColor="text1"/>
          <w:sz w:val="20"/>
          <w:szCs w:val="20"/>
        </w:rPr>
        <w:t xml:space="preserve"> as a predictor was performed to assess its association with DFS.</w:t>
      </w:r>
    </w:p>
    <w:p w14:paraId="53DAF0C0" w14:textId="77777777" w:rsidR="0045056C" w:rsidRPr="00BC3878" w:rsidRDefault="0045056C" w:rsidP="0045056C">
      <w:pPr>
        <w:pStyle w:val="ListParagraph"/>
        <w:numPr>
          <w:ilvl w:val="0"/>
          <w:numId w:val="5"/>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Concordance statistic for this Cox proportional hazards analysis was obtained to evaluate the classification power of the survival tree.</w:t>
      </w:r>
    </w:p>
    <w:p w14:paraId="1152DF8D" w14:textId="77777777" w:rsidR="0045056C" w:rsidRPr="00BC3878" w:rsidRDefault="0045056C" w:rsidP="0045056C">
      <w:pPr>
        <w:rPr>
          <w:rFonts w:asciiTheme="minorHAnsi" w:hAnsiTheme="minorHAnsi" w:cstheme="minorHAnsi"/>
          <w:sz w:val="20"/>
          <w:szCs w:val="20"/>
          <w:lang w:val="en-US"/>
        </w:rPr>
      </w:pPr>
    </w:p>
    <w:p w14:paraId="3356E9FB"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After conducting these recursive processes, obtain the number of significant classifiers (</w:t>
      </w:r>
      <w:proofErr w:type="spellStart"/>
      <w:r w:rsidRPr="00BC3878">
        <w:rPr>
          <w:rFonts w:asciiTheme="minorHAnsi" w:hAnsiTheme="minorHAnsi" w:cstheme="minorHAnsi"/>
          <w:color w:val="000000" w:themeColor="text1"/>
          <w:sz w:val="20"/>
          <w:szCs w:val="20"/>
          <w:lang w:val="en-US"/>
        </w:rPr>
        <w:t>n_significant_classifiers</w:t>
      </w:r>
      <w:proofErr w:type="spellEnd"/>
      <w:r w:rsidRPr="00BC3878">
        <w:rPr>
          <w:rFonts w:asciiTheme="minorHAnsi" w:hAnsiTheme="minorHAnsi" w:cstheme="minorHAnsi"/>
          <w:color w:val="000000" w:themeColor="text1"/>
          <w:sz w:val="20"/>
          <w:szCs w:val="20"/>
          <w:lang w:val="en-US"/>
        </w:rPr>
        <w:t>).</w:t>
      </w:r>
    </w:p>
    <w:p w14:paraId="285B2025" w14:textId="77777777" w:rsidR="0045056C" w:rsidRPr="00BC3878" w:rsidRDefault="0045056C" w:rsidP="0045056C">
      <w:pPr>
        <w:pStyle w:val="ListParagraph"/>
        <w:numPr>
          <w:ilvl w:val="0"/>
          <w:numId w:val="6"/>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 xml:space="preserve">Perform random survival forest as 1,000 survival tree analyses each time using the activity scores of </w:t>
      </w:r>
      <w:proofErr w:type="spellStart"/>
      <w:r w:rsidRPr="00BC3878">
        <w:rPr>
          <w:rFonts w:cstheme="minorHAnsi"/>
          <w:color w:val="000000" w:themeColor="text1"/>
          <w:sz w:val="20"/>
          <w:szCs w:val="20"/>
        </w:rPr>
        <w:t>n_significant_classifiers</w:t>
      </w:r>
      <w:proofErr w:type="spellEnd"/>
      <w:r w:rsidRPr="00BC3878">
        <w:rPr>
          <w:rFonts w:cstheme="minorHAnsi"/>
          <w:color w:val="000000" w:themeColor="text1"/>
          <w:sz w:val="20"/>
          <w:szCs w:val="20"/>
        </w:rPr>
        <w:t xml:space="preserve"> many randomly chosen TCs from all the TCs associated with disease-free survival in the univariate or multivariate disease-free survival analyses. From each tree run </w:t>
      </w:r>
      <w:r w:rsidRPr="00BC3878">
        <w:rPr>
          <w:rFonts w:cstheme="minorHAnsi"/>
          <w:i/>
          <w:iCs/>
          <w:color w:val="000000" w:themeColor="text1"/>
          <w:sz w:val="20"/>
          <w:szCs w:val="20"/>
        </w:rPr>
        <w:t>r</w:t>
      </w:r>
      <w:r w:rsidRPr="00BC3878">
        <w:rPr>
          <w:rFonts w:cstheme="minorHAnsi"/>
          <w:color w:val="000000" w:themeColor="text1"/>
          <w:sz w:val="20"/>
          <w:szCs w:val="20"/>
        </w:rPr>
        <w:t xml:space="preserve"> obtain the following:</w:t>
      </w:r>
    </w:p>
    <w:p w14:paraId="4AECFCBD"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List of TCs used as input in the tree (</w:t>
      </w:r>
      <w:proofErr w:type="spellStart"/>
      <w:r w:rsidRPr="00BC3878">
        <w:rPr>
          <w:rFonts w:cstheme="minorHAnsi"/>
          <w:color w:val="000000" w:themeColor="text1"/>
          <w:sz w:val="20"/>
          <w:szCs w:val="20"/>
        </w:rPr>
        <w:t>input_TCs</w:t>
      </w:r>
      <w:r w:rsidRPr="00BC3878">
        <w:rPr>
          <w:rFonts w:cstheme="minorHAnsi"/>
          <w:color w:val="000000" w:themeColor="text1"/>
          <w:sz w:val="20"/>
          <w:szCs w:val="20"/>
          <w:vertAlign w:val="subscript"/>
        </w:rPr>
        <w:t>r</w:t>
      </w:r>
      <w:proofErr w:type="spellEnd"/>
      <w:r w:rsidRPr="00BC3878">
        <w:rPr>
          <w:rFonts w:cstheme="minorHAnsi"/>
          <w:color w:val="000000" w:themeColor="text1"/>
          <w:sz w:val="20"/>
          <w:szCs w:val="20"/>
        </w:rPr>
        <w:t>)</w:t>
      </w:r>
    </w:p>
    <w:p w14:paraId="00A8BB93"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List of TCs significantly appearing in the tree along with the maximum number of patients in a node (</w:t>
      </w:r>
      <w:proofErr w:type="spellStart"/>
      <w:r w:rsidRPr="00BC3878">
        <w:rPr>
          <w:rFonts w:cstheme="minorHAnsi"/>
          <w:color w:val="000000" w:themeColor="text1"/>
          <w:sz w:val="20"/>
          <w:szCs w:val="20"/>
        </w:rPr>
        <w:t>data_size</w:t>
      </w:r>
      <w:r w:rsidRPr="00BC3878">
        <w:rPr>
          <w:rFonts w:cstheme="minorHAnsi"/>
          <w:color w:val="000000" w:themeColor="text1"/>
          <w:sz w:val="20"/>
          <w:szCs w:val="20"/>
          <w:vertAlign w:val="subscript"/>
        </w:rPr>
        <w:t>TC_r</w:t>
      </w:r>
      <w:proofErr w:type="spellEnd"/>
      <w:r w:rsidRPr="00BC3878">
        <w:rPr>
          <w:rFonts w:cstheme="minorHAnsi"/>
          <w:color w:val="000000" w:themeColor="text1"/>
          <w:sz w:val="20"/>
          <w:szCs w:val="20"/>
        </w:rPr>
        <w:t>) where each TC significantly splits the population into two subsets.</w:t>
      </w:r>
    </w:p>
    <w:p w14:paraId="6430B2DE"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Proportion of number of patients to the total number of patients in node 1 for the maximum splitting node per significant TC (</w:t>
      </w:r>
      <w:proofErr w:type="spellStart"/>
      <w:r w:rsidRPr="00BC3878">
        <w:rPr>
          <w:rFonts w:cstheme="minorHAnsi"/>
          <w:color w:val="000000" w:themeColor="text1"/>
          <w:sz w:val="20"/>
          <w:szCs w:val="20"/>
        </w:rPr>
        <w:t>proportion_data_size</w:t>
      </w:r>
      <w:r w:rsidRPr="00BC3878">
        <w:rPr>
          <w:rFonts w:cstheme="minorHAnsi"/>
          <w:color w:val="000000" w:themeColor="text1"/>
          <w:sz w:val="20"/>
          <w:szCs w:val="20"/>
          <w:vertAlign w:val="subscript"/>
        </w:rPr>
        <w:t>TC_r</w:t>
      </w:r>
      <w:proofErr w:type="spellEnd"/>
      <w:r w:rsidRPr="00BC3878">
        <w:rPr>
          <w:rFonts w:cstheme="minorHAnsi"/>
          <w:color w:val="000000" w:themeColor="text1"/>
          <w:sz w:val="20"/>
          <w:szCs w:val="20"/>
        </w:rPr>
        <w:t>).</w:t>
      </w:r>
    </w:p>
    <w:p w14:paraId="3B4ADEE5"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Obtain proximity matrix between all samples using the following:</w:t>
      </w:r>
    </w:p>
    <w:p w14:paraId="4255B9E1" w14:textId="77777777" w:rsidR="0045056C" w:rsidRPr="00BC3878" w:rsidRDefault="0045056C" w:rsidP="0045056C">
      <w:pPr>
        <w:pStyle w:val="ListParagraph"/>
        <w:ind w:left="993" w:hanging="567"/>
        <w:rPr>
          <w:rFonts w:cstheme="minorHAnsi"/>
          <w:color w:val="000000" w:themeColor="text1"/>
          <w:sz w:val="20"/>
          <w:szCs w:val="20"/>
        </w:rPr>
      </w:pPr>
      <w:proofErr w:type="spellStart"/>
      <w:r w:rsidRPr="00BC3878">
        <w:rPr>
          <w:rFonts w:cstheme="minorHAnsi"/>
          <w:color w:val="000000" w:themeColor="text1"/>
          <w:sz w:val="20"/>
          <w:szCs w:val="20"/>
        </w:rPr>
        <w:t>Proximity_matrix</w:t>
      </w:r>
      <w:r w:rsidRPr="00BC3878">
        <w:rPr>
          <w:rFonts w:cstheme="minorHAnsi"/>
          <w:color w:val="000000" w:themeColor="text1"/>
          <w:sz w:val="20"/>
          <w:szCs w:val="20"/>
          <w:vertAlign w:val="subscript"/>
        </w:rPr>
        <w:t>r</w:t>
      </w:r>
      <w:proofErr w:type="spellEnd"/>
      <w:r w:rsidRPr="00BC3878">
        <w:rPr>
          <w:rFonts w:cstheme="minorHAnsi"/>
          <w:color w:val="000000" w:themeColor="text1"/>
          <w:sz w:val="20"/>
          <w:szCs w:val="20"/>
        </w:rPr>
        <w:t>(</w:t>
      </w:r>
      <w:proofErr w:type="spellStart"/>
      <w:r w:rsidRPr="00BC3878">
        <w:rPr>
          <w:rFonts w:cstheme="minorHAnsi"/>
          <w:color w:val="000000" w:themeColor="text1"/>
          <w:sz w:val="20"/>
          <w:szCs w:val="20"/>
        </w:rPr>
        <w:t>i,j</w:t>
      </w:r>
      <w:proofErr w:type="spellEnd"/>
      <w:r w:rsidRPr="00BC3878">
        <w:rPr>
          <w:rFonts w:cstheme="minorHAnsi"/>
          <w:color w:val="000000" w:themeColor="text1"/>
          <w:sz w:val="20"/>
          <w:szCs w:val="20"/>
        </w:rPr>
        <w:t xml:space="preserve">) is calculated as </w:t>
      </w:r>
    </w:p>
    <w:p w14:paraId="6DC8B98A" w14:textId="77777777" w:rsidR="0045056C" w:rsidRPr="00BC3878" w:rsidRDefault="00000000" w:rsidP="0045056C">
      <w:pPr>
        <w:rPr>
          <w:rFonts w:asciiTheme="minorHAnsi" w:hAnsiTheme="minorHAnsi" w:cstheme="minorHAnsi"/>
          <w:color w:val="000000" w:themeColor="text1"/>
          <w:sz w:val="20"/>
          <w:szCs w:val="20"/>
          <w:lang w:val="en-US"/>
        </w:rPr>
      </w:pPr>
      <m:oMathPara>
        <m:oMath>
          <m:f>
            <m:fPr>
              <m:ctrlPr>
                <w:rPr>
                  <w:rFonts w:ascii="Cambria Math" w:hAnsi="Cambria Math" w:cstheme="minorHAnsi"/>
                  <w:i/>
                  <w:color w:val="000000" w:themeColor="text1"/>
                  <w:sz w:val="20"/>
                  <w:szCs w:val="20"/>
                  <w:lang w:val="en-US"/>
                </w:rPr>
              </m:ctrlPr>
            </m:fPr>
            <m:num>
              <m:r>
                <m:rPr>
                  <m:sty m:val="p"/>
                </m:rPr>
                <w:rPr>
                  <w:rFonts w:ascii="Cambria Math" w:hAnsi="Cambria Math" w:cstheme="minorHAnsi"/>
                  <w:color w:val="000000" w:themeColor="text1"/>
                  <w:sz w:val="20"/>
                  <w:szCs w:val="20"/>
                  <w:lang w:val="en-US"/>
                </w:rPr>
                <m:t>number of shared edges between sample i and sample j</m:t>
              </m:r>
            </m:num>
            <m:den>
              <m:r>
                <m:rPr>
                  <m:sty m:val="p"/>
                </m:rPr>
                <w:rPr>
                  <w:rFonts w:ascii="Cambria Math" w:hAnsi="Cambria Math" w:cstheme="minorHAnsi"/>
                  <w:color w:val="000000" w:themeColor="text1"/>
                  <w:sz w:val="20"/>
                  <w:szCs w:val="20"/>
                  <w:lang w:val="en-US"/>
                </w:rPr>
                <m:t>min⁡(number of edges traversed by sample i, number of edges traversed by sample j)</m:t>
              </m:r>
            </m:den>
          </m:f>
        </m:oMath>
      </m:oMathPara>
    </w:p>
    <w:p w14:paraId="4882C3F1" w14:textId="77777777" w:rsidR="0045056C" w:rsidRPr="00BC3878" w:rsidRDefault="0045056C" w:rsidP="0045056C">
      <w:pPr>
        <w:pStyle w:val="ListParagraph"/>
        <w:numPr>
          <w:ilvl w:val="0"/>
          <w:numId w:val="6"/>
        </w:numPr>
        <w:spacing w:after="0" w:line="240" w:lineRule="auto"/>
        <w:ind w:left="357" w:hanging="357"/>
        <w:rPr>
          <w:rFonts w:cstheme="minorHAnsi"/>
          <w:color w:val="000000" w:themeColor="text1"/>
          <w:sz w:val="20"/>
          <w:szCs w:val="20"/>
        </w:rPr>
      </w:pPr>
      <w:r w:rsidRPr="00BC3878">
        <w:rPr>
          <w:rFonts w:cstheme="minorHAnsi"/>
          <w:color w:val="000000" w:themeColor="text1"/>
          <w:sz w:val="20"/>
          <w:szCs w:val="20"/>
        </w:rPr>
        <w:t>From the random survival forest of 1,000 survival trees, obtain the following:</w:t>
      </w:r>
    </w:p>
    <w:p w14:paraId="5BA3C21A"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Sum of all proximity matrices (</w:t>
      </w:r>
      <w:proofErr w:type="spellStart"/>
      <w:r w:rsidRPr="00BC3878">
        <w:rPr>
          <w:rFonts w:cstheme="minorHAnsi"/>
          <w:color w:val="000000" w:themeColor="text1"/>
          <w:sz w:val="20"/>
          <w:szCs w:val="20"/>
        </w:rPr>
        <w:t>Proximity_matrix_combined</w:t>
      </w:r>
      <w:proofErr w:type="spellEnd"/>
      <w:r w:rsidRPr="00BC3878">
        <w:rPr>
          <w:rFonts w:cstheme="minorHAnsi"/>
          <w:color w:val="000000" w:themeColor="text1"/>
          <w:sz w:val="20"/>
          <w:szCs w:val="20"/>
        </w:rPr>
        <w:t>) showing robust proximity metric between all pairs of samples based on 1,000 survival trees.</w:t>
      </w:r>
    </w:p>
    <w:p w14:paraId="345A3936"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 xml:space="preserve">Use hierarchical clustering on the </w:t>
      </w:r>
      <w:proofErr w:type="spellStart"/>
      <w:r w:rsidRPr="00BC3878">
        <w:rPr>
          <w:rFonts w:cstheme="minorHAnsi"/>
          <w:color w:val="000000" w:themeColor="text1"/>
          <w:sz w:val="20"/>
          <w:szCs w:val="20"/>
        </w:rPr>
        <w:t>Proximity_matrix_combined</w:t>
      </w:r>
      <w:proofErr w:type="spellEnd"/>
      <w:r w:rsidRPr="00BC3878">
        <w:rPr>
          <w:rFonts w:cstheme="minorHAnsi"/>
          <w:color w:val="000000" w:themeColor="text1"/>
          <w:sz w:val="20"/>
          <w:szCs w:val="20"/>
        </w:rPr>
        <w:t xml:space="preserve"> matrix using Ward D2 method on spearman correlation distance to find clusters of samples performing significantly differently in terms of DFS. Use consensus clustering algorithm to find optimum number of clusters.</w:t>
      </w:r>
    </w:p>
    <w:p w14:paraId="04519753" w14:textId="77777777" w:rsidR="0045056C" w:rsidRPr="00BC3878" w:rsidRDefault="0045056C" w:rsidP="0045056C">
      <w:pPr>
        <w:pStyle w:val="ListParagraph"/>
        <w:numPr>
          <w:ilvl w:val="1"/>
          <w:numId w:val="6"/>
        </w:numPr>
        <w:spacing w:after="0" w:line="240" w:lineRule="auto"/>
        <w:ind w:left="993" w:hanging="567"/>
        <w:rPr>
          <w:rFonts w:cstheme="minorHAnsi"/>
          <w:color w:val="000000" w:themeColor="text1"/>
          <w:sz w:val="20"/>
          <w:szCs w:val="20"/>
        </w:rPr>
      </w:pPr>
      <w:r w:rsidRPr="00BC3878">
        <w:rPr>
          <w:rFonts w:cstheme="minorHAnsi"/>
          <w:color w:val="000000" w:themeColor="text1"/>
          <w:sz w:val="20"/>
          <w:szCs w:val="20"/>
        </w:rPr>
        <w:t>Obtain importance of each TC in the random survival forest using the following steps:</w:t>
      </w:r>
    </w:p>
    <w:p w14:paraId="4927024D" w14:textId="77777777" w:rsidR="0045056C" w:rsidRPr="00BC3878" w:rsidRDefault="0045056C" w:rsidP="0045056C">
      <w:pPr>
        <w:pStyle w:val="ListParagraph"/>
        <w:numPr>
          <w:ilvl w:val="2"/>
          <w:numId w:val="6"/>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Find the number of trees where the current TC was provided as an input (</w:t>
      </w:r>
      <w:proofErr w:type="spellStart"/>
      <w:r w:rsidRPr="00BC3878">
        <w:rPr>
          <w:rFonts w:cstheme="minorHAnsi"/>
          <w:color w:val="000000" w:themeColor="text1"/>
          <w:sz w:val="20"/>
          <w:szCs w:val="20"/>
        </w:rPr>
        <w:t>number_of_trees_as_input</w:t>
      </w:r>
      <w:proofErr w:type="spellEnd"/>
      <w:r w:rsidRPr="00BC3878">
        <w:rPr>
          <w:rFonts w:cstheme="minorHAnsi"/>
          <w:color w:val="000000" w:themeColor="text1"/>
          <w:sz w:val="20"/>
          <w:szCs w:val="20"/>
        </w:rPr>
        <w:t>).</w:t>
      </w:r>
    </w:p>
    <w:p w14:paraId="789011D2" w14:textId="77777777" w:rsidR="0045056C" w:rsidRPr="00BC3878" w:rsidRDefault="0045056C" w:rsidP="0045056C">
      <w:pPr>
        <w:pStyle w:val="ListParagraph"/>
        <w:numPr>
          <w:ilvl w:val="2"/>
          <w:numId w:val="6"/>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Find the number of trees where the current TC significantly appeared as a classifier (</w:t>
      </w:r>
      <w:proofErr w:type="spellStart"/>
      <w:r w:rsidRPr="00BC3878">
        <w:rPr>
          <w:rFonts w:cstheme="minorHAnsi"/>
          <w:color w:val="000000" w:themeColor="text1"/>
          <w:sz w:val="20"/>
          <w:szCs w:val="20"/>
        </w:rPr>
        <w:t>number_of_trees_as_classifier</w:t>
      </w:r>
      <w:proofErr w:type="spellEnd"/>
      <w:r w:rsidRPr="00BC3878">
        <w:rPr>
          <w:rFonts w:cstheme="minorHAnsi"/>
          <w:color w:val="000000" w:themeColor="text1"/>
          <w:sz w:val="20"/>
          <w:szCs w:val="20"/>
        </w:rPr>
        <w:t>).</w:t>
      </w:r>
    </w:p>
    <w:p w14:paraId="4A089AED" w14:textId="77777777" w:rsidR="0045056C" w:rsidRPr="00BC3878" w:rsidRDefault="0045056C" w:rsidP="0045056C">
      <w:pPr>
        <w:pStyle w:val="ListParagraph"/>
        <w:numPr>
          <w:ilvl w:val="2"/>
          <w:numId w:val="6"/>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 xml:space="preserve">Obtain the proportion of times the current TC significantly appears in a tree when it is also provided as an input as </w:t>
      </w:r>
      <w:proofErr w:type="spellStart"/>
      <w:r w:rsidRPr="00BC3878">
        <w:rPr>
          <w:rFonts w:cstheme="minorHAnsi"/>
          <w:color w:val="000000" w:themeColor="text1"/>
          <w:sz w:val="20"/>
          <w:szCs w:val="20"/>
        </w:rPr>
        <w:t>number_of_trees_as_classifier</w:t>
      </w:r>
      <w:proofErr w:type="spellEnd"/>
      <w:r w:rsidRPr="00BC3878">
        <w:rPr>
          <w:rFonts w:cstheme="minorHAnsi"/>
          <w:color w:val="000000" w:themeColor="text1"/>
          <w:sz w:val="20"/>
          <w:szCs w:val="20"/>
        </w:rPr>
        <w:t>/</w:t>
      </w:r>
      <w:proofErr w:type="spellStart"/>
      <w:r w:rsidRPr="00BC3878">
        <w:rPr>
          <w:rFonts w:cstheme="minorHAnsi"/>
          <w:color w:val="000000" w:themeColor="text1"/>
          <w:sz w:val="20"/>
          <w:szCs w:val="20"/>
        </w:rPr>
        <w:t>number_of_trees_as_input</w:t>
      </w:r>
      <w:proofErr w:type="spellEnd"/>
      <w:r w:rsidRPr="00BC3878">
        <w:rPr>
          <w:rFonts w:cstheme="minorHAnsi"/>
          <w:color w:val="000000" w:themeColor="text1"/>
          <w:sz w:val="20"/>
          <w:szCs w:val="20"/>
        </w:rPr>
        <w:t xml:space="preserve">. </w:t>
      </w:r>
      <w:r w:rsidRPr="00BC3878">
        <w:rPr>
          <w:rFonts w:cstheme="minorHAnsi"/>
          <w:color w:val="000000" w:themeColor="text1"/>
          <w:sz w:val="20"/>
          <w:szCs w:val="20"/>
        </w:rPr>
        <w:lastRenderedPageBreak/>
        <w:t>Obtain binomial distribution based p-value for this proportion to judge if the obtained proportion is significantly different from zero.</w:t>
      </w:r>
    </w:p>
    <w:p w14:paraId="472C56D4" w14:textId="77777777" w:rsidR="0045056C" w:rsidRPr="00BC3878" w:rsidRDefault="0045056C" w:rsidP="0045056C">
      <w:pPr>
        <w:pStyle w:val="ListParagraph"/>
        <w:numPr>
          <w:ilvl w:val="2"/>
          <w:numId w:val="6"/>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 xml:space="preserve">Obtain sum of the proportions of data sizes for the current TC in all trees as </w:t>
      </w:r>
      <w:proofErr w:type="spellStart"/>
      <w:r w:rsidRPr="00BC3878">
        <w:rPr>
          <w:rFonts w:cstheme="minorHAnsi"/>
          <w:color w:val="000000" w:themeColor="text1"/>
          <w:sz w:val="20"/>
          <w:szCs w:val="20"/>
        </w:rPr>
        <w:t>proportion_data_size</w:t>
      </w:r>
      <w:r w:rsidRPr="00BC3878">
        <w:rPr>
          <w:rFonts w:cstheme="minorHAnsi"/>
          <w:color w:val="000000" w:themeColor="text1"/>
          <w:sz w:val="20"/>
          <w:szCs w:val="20"/>
          <w:vertAlign w:val="subscript"/>
        </w:rPr>
        <w:t>TC</w:t>
      </w:r>
      <w:proofErr w:type="spellEnd"/>
      <w:r w:rsidRPr="00BC3878">
        <w:rPr>
          <w:rFonts w:cstheme="minorHAnsi"/>
          <w:color w:val="000000" w:themeColor="text1"/>
          <w:sz w:val="20"/>
          <w:szCs w:val="20"/>
        </w:rPr>
        <w:t xml:space="preserve"> = </w:t>
      </w:r>
      <w:proofErr w:type="spellStart"/>
      <w:r w:rsidRPr="00BC3878">
        <w:rPr>
          <w:rFonts w:cstheme="minorHAnsi"/>
          <w:color w:val="000000" w:themeColor="text1"/>
          <w:sz w:val="20"/>
          <w:szCs w:val="20"/>
        </w:rPr>
        <w:t>Σproportion_data_size</w:t>
      </w:r>
      <w:r w:rsidRPr="00BC3878">
        <w:rPr>
          <w:rFonts w:cstheme="minorHAnsi"/>
          <w:color w:val="000000" w:themeColor="text1"/>
          <w:sz w:val="20"/>
          <w:szCs w:val="20"/>
          <w:vertAlign w:val="subscript"/>
        </w:rPr>
        <w:t>TC_r</w:t>
      </w:r>
      <w:proofErr w:type="spellEnd"/>
    </w:p>
    <w:p w14:paraId="0B0BEFF7" w14:textId="77777777" w:rsidR="0045056C" w:rsidRPr="00BC3878" w:rsidRDefault="0045056C" w:rsidP="0045056C">
      <w:pPr>
        <w:pStyle w:val="ListParagraph"/>
        <w:numPr>
          <w:ilvl w:val="2"/>
          <w:numId w:val="6"/>
        </w:numPr>
        <w:spacing w:after="0" w:line="240" w:lineRule="auto"/>
        <w:ind w:left="1701" w:hanging="283"/>
        <w:rPr>
          <w:rFonts w:cstheme="minorHAnsi"/>
          <w:color w:val="000000" w:themeColor="text1"/>
          <w:sz w:val="20"/>
          <w:szCs w:val="20"/>
        </w:rPr>
      </w:pPr>
      <w:r w:rsidRPr="00BC3878">
        <w:rPr>
          <w:rFonts w:cstheme="minorHAnsi"/>
          <w:color w:val="000000" w:themeColor="text1"/>
          <w:sz w:val="20"/>
          <w:szCs w:val="20"/>
        </w:rPr>
        <w:t>Obtain importance score per TC (</w:t>
      </w:r>
      <w:proofErr w:type="spellStart"/>
      <w:r w:rsidRPr="00BC3878">
        <w:rPr>
          <w:rFonts w:cstheme="minorHAnsi"/>
          <w:color w:val="000000" w:themeColor="text1"/>
          <w:sz w:val="20"/>
          <w:szCs w:val="20"/>
        </w:rPr>
        <w:t>importance_score</w:t>
      </w:r>
      <w:r w:rsidRPr="00BC3878">
        <w:rPr>
          <w:rFonts w:cstheme="minorHAnsi"/>
          <w:color w:val="000000" w:themeColor="text1"/>
          <w:sz w:val="20"/>
          <w:szCs w:val="20"/>
          <w:vertAlign w:val="subscript"/>
        </w:rPr>
        <w:t>TC</w:t>
      </w:r>
      <w:proofErr w:type="spellEnd"/>
      <w:r w:rsidRPr="00BC3878">
        <w:rPr>
          <w:rFonts w:cstheme="minorHAnsi"/>
          <w:color w:val="000000" w:themeColor="text1"/>
          <w:sz w:val="20"/>
          <w:szCs w:val="20"/>
        </w:rPr>
        <w:t>) as:</w:t>
      </w:r>
    </w:p>
    <w:p w14:paraId="64018E40" w14:textId="77777777" w:rsidR="0045056C" w:rsidRPr="00BC3878" w:rsidRDefault="00000000" w:rsidP="0045056C">
      <w:pPr>
        <w:rPr>
          <w:rFonts w:asciiTheme="minorHAnsi" w:hAnsiTheme="minorHAnsi" w:cstheme="minorHAnsi"/>
          <w:color w:val="000000" w:themeColor="text1"/>
          <w:sz w:val="20"/>
          <w:szCs w:val="20"/>
          <w:lang w:val="en-US"/>
        </w:rPr>
      </w:pPr>
      <m:oMathPara>
        <m:oMath>
          <m:f>
            <m:fPr>
              <m:ctrlPr>
                <w:rPr>
                  <w:rFonts w:ascii="Cambria Math" w:hAnsi="Cambria Math" w:cstheme="minorHAnsi"/>
                  <w:i/>
                  <w:color w:val="000000" w:themeColor="text1"/>
                  <w:sz w:val="20"/>
                  <w:szCs w:val="20"/>
                  <w:lang w:val="en-US"/>
                </w:rPr>
              </m:ctrlPr>
            </m:fPr>
            <m:num>
              <m:r>
                <m:rPr>
                  <m:sty m:val="p"/>
                </m:rPr>
                <w:rPr>
                  <w:rFonts w:ascii="Cambria Math" w:hAnsi="Cambria Math" w:cstheme="minorHAnsi"/>
                  <w:color w:val="000000" w:themeColor="text1"/>
                  <w:sz w:val="20"/>
                  <w:szCs w:val="20"/>
                  <w:lang w:val="en-US"/>
                </w:rPr>
                <m:t>proportion_data_size</m:t>
              </m:r>
              <m:r>
                <m:rPr>
                  <m:sty m:val="p"/>
                </m:rPr>
                <w:rPr>
                  <w:rFonts w:ascii="Cambria Math" w:hAnsi="Cambria Math" w:cstheme="minorHAnsi"/>
                  <w:color w:val="000000" w:themeColor="text1"/>
                  <w:sz w:val="20"/>
                  <w:szCs w:val="20"/>
                  <w:vertAlign w:val="subscript"/>
                  <w:lang w:val="en-US"/>
                </w:rPr>
                <m:t>TC</m:t>
              </m:r>
              <m:r>
                <m:rPr>
                  <m:sty m:val="p"/>
                </m:rPr>
                <w:rPr>
                  <w:rFonts w:ascii="Cambria Math" w:hAnsi="Cambria Math" w:cstheme="minorHAnsi"/>
                  <w:color w:val="000000" w:themeColor="text1"/>
                  <w:sz w:val="20"/>
                  <w:szCs w:val="20"/>
                  <w:lang w:val="en-US"/>
                </w:rPr>
                <m:t xml:space="preserve"> </m:t>
              </m:r>
            </m:num>
            <m:den>
              <m:r>
                <m:rPr>
                  <m:sty m:val="p"/>
                </m:rPr>
                <w:rPr>
                  <w:rFonts w:ascii="Cambria Math" w:hAnsi="Cambria Math" w:cstheme="minorHAnsi"/>
                  <w:color w:val="000000" w:themeColor="text1"/>
                  <w:sz w:val="20"/>
                  <w:szCs w:val="20"/>
                  <w:lang w:val="en-US"/>
                </w:rPr>
                <m:t>number_of_trees_as_input</m:t>
              </m:r>
            </m:den>
          </m:f>
        </m:oMath>
      </m:oMathPara>
    </w:p>
    <w:p w14:paraId="2ABB1DF2" w14:textId="77777777" w:rsidR="0045056C" w:rsidRPr="00BC3878" w:rsidRDefault="0045056C" w:rsidP="0045056C">
      <w:pPr>
        <w:rPr>
          <w:rFonts w:asciiTheme="minorHAnsi" w:eastAsia="Calibri" w:hAnsiTheme="minorHAnsi" w:cstheme="minorHAnsi"/>
          <w:b/>
          <w:color w:val="000000" w:themeColor="text1"/>
          <w:sz w:val="20"/>
          <w:szCs w:val="20"/>
          <w:lang w:val="en-US"/>
        </w:rPr>
      </w:pPr>
    </w:p>
    <w:p w14:paraId="67788795"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eastAsia="Calibri" w:hAnsiTheme="minorHAnsi" w:cstheme="minorHAnsi"/>
          <w:b/>
          <w:color w:val="000000" w:themeColor="text1"/>
          <w:sz w:val="20"/>
          <w:szCs w:val="20"/>
          <w:lang w:val="en-US"/>
        </w:rPr>
        <w:t>Sensitivity analysis</w:t>
      </w:r>
    </w:p>
    <w:p w14:paraId="15F64196"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A sensitivity analysis was performed to determine the robustness of our results. We constructed a secondary data set for this analysis by removing all samples with available DFS data from the primary data set. We also removed samples without DFS data but which were part of a study that provided DFS data for a subset of their samples. The samples with annotated DFS removed from the primary data set were added to a third data set, referred to as the DFS data set.</w:t>
      </w:r>
    </w:p>
    <w:p w14:paraId="233EE4E5"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ab/>
        <w:t>To assess the robustness of the TCs, c-ICA was repeated on the secondary data set using the same parameters as used with the primary data set. TCs obtained from the primary data set were defined as primary TCs, and TCs obtained from the secondary data set were defined secondary TCs. To determine robustness, pairwise Pearson correlations were calculated between the gene weights of the primary and secondary TCs. Pairs of primary and secondary TCs with an absolute correlation coefficient above 0.5 were considered robust and referred to as robust TCs.</w:t>
      </w:r>
    </w:p>
    <w:p w14:paraId="3EDFF105" w14:textId="77777777" w:rsidR="0045056C" w:rsidRPr="00BC3878" w:rsidRDefault="0045056C" w:rsidP="0045056C">
      <w:pPr>
        <w:ind w:firstLine="72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 xml:space="preserve">Next, we assessed the robustness of associations between TC activities and DFS. We performed a cross-data set projection to determine the activity of the robust secondary TCs in the DFS data set. For clarity, there was no overlap between the samples used to obtain the robust secondary TCs and the samples in the DFS data set. Therefore, the DFS data set can be considered an independent data set in this analysis. Cross-data set projection was conducted with the following steps for each cross-study transcriptional component projection analysis where transcriptional components (TCs) of a data set </w:t>
      </w:r>
      <w:proofErr w:type="spellStart"/>
      <w:r w:rsidRPr="00BC3878">
        <w:rPr>
          <w:rFonts w:asciiTheme="minorHAnsi" w:hAnsiTheme="minorHAnsi" w:cstheme="minorHAnsi"/>
          <w:color w:val="000000" w:themeColor="text1"/>
          <w:sz w:val="20"/>
          <w:szCs w:val="20"/>
          <w:lang w:val="en-US"/>
        </w:rPr>
        <w:t>i</w:t>
      </w:r>
      <w:proofErr w:type="spellEnd"/>
      <w:r w:rsidRPr="00BC3878">
        <w:rPr>
          <w:rFonts w:asciiTheme="minorHAnsi" w:hAnsiTheme="minorHAnsi" w:cstheme="minorHAnsi"/>
          <w:color w:val="000000" w:themeColor="text1"/>
          <w:sz w:val="20"/>
          <w:szCs w:val="20"/>
          <w:lang w:val="en-US"/>
        </w:rPr>
        <w:t xml:space="preserve"> (for example) were used to obtain activity scores of the same TCs in samples of another data set j (for example):</w:t>
      </w:r>
    </w:p>
    <w:p w14:paraId="302E1FC3" w14:textId="77777777" w:rsidR="0045056C" w:rsidRPr="00BC3878" w:rsidRDefault="0045056C" w:rsidP="0045056C">
      <w:pPr>
        <w:pStyle w:val="ListParagraph"/>
        <w:numPr>
          <w:ilvl w:val="1"/>
          <w:numId w:val="7"/>
        </w:numPr>
        <w:spacing w:after="0" w:line="240" w:lineRule="auto"/>
        <w:ind w:left="1134" w:hanging="567"/>
        <w:rPr>
          <w:rFonts w:cstheme="minorHAnsi"/>
          <w:color w:val="000000" w:themeColor="text1"/>
          <w:sz w:val="20"/>
          <w:szCs w:val="20"/>
        </w:rPr>
      </w:pPr>
      <w:r w:rsidRPr="00BC3878">
        <w:rPr>
          <w:rFonts w:cstheme="minorHAnsi"/>
          <w:color w:val="000000" w:themeColor="text1"/>
          <w:sz w:val="20"/>
          <w:szCs w:val="20"/>
        </w:rPr>
        <w:t xml:space="preserve">Genes not present in both data set </w:t>
      </w:r>
      <w:proofErr w:type="spellStart"/>
      <w:r w:rsidRPr="00BC3878">
        <w:rPr>
          <w:rFonts w:cstheme="minorHAnsi"/>
          <w:color w:val="000000" w:themeColor="text1"/>
          <w:sz w:val="20"/>
          <w:szCs w:val="20"/>
        </w:rPr>
        <w:t>i</w:t>
      </w:r>
      <w:proofErr w:type="spellEnd"/>
      <w:r w:rsidRPr="00BC3878">
        <w:rPr>
          <w:rFonts w:cstheme="minorHAnsi"/>
          <w:color w:val="000000" w:themeColor="text1"/>
          <w:sz w:val="20"/>
          <w:szCs w:val="20"/>
        </w:rPr>
        <w:t xml:space="preserve"> and j were removed from the analysis.</w:t>
      </w:r>
    </w:p>
    <w:p w14:paraId="74855899" w14:textId="77777777" w:rsidR="0045056C" w:rsidRPr="00BC3878" w:rsidRDefault="0045056C" w:rsidP="0045056C">
      <w:pPr>
        <w:pStyle w:val="ListParagraph"/>
        <w:numPr>
          <w:ilvl w:val="1"/>
          <w:numId w:val="7"/>
        </w:numPr>
        <w:spacing w:after="0" w:line="240" w:lineRule="auto"/>
        <w:ind w:left="1134" w:hanging="567"/>
        <w:rPr>
          <w:rFonts w:cstheme="minorHAnsi"/>
          <w:color w:val="000000" w:themeColor="text1"/>
          <w:sz w:val="20"/>
          <w:szCs w:val="20"/>
        </w:rPr>
      </w:pPr>
      <w:r w:rsidRPr="00BC3878">
        <w:rPr>
          <w:rFonts w:cstheme="minorHAnsi"/>
          <w:color w:val="000000" w:themeColor="text1"/>
          <w:sz w:val="20"/>
          <w:szCs w:val="20"/>
        </w:rPr>
        <w:t xml:space="preserve">Both data set </w:t>
      </w:r>
      <w:proofErr w:type="spellStart"/>
      <w:r w:rsidRPr="00BC3878">
        <w:rPr>
          <w:rFonts w:cstheme="minorHAnsi"/>
          <w:color w:val="000000" w:themeColor="text1"/>
          <w:sz w:val="20"/>
          <w:szCs w:val="20"/>
        </w:rPr>
        <w:t>i</w:t>
      </w:r>
      <w:proofErr w:type="spellEnd"/>
      <w:r w:rsidRPr="00BC3878">
        <w:rPr>
          <w:rFonts w:cstheme="minorHAnsi"/>
          <w:color w:val="000000" w:themeColor="text1"/>
          <w:sz w:val="20"/>
          <w:szCs w:val="20"/>
        </w:rPr>
        <w:t xml:space="preserve"> and data set j were standardized on gene-level separately, which means each gene expression is transformed to a mean of zero and standard deviation of one.</w:t>
      </w:r>
    </w:p>
    <w:p w14:paraId="3AA4E0D7" w14:textId="77777777" w:rsidR="0045056C" w:rsidRPr="00BC3878" w:rsidRDefault="0045056C" w:rsidP="0045056C">
      <w:pPr>
        <w:pStyle w:val="ListParagraph"/>
        <w:numPr>
          <w:ilvl w:val="1"/>
          <w:numId w:val="7"/>
        </w:numPr>
        <w:spacing w:after="0" w:line="240" w:lineRule="auto"/>
        <w:ind w:left="1134" w:hanging="567"/>
        <w:rPr>
          <w:rFonts w:cstheme="minorHAnsi"/>
          <w:color w:val="000000" w:themeColor="text1"/>
          <w:sz w:val="20"/>
          <w:szCs w:val="20"/>
        </w:rPr>
      </w:pPr>
      <w:r w:rsidRPr="00BC3878">
        <w:rPr>
          <w:rFonts w:cstheme="minorHAnsi"/>
          <w:color w:val="000000" w:themeColor="text1"/>
          <w:sz w:val="20"/>
          <w:szCs w:val="20"/>
        </w:rPr>
        <w:t>These standardized data sets were sample-wise merged to obtain a combined data set (</w:t>
      </w:r>
      <w:proofErr w:type="spellStart"/>
      <w:r w:rsidRPr="00BC3878">
        <w:rPr>
          <w:rFonts w:cstheme="minorHAnsi"/>
          <w:color w:val="000000" w:themeColor="text1"/>
          <w:sz w:val="20"/>
          <w:szCs w:val="20"/>
        </w:rPr>
        <w:t>Combined_i_used_for_j</w:t>
      </w:r>
      <w:proofErr w:type="spellEnd"/>
      <w:r w:rsidRPr="00BC3878">
        <w:rPr>
          <w:rFonts w:cstheme="minorHAnsi"/>
          <w:color w:val="000000" w:themeColor="text1"/>
          <w:sz w:val="20"/>
          <w:szCs w:val="20"/>
        </w:rPr>
        <w:t>).</w:t>
      </w:r>
    </w:p>
    <w:p w14:paraId="62526A4D" w14:textId="77777777" w:rsidR="0045056C" w:rsidRPr="00BC3878" w:rsidRDefault="0045056C" w:rsidP="0045056C">
      <w:pPr>
        <w:pStyle w:val="ListParagraph"/>
        <w:numPr>
          <w:ilvl w:val="1"/>
          <w:numId w:val="7"/>
        </w:numPr>
        <w:spacing w:after="0" w:line="240" w:lineRule="auto"/>
        <w:ind w:left="1134" w:hanging="567"/>
        <w:rPr>
          <w:rFonts w:cstheme="minorHAnsi"/>
          <w:color w:val="000000" w:themeColor="text1"/>
          <w:sz w:val="20"/>
          <w:szCs w:val="20"/>
        </w:rPr>
      </w:pPr>
      <w:r w:rsidRPr="00BC3878">
        <w:rPr>
          <w:rFonts w:cstheme="minorHAnsi"/>
          <w:color w:val="000000" w:themeColor="text1"/>
          <w:sz w:val="20"/>
          <w:szCs w:val="20"/>
        </w:rPr>
        <w:t xml:space="preserve">Transcription component matrix of data set </w:t>
      </w:r>
      <w:proofErr w:type="spellStart"/>
      <w:r w:rsidRPr="00BC3878">
        <w:rPr>
          <w:rFonts w:cstheme="minorHAnsi"/>
          <w:color w:val="000000" w:themeColor="text1"/>
          <w:sz w:val="20"/>
          <w:szCs w:val="20"/>
        </w:rPr>
        <w:t>i</w:t>
      </w:r>
      <w:proofErr w:type="spellEnd"/>
      <w:r w:rsidRPr="00BC3878">
        <w:rPr>
          <w:rFonts w:cstheme="minorHAnsi"/>
          <w:color w:val="000000" w:themeColor="text1"/>
          <w:sz w:val="20"/>
          <w:szCs w:val="20"/>
        </w:rPr>
        <w:t xml:space="preserve"> (</w:t>
      </w:r>
      <w:proofErr w:type="spellStart"/>
      <w:r w:rsidRPr="00BC3878">
        <w:rPr>
          <w:rFonts w:cstheme="minorHAnsi"/>
          <w:color w:val="000000" w:themeColor="text1"/>
          <w:sz w:val="20"/>
          <w:szCs w:val="20"/>
        </w:rPr>
        <w:t>TC_i</w:t>
      </w:r>
      <w:proofErr w:type="spellEnd"/>
      <w:r w:rsidRPr="00BC3878">
        <w:rPr>
          <w:rFonts w:cstheme="minorHAnsi"/>
          <w:color w:val="000000" w:themeColor="text1"/>
          <w:sz w:val="20"/>
          <w:szCs w:val="20"/>
        </w:rPr>
        <w:t xml:space="preserve">) and </w:t>
      </w:r>
      <w:proofErr w:type="spellStart"/>
      <w:r w:rsidRPr="00BC3878">
        <w:rPr>
          <w:rFonts w:cstheme="minorHAnsi"/>
          <w:color w:val="000000" w:themeColor="text1"/>
          <w:sz w:val="20"/>
          <w:szCs w:val="20"/>
        </w:rPr>
        <w:t>Combined_i_used_for_j</w:t>
      </w:r>
      <w:proofErr w:type="spellEnd"/>
      <w:r w:rsidRPr="00BC3878">
        <w:rPr>
          <w:rFonts w:cstheme="minorHAnsi"/>
          <w:color w:val="000000" w:themeColor="text1"/>
          <w:sz w:val="20"/>
          <w:szCs w:val="20"/>
        </w:rPr>
        <w:t xml:space="preserve"> were used to obtain consensus mixing matrix (</w:t>
      </w:r>
      <w:proofErr w:type="spellStart"/>
      <w:r w:rsidRPr="00BC3878">
        <w:rPr>
          <w:rFonts w:cstheme="minorHAnsi"/>
          <w:color w:val="000000" w:themeColor="text1"/>
          <w:sz w:val="20"/>
          <w:szCs w:val="20"/>
        </w:rPr>
        <w:t>CMMcombined_i_used_for_j</w:t>
      </w:r>
      <w:proofErr w:type="spellEnd"/>
      <w:r w:rsidRPr="00BC3878">
        <w:rPr>
          <w:rFonts w:cstheme="minorHAnsi"/>
          <w:color w:val="000000" w:themeColor="text1"/>
          <w:sz w:val="20"/>
          <w:szCs w:val="20"/>
        </w:rPr>
        <w:t>).</w:t>
      </w:r>
    </w:p>
    <w:p w14:paraId="0EC4EFC8" w14:textId="77777777" w:rsidR="0045056C" w:rsidRPr="00BC3878" w:rsidRDefault="0045056C" w:rsidP="0045056C">
      <w:pPr>
        <w:rPr>
          <w:rFonts w:asciiTheme="minorHAnsi" w:hAnsiTheme="minorHAnsi" w:cstheme="minorHAnsi"/>
          <w:color w:val="000000" w:themeColor="text1"/>
          <w:sz w:val="20"/>
          <w:szCs w:val="20"/>
          <w:lang w:val="en-US"/>
        </w:rPr>
      </w:pPr>
      <w:proofErr w:type="spellStart"/>
      <w:r w:rsidRPr="00BC3878">
        <w:rPr>
          <w:rFonts w:asciiTheme="minorHAnsi" w:hAnsiTheme="minorHAnsi" w:cstheme="minorHAnsi"/>
          <w:color w:val="000000" w:themeColor="text1"/>
          <w:sz w:val="20"/>
          <w:szCs w:val="20"/>
          <w:lang w:val="en-US"/>
        </w:rPr>
        <w:t>CMMcombined_i_used_for_j</w:t>
      </w:r>
      <w:proofErr w:type="spellEnd"/>
      <w:r w:rsidRPr="00BC3878">
        <w:rPr>
          <w:rFonts w:asciiTheme="minorHAnsi" w:hAnsiTheme="minorHAnsi" w:cstheme="minorHAnsi"/>
          <w:color w:val="000000" w:themeColor="text1"/>
          <w:sz w:val="20"/>
          <w:szCs w:val="20"/>
          <w:lang w:val="en-US"/>
        </w:rPr>
        <w:t>=((</w:t>
      </w:r>
      <w:proofErr w:type="spellStart"/>
      <w:r w:rsidRPr="00BC3878">
        <w:rPr>
          <w:rFonts w:asciiTheme="minorHAnsi" w:hAnsiTheme="minorHAnsi" w:cstheme="minorHAnsi"/>
          <w:color w:val="000000" w:themeColor="text1"/>
          <w:sz w:val="20"/>
          <w:szCs w:val="20"/>
          <w:lang w:val="en-US"/>
        </w:rPr>
        <w:t>TC_i</w:t>
      </w:r>
      <w:proofErr w:type="spellEnd"/>
      <w:r w:rsidRPr="00BC3878">
        <w:rPr>
          <w:rFonts w:asciiTheme="minorHAnsi" w:hAnsiTheme="minorHAnsi" w:cstheme="minorHAnsi"/>
          <w:color w:val="000000" w:themeColor="text1"/>
          <w:sz w:val="20"/>
          <w:szCs w:val="20"/>
          <w:lang w:val="en-US"/>
        </w:rPr>
        <w:t>)'×</w:t>
      </w:r>
      <w:proofErr w:type="spellStart"/>
      <w:r w:rsidRPr="00BC3878">
        <w:rPr>
          <w:rFonts w:asciiTheme="minorHAnsi" w:hAnsiTheme="minorHAnsi" w:cstheme="minorHAnsi"/>
          <w:color w:val="000000" w:themeColor="text1"/>
          <w:sz w:val="20"/>
          <w:szCs w:val="20"/>
          <w:lang w:val="en-US"/>
        </w:rPr>
        <w:t>TC_i</w:t>
      </w:r>
      <w:proofErr w:type="spellEnd"/>
      <w:r w:rsidRPr="00BC3878">
        <w:rPr>
          <w:rFonts w:asciiTheme="minorHAnsi" w:hAnsiTheme="minorHAnsi" w:cstheme="minorHAnsi"/>
          <w:color w:val="000000" w:themeColor="text1"/>
          <w:sz w:val="20"/>
          <w:szCs w:val="20"/>
          <w:lang w:val="en-US"/>
        </w:rPr>
        <w:t xml:space="preserve"> )</w:t>
      </w:r>
      <w:r w:rsidRPr="00BC3878">
        <w:rPr>
          <w:rFonts w:asciiTheme="minorHAnsi" w:hAnsiTheme="minorHAnsi" w:cstheme="minorHAnsi"/>
          <w:color w:val="000000" w:themeColor="text1"/>
          <w:sz w:val="20"/>
          <w:szCs w:val="20"/>
          <w:vertAlign w:val="superscript"/>
          <w:lang w:val="en-US"/>
        </w:rPr>
        <w:t xml:space="preserve"> (-1)</w:t>
      </w:r>
      <w:r w:rsidRPr="00BC3878">
        <w:rPr>
          <w:rFonts w:asciiTheme="minorHAnsi" w:hAnsiTheme="minorHAnsi" w:cstheme="minorHAnsi"/>
          <w:color w:val="000000" w:themeColor="text1"/>
          <w:sz w:val="20"/>
          <w:szCs w:val="20"/>
          <w:lang w:val="en-US"/>
        </w:rPr>
        <w:t>×(</w:t>
      </w:r>
      <w:proofErr w:type="spellStart"/>
      <w:r w:rsidRPr="00BC3878">
        <w:rPr>
          <w:rFonts w:asciiTheme="minorHAnsi" w:hAnsiTheme="minorHAnsi" w:cstheme="minorHAnsi"/>
          <w:color w:val="000000" w:themeColor="text1"/>
          <w:sz w:val="20"/>
          <w:szCs w:val="20"/>
          <w:lang w:val="en-US"/>
        </w:rPr>
        <w:t>TC_i</w:t>
      </w:r>
      <w:proofErr w:type="spellEnd"/>
      <w:r w:rsidRPr="00BC3878">
        <w:rPr>
          <w:rFonts w:asciiTheme="minorHAnsi" w:hAnsiTheme="minorHAnsi" w:cstheme="minorHAnsi"/>
          <w:color w:val="000000" w:themeColor="text1"/>
          <w:sz w:val="20"/>
          <w:szCs w:val="20"/>
          <w:lang w:val="en-US"/>
        </w:rPr>
        <w:t>)'×</w:t>
      </w:r>
      <w:proofErr w:type="spellStart"/>
      <w:r w:rsidRPr="00BC3878">
        <w:rPr>
          <w:rFonts w:asciiTheme="minorHAnsi" w:hAnsiTheme="minorHAnsi" w:cstheme="minorHAnsi"/>
          <w:color w:val="000000" w:themeColor="text1"/>
          <w:sz w:val="20"/>
          <w:szCs w:val="20"/>
          <w:lang w:val="en-US"/>
        </w:rPr>
        <w:t>Combined_i_used_for_j</w:t>
      </w:r>
      <w:proofErr w:type="spellEnd"/>
      <w:r w:rsidRPr="00BC3878">
        <w:rPr>
          <w:rFonts w:asciiTheme="minorHAnsi" w:hAnsiTheme="minorHAnsi" w:cstheme="minorHAnsi"/>
          <w:color w:val="000000" w:themeColor="text1"/>
          <w:sz w:val="20"/>
          <w:szCs w:val="20"/>
          <w:lang w:val="en-US"/>
        </w:rPr>
        <w:t xml:space="preserve">                            </w:t>
      </w:r>
    </w:p>
    <w:p w14:paraId="342F7D09" w14:textId="77777777" w:rsidR="0045056C" w:rsidRPr="00BC3878" w:rsidRDefault="0045056C" w:rsidP="0045056C">
      <w:pPr>
        <w:pStyle w:val="ListParagraph"/>
        <w:numPr>
          <w:ilvl w:val="1"/>
          <w:numId w:val="7"/>
        </w:numPr>
        <w:spacing w:after="0" w:line="240" w:lineRule="auto"/>
        <w:ind w:left="1134" w:hanging="567"/>
        <w:rPr>
          <w:rFonts w:cstheme="minorHAnsi"/>
          <w:color w:val="000000" w:themeColor="text1"/>
          <w:sz w:val="20"/>
          <w:szCs w:val="20"/>
        </w:rPr>
      </w:pPr>
      <w:r w:rsidRPr="00BC3878">
        <w:rPr>
          <w:rFonts w:cstheme="minorHAnsi"/>
          <w:color w:val="000000" w:themeColor="text1"/>
          <w:sz w:val="20"/>
          <w:szCs w:val="20"/>
        </w:rPr>
        <w:t xml:space="preserve">The subset of coefficients </w:t>
      </w:r>
      <w:proofErr w:type="spellStart"/>
      <w:r w:rsidRPr="00BC3878">
        <w:rPr>
          <w:rFonts w:cstheme="minorHAnsi"/>
          <w:color w:val="000000" w:themeColor="text1"/>
          <w:sz w:val="20"/>
          <w:szCs w:val="20"/>
        </w:rPr>
        <w:t>CMMcombined_i_used_for_j</w:t>
      </w:r>
      <w:proofErr w:type="spellEnd"/>
      <w:r w:rsidRPr="00BC3878">
        <w:rPr>
          <w:rFonts w:cstheme="minorHAnsi"/>
          <w:color w:val="000000" w:themeColor="text1"/>
          <w:sz w:val="20"/>
          <w:szCs w:val="20"/>
        </w:rPr>
        <w:t xml:space="preserve"> for samples from data set j is obtained as </w:t>
      </w:r>
      <w:proofErr w:type="spellStart"/>
      <w:r w:rsidRPr="00BC3878">
        <w:rPr>
          <w:rFonts w:cstheme="minorHAnsi"/>
          <w:color w:val="000000" w:themeColor="text1"/>
          <w:sz w:val="20"/>
          <w:szCs w:val="20"/>
        </w:rPr>
        <w:t>CMM_j</w:t>
      </w:r>
      <w:proofErr w:type="spellEnd"/>
      <w:r w:rsidRPr="00BC3878">
        <w:rPr>
          <w:rFonts w:cstheme="minorHAnsi"/>
          <w:color w:val="000000" w:themeColor="text1"/>
          <w:sz w:val="20"/>
          <w:szCs w:val="20"/>
        </w:rPr>
        <w:t>.</w:t>
      </w:r>
    </w:p>
    <w:p w14:paraId="1CDC90A6" w14:textId="77777777" w:rsidR="0045056C" w:rsidRPr="00BC3878" w:rsidRDefault="0045056C" w:rsidP="0045056C">
      <w:pPr>
        <w:ind w:firstLine="720"/>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Secondly, univariate and multivariate Cox proportional hazards analysis was performed with the DFS data set, as described above, to determine associations between the activity of robust secondary TC and DFS. Robust TCs significantly associated with DFS in the primary and independent DFS data sets were called robust, DFS-associated TCs.</w:t>
      </w:r>
    </w:p>
    <w:p w14:paraId="54A5E3A1" w14:textId="77777777" w:rsidR="0045056C" w:rsidRPr="00BC3878" w:rsidRDefault="0045056C" w:rsidP="0045056C">
      <w:pPr>
        <w:rPr>
          <w:rFonts w:asciiTheme="minorHAnsi" w:hAnsiTheme="minorHAnsi" w:cstheme="minorHAnsi"/>
          <w:color w:val="000000" w:themeColor="text1"/>
          <w:sz w:val="20"/>
          <w:szCs w:val="20"/>
          <w:lang w:val="en-US"/>
        </w:rPr>
      </w:pPr>
      <w:r w:rsidRPr="00BC3878">
        <w:rPr>
          <w:rFonts w:asciiTheme="minorHAnsi" w:hAnsiTheme="minorHAnsi" w:cstheme="minorHAnsi"/>
          <w:color w:val="000000" w:themeColor="text1"/>
          <w:sz w:val="20"/>
          <w:szCs w:val="20"/>
          <w:lang w:val="en-US"/>
        </w:rPr>
        <w:tab/>
        <w:t>Finally, we assessed the robustness of the RSFs. For this, the RSF building process, as described above, was performed twice, first with the DFS-associated primary TCs as input and second with the robust DFS-associated secondary TCs as input. Next, robustness was assessed by calculating the Pearson correlation between the resulting final proximity matrices.</w:t>
      </w:r>
    </w:p>
    <w:p w14:paraId="75C7D2AE" w14:textId="0DEA6702" w:rsidR="00090841" w:rsidRPr="00BC3878" w:rsidRDefault="00090841">
      <w:pPr>
        <w:spacing w:after="160" w:line="259" w:lineRule="auto"/>
        <w:rPr>
          <w:rFonts w:asciiTheme="minorHAnsi" w:hAnsiTheme="minorHAnsi" w:cstheme="minorHAnsi"/>
          <w:sz w:val="20"/>
          <w:szCs w:val="20"/>
          <w:lang w:val="en-US"/>
        </w:rPr>
      </w:pPr>
      <w:r w:rsidRPr="00BC3878">
        <w:rPr>
          <w:rFonts w:asciiTheme="minorHAnsi" w:hAnsiTheme="minorHAnsi" w:cstheme="minorHAnsi"/>
          <w:sz w:val="20"/>
          <w:szCs w:val="20"/>
          <w:lang w:val="en-US"/>
        </w:rPr>
        <w:br w:type="page"/>
      </w:r>
    </w:p>
    <w:p w14:paraId="747E6CB3" w14:textId="2B1F304A" w:rsidR="007C3260" w:rsidRPr="00BC3878" w:rsidRDefault="005215BB" w:rsidP="00090841">
      <w:pPr>
        <w:textAlignment w:val="baseline"/>
        <w:outlineLvl w:val="2"/>
        <w:rPr>
          <w:rFonts w:asciiTheme="minorHAnsi" w:hAnsiTheme="minorHAnsi" w:cstheme="minorHAnsi"/>
          <w:b/>
          <w:bCs/>
          <w:lang w:val="en-US"/>
        </w:rPr>
      </w:pPr>
      <w:r>
        <w:rPr>
          <w:rFonts w:asciiTheme="minorHAnsi" w:hAnsiTheme="minorHAnsi" w:cstheme="minorHAnsi"/>
          <w:b/>
          <w:bCs/>
          <w:lang w:val="en-US"/>
        </w:rPr>
        <w:lastRenderedPageBreak/>
        <w:t xml:space="preserve">Supplementary </w:t>
      </w:r>
      <w:r w:rsidR="00090841" w:rsidRPr="00BC3878">
        <w:rPr>
          <w:rFonts w:asciiTheme="minorHAnsi" w:hAnsiTheme="minorHAnsi" w:cstheme="minorHAnsi"/>
          <w:b/>
          <w:bCs/>
          <w:lang w:val="en-US"/>
        </w:rPr>
        <w:t>References</w:t>
      </w:r>
    </w:p>
    <w:p w14:paraId="750C1533" w14:textId="77777777" w:rsidR="0045056C" w:rsidRPr="00BC3878" w:rsidRDefault="0045056C" w:rsidP="00090841">
      <w:pPr>
        <w:textAlignment w:val="baseline"/>
        <w:outlineLvl w:val="2"/>
        <w:rPr>
          <w:rFonts w:asciiTheme="minorHAnsi" w:hAnsiTheme="minorHAnsi" w:cstheme="minorHAnsi"/>
          <w:b/>
          <w:bCs/>
          <w:lang w:val="en-US"/>
        </w:rPr>
      </w:pPr>
    </w:p>
    <w:p w14:paraId="4FCE8C00" w14:textId="0EB8F7A7" w:rsidR="009158CB" w:rsidRPr="00BC3878" w:rsidRDefault="00090841" w:rsidP="009158CB">
      <w:pPr>
        <w:pStyle w:val="ListParagraph"/>
        <w:numPr>
          <w:ilvl w:val="0"/>
          <w:numId w:val="1"/>
        </w:numPr>
        <w:spacing w:after="0" w:line="240" w:lineRule="auto"/>
        <w:ind w:left="357" w:hanging="357"/>
        <w:outlineLvl w:val="0"/>
        <w:rPr>
          <w:rFonts w:eastAsia="Times New Roman" w:cstheme="minorHAnsi"/>
          <w:sz w:val="20"/>
          <w:szCs w:val="20"/>
          <w:lang w:eastAsia="en-GB" w:bidi="ar-SA"/>
        </w:rPr>
      </w:pPr>
      <w:bookmarkStart w:id="2" w:name="_Hlk126591921"/>
      <w:r w:rsidRPr="00BC3878">
        <w:rPr>
          <w:rFonts w:cstheme="minorHAnsi"/>
          <w:sz w:val="20"/>
          <w:szCs w:val="20"/>
        </w:rPr>
        <w:t>Clough</w:t>
      </w:r>
      <w:r w:rsidR="00585A68">
        <w:rPr>
          <w:rFonts w:cstheme="minorHAnsi"/>
          <w:sz w:val="20"/>
          <w:szCs w:val="20"/>
        </w:rPr>
        <w:t>,</w:t>
      </w:r>
      <w:r w:rsidRPr="00BC3878">
        <w:rPr>
          <w:rFonts w:cstheme="minorHAnsi"/>
          <w:sz w:val="20"/>
          <w:szCs w:val="20"/>
        </w:rPr>
        <w:t xml:space="preserve"> E</w:t>
      </w:r>
      <w:r w:rsidR="00585A68">
        <w:rPr>
          <w:rFonts w:cstheme="minorHAnsi"/>
          <w:sz w:val="20"/>
          <w:szCs w:val="20"/>
        </w:rPr>
        <w:t>. &amp;</w:t>
      </w:r>
      <w:r w:rsidRPr="00BC3878">
        <w:rPr>
          <w:rFonts w:cstheme="minorHAnsi"/>
          <w:sz w:val="20"/>
          <w:szCs w:val="20"/>
        </w:rPr>
        <w:t xml:space="preserve"> Barrett</w:t>
      </w:r>
      <w:r w:rsidR="00585A68">
        <w:rPr>
          <w:rFonts w:cstheme="minorHAnsi"/>
          <w:sz w:val="20"/>
          <w:szCs w:val="20"/>
        </w:rPr>
        <w:t>,</w:t>
      </w:r>
      <w:r w:rsidRPr="00BC3878">
        <w:rPr>
          <w:rFonts w:cstheme="minorHAnsi"/>
          <w:sz w:val="20"/>
          <w:szCs w:val="20"/>
        </w:rPr>
        <w:t xml:space="preserve"> T. The Gene Expression Omnibus Database. </w:t>
      </w:r>
      <w:r w:rsidRPr="00BC3878">
        <w:rPr>
          <w:rFonts w:cstheme="minorHAnsi"/>
          <w:i/>
          <w:sz w:val="20"/>
          <w:szCs w:val="20"/>
        </w:rPr>
        <w:t>Methods Mol Biol</w:t>
      </w:r>
      <w:r w:rsidRPr="00BC3878">
        <w:rPr>
          <w:rFonts w:cstheme="minorHAnsi"/>
          <w:sz w:val="20"/>
          <w:szCs w:val="20"/>
        </w:rPr>
        <w:t xml:space="preserve"> 1418</w:t>
      </w:r>
      <w:r w:rsidR="00EB516A" w:rsidRPr="00BC3878">
        <w:rPr>
          <w:rFonts w:cstheme="minorHAnsi"/>
          <w:sz w:val="20"/>
          <w:szCs w:val="20"/>
        </w:rPr>
        <w:t xml:space="preserve">, </w:t>
      </w:r>
      <w:r w:rsidRPr="00BC3878">
        <w:rPr>
          <w:rFonts w:cstheme="minorHAnsi"/>
          <w:sz w:val="20"/>
          <w:szCs w:val="20"/>
        </w:rPr>
        <w:t>93-110</w:t>
      </w:r>
      <w:r w:rsidR="00EB516A" w:rsidRPr="00BC3878">
        <w:rPr>
          <w:rFonts w:cstheme="minorHAnsi"/>
          <w:sz w:val="20"/>
          <w:szCs w:val="20"/>
        </w:rPr>
        <w:t xml:space="preserve"> (2016)</w:t>
      </w:r>
      <w:r w:rsidRPr="00BC3878">
        <w:rPr>
          <w:rFonts w:cstheme="minorHAnsi"/>
          <w:sz w:val="20"/>
          <w:szCs w:val="20"/>
        </w:rPr>
        <w:t>.</w:t>
      </w:r>
    </w:p>
    <w:p w14:paraId="5F354A28" w14:textId="0C551A34" w:rsidR="009158CB" w:rsidRPr="00BC3878" w:rsidRDefault="009158CB" w:rsidP="009158CB">
      <w:pPr>
        <w:pStyle w:val="ListParagraph"/>
        <w:numPr>
          <w:ilvl w:val="0"/>
          <w:numId w:val="1"/>
        </w:numPr>
        <w:spacing w:after="0" w:line="240" w:lineRule="auto"/>
        <w:ind w:left="357" w:hanging="357"/>
        <w:outlineLvl w:val="0"/>
        <w:rPr>
          <w:rFonts w:eastAsia="Times New Roman" w:cstheme="minorHAnsi"/>
          <w:sz w:val="20"/>
          <w:szCs w:val="20"/>
          <w:lang w:eastAsia="en-GB" w:bidi="ar-SA"/>
        </w:rPr>
      </w:pPr>
      <w:r w:rsidRPr="001E5470">
        <w:rPr>
          <w:rFonts w:cstheme="minorHAnsi"/>
          <w:sz w:val="20"/>
          <w:szCs w:val="20"/>
        </w:rPr>
        <w:t>Becht</w:t>
      </w:r>
      <w:r w:rsidR="00585A68" w:rsidRPr="001E5470">
        <w:rPr>
          <w:rFonts w:cstheme="minorHAnsi"/>
          <w:sz w:val="20"/>
          <w:szCs w:val="20"/>
        </w:rPr>
        <w:t>,</w:t>
      </w:r>
      <w:r w:rsidRPr="001E5470">
        <w:rPr>
          <w:rFonts w:cstheme="minorHAnsi"/>
          <w:sz w:val="20"/>
          <w:szCs w:val="20"/>
        </w:rPr>
        <w:t xml:space="preserve"> E</w:t>
      </w:r>
      <w:r w:rsidR="00585A68" w:rsidRPr="001E5470">
        <w:rPr>
          <w:rFonts w:cstheme="minorHAnsi"/>
          <w:sz w:val="20"/>
          <w:szCs w:val="20"/>
        </w:rPr>
        <w:t>.</w:t>
      </w:r>
      <w:r w:rsidRPr="001E5470">
        <w:rPr>
          <w:rFonts w:cstheme="minorHAnsi"/>
          <w:sz w:val="20"/>
          <w:szCs w:val="20"/>
        </w:rPr>
        <w:t xml:space="preserve"> et al. </w:t>
      </w:r>
      <w:r w:rsidRPr="00BC3878">
        <w:rPr>
          <w:rFonts w:cstheme="minorHAnsi"/>
          <w:sz w:val="20"/>
          <w:szCs w:val="20"/>
        </w:rPr>
        <w:t xml:space="preserve">Estimating the population abundance of tissue-infiltrating immune and stromal cell populations using gene expression. </w:t>
      </w:r>
      <w:r w:rsidRPr="00BC3878">
        <w:rPr>
          <w:rFonts w:cstheme="minorHAnsi"/>
          <w:i/>
          <w:iCs/>
          <w:sz w:val="20"/>
          <w:szCs w:val="20"/>
        </w:rPr>
        <w:t>Genome Biol</w:t>
      </w:r>
      <w:r w:rsidR="00EB516A" w:rsidRPr="00BC3878">
        <w:rPr>
          <w:rFonts w:cstheme="minorHAnsi"/>
          <w:sz w:val="20"/>
          <w:szCs w:val="20"/>
        </w:rPr>
        <w:t xml:space="preserve"> </w:t>
      </w:r>
      <w:r w:rsidRPr="00BC3878">
        <w:rPr>
          <w:rFonts w:cstheme="minorHAnsi"/>
          <w:sz w:val="20"/>
          <w:szCs w:val="20"/>
        </w:rPr>
        <w:t>17</w:t>
      </w:r>
      <w:r w:rsidR="00EB516A" w:rsidRPr="00BC3878">
        <w:rPr>
          <w:rFonts w:cstheme="minorHAnsi"/>
          <w:sz w:val="20"/>
          <w:szCs w:val="20"/>
        </w:rPr>
        <w:t xml:space="preserve">, </w:t>
      </w:r>
      <w:r w:rsidRPr="00BC3878">
        <w:rPr>
          <w:rFonts w:cstheme="minorHAnsi"/>
          <w:sz w:val="20"/>
          <w:szCs w:val="20"/>
        </w:rPr>
        <w:t>218</w:t>
      </w:r>
      <w:r w:rsidR="00EB516A" w:rsidRPr="00BC3878">
        <w:rPr>
          <w:rFonts w:cstheme="minorHAnsi"/>
          <w:sz w:val="20"/>
          <w:szCs w:val="20"/>
        </w:rPr>
        <w:t xml:space="preserve"> (2016).</w:t>
      </w:r>
    </w:p>
    <w:p w14:paraId="7EDA521D" w14:textId="0A135B37" w:rsidR="00090841" w:rsidRPr="00BC3878" w:rsidRDefault="00090841" w:rsidP="00C86936">
      <w:pPr>
        <w:pStyle w:val="ListParagraph"/>
        <w:numPr>
          <w:ilvl w:val="0"/>
          <w:numId w:val="1"/>
        </w:numPr>
        <w:ind w:left="357" w:hanging="357"/>
        <w:rPr>
          <w:rFonts w:eastAsia="Times New Roman" w:cstheme="minorHAnsi"/>
          <w:sz w:val="20"/>
          <w:szCs w:val="20"/>
          <w:lang w:eastAsia="en-GB" w:bidi="ar-SA"/>
        </w:rPr>
      </w:pPr>
      <w:proofErr w:type="spellStart"/>
      <w:r w:rsidRPr="001E5470">
        <w:rPr>
          <w:rFonts w:eastAsia="Times New Roman" w:cstheme="minorHAnsi"/>
          <w:sz w:val="20"/>
          <w:szCs w:val="20"/>
          <w:lang w:eastAsia="en-GB" w:bidi="ar-SA"/>
        </w:rPr>
        <w:t>Guinney</w:t>
      </w:r>
      <w:proofErr w:type="spellEnd"/>
      <w:r w:rsidR="00585A68" w:rsidRPr="001E5470">
        <w:rPr>
          <w:rFonts w:eastAsia="Times New Roman" w:cstheme="minorHAnsi"/>
          <w:sz w:val="20"/>
          <w:szCs w:val="20"/>
          <w:lang w:eastAsia="en-GB" w:bidi="ar-SA"/>
        </w:rPr>
        <w:t>,</w:t>
      </w:r>
      <w:r w:rsidRPr="001E5470">
        <w:rPr>
          <w:rFonts w:eastAsia="Times New Roman" w:cstheme="minorHAnsi"/>
          <w:sz w:val="20"/>
          <w:szCs w:val="20"/>
          <w:lang w:eastAsia="en-GB" w:bidi="ar-SA"/>
        </w:rPr>
        <w:t xml:space="preserve"> J</w:t>
      </w:r>
      <w:r w:rsidR="00585A68" w:rsidRPr="001E5470">
        <w:rPr>
          <w:rFonts w:eastAsia="Times New Roman" w:cstheme="minorHAnsi"/>
          <w:sz w:val="20"/>
          <w:szCs w:val="20"/>
          <w:lang w:eastAsia="en-GB" w:bidi="ar-SA"/>
        </w:rPr>
        <w:t>.</w:t>
      </w:r>
      <w:r w:rsidRPr="001E5470">
        <w:rPr>
          <w:rFonts w:eastAsia="Times New Roman" w:cstheme="minorHAnsi"/>
          <w:sz w:val="20"/>
          <w:szCs w:val="20"/>
          <w:lang w:eastAsia="en-GB" w:bidi="ar-SA"/>
        </w:rPr>
        <w:t xml:space="preserve"> et al. </w:t>
      </w:r>
      <w:r w:rsidRPr="00BC3878">
        <w:rPr>
          <w:rFonts w:eastAsia="Times New Roman" w:cstheme="minorHAnsi"/>
          <w:sz w:val="20"/>
          <w:szCs w:val="20"/>
          <w:lang w:eastAsia="en-GB" w:bidi="ar-SA"/>
        </w:rPr>
        <w:t xml:space="preserve">The consensus molecular subtypes of colorectal cancer. </w:t>
      </w:r>
      <w:r w:rsidRPr="00BC3878">
        <w:rPr>
          <w:rFonts w:eastAsia="Times New Roman" w:cstheme="minorHAnsi"/>
          <w:i/>
          <w:iCs/>
          <w:sz w:val="20"/>
          <w:szCs w:val="20"/>
          <w:lang w:eastAsia="en-GB" w:bidi="ar-SA"/>
        </w:rPr>
        <w:t>Nat Med</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21</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1350-1356</w:t>
      </w:r>
      <w:r w:rsidR="00EB516A" w:rsidRPr="00BC3878">
        <w:rPr>
          <w:rFonts w:eastAsia="Times New Roman" w:cstheme="minorHAnsi"/>
          <w:sz w:val="20"/>
          <w:szCs w:val="20"/>
          <w:lang w:eastAsia="en-GB" w:bidi="ar-SA"/>
        </w:rPr>
        <w:t xml:space="preserve"> (2015).</w:t>
      </w:r>
    </w:p>
    <w:p w14:paraId="43723DE2" w14:textId="3D6E955A" w:rsidR="00090841" w:rsidRPr="00BC3878" w:rsidRDefault="00090841" w:rsidP="00C86936">
      <w:pPr>
        <w:pStyle w:val="ListParagraph"/>
        <w:numPr>
          <w:ilvl w:val="0"/>
          <w:numId w:val="1"/>
        </w:numPr>
        <w:ind w:left="357" w:hanging="357"/>
        <w:rPr>
          <w:rFonts w:eastAsia="Times New Roman" w:cstheme="minorHAnsi"/>
          <w:sz w:val="20"/>
          <w:szCs w:val="20"/>
          <w:lang w:eastAsia="en-GB" w:bidi="ar-SA"/>
        </w:rPr>
      </w:pPr>
      <w:proofErr w:type="spellStart"/>
      <w:r w:rsidRPr="00BC3878">
        <w:rPr>
          <w:rFonts w:eastAsia="Times New Roman" w:cstheme="minorHAnsi"/>
          <w:sz w:val="20"/>
          <w:szCs w:val="20"/>
          <w:lang w:eastAsia="en-GB" w:bidi="ar-SA"/>
        </w:rPr>
        <w:t>Biton</w:t>
      </w:r>
      <w:proofErr w:type="spellEnd"/>
      <w:r w:rsidR="00585A68">
        <w:rPr>
          <w:rFonts w:eastAsia="Times New Roman" w:cstheme="minorHAnsi"/>
          <w:sz w:val="20"/>
          <w:szCs w:val="20"/>
          <w:lang w:eastAsia="en-GB" w:bidi="ar-SA"/>
        </w:rPr>
        <w:t>,</w:t>
      </w:r>
      <w:r w:rsidRPr="00BC3878">
        <w:rPr>
          <w:rFonts w:eastAsia="Times New Roman" w:cstheme="minorHAnsi"/>
          <w:sz w:val="20"/>
          <w:szCs w:val="20"/>
          <w:lang w:eastAsia="en-GB" w:bidi="ar-SA"/>
        </w:rPr>
        <w:t xml:space="preserve"> A</w:t>
      </w:r>
      <w:r w:rsidR="00585A68">
        <w:rPr>
          <w:rFonts w:eastAsia="Times New Roman" w:cstheme="minorHAnsi"/>
          <w:sz w:val="20"/>
          <w:szCs w:val="20"/>
          <w:lang w:eastAsia="en-GB" w:bidi="ar-SA"/>
        </w:rPr>
        <w:t>.</w:t>
      </w:r>
      <w:r w:rsidRPr="00BC3878">
        <w:rPr>
          <w:rFonts w:eastAsia="Times New Roman" w:cstheme="minorHAnsi"/>
          <w:sz w:val="20"/>
          <w:szCs w:val="20"/>
          <w:lang w:eastAsia="en-GB" w:bidi="ar-SA"/>
        </w:rPr>
        <w:t xml:space="preserve"> et al. Independent component analysis uncovers the landscape of the bladder tumor transcriptome and reveals insights into luminal and basal subtypes. </w:t>
      </w:r>
      <w:r w:rsidRPr="00BC3878">
        <w:rPr>
          <w:rFonts w:eastAsia="Times New Roman" w:cstheme="minorHAnsi"/>
          <w:i/>
          <w:iCs/>
          <w:sz w:val="20"/>
          <w:szCs w:val="20"/>
          <w:lang w:eastAsia="en-GB" w:bidi="ar-SA"/>
        </w:rPr>
        <w:t>Cell Rep</w:t>
      </w:r>
      <w:r w:rsidR="00EB516A" w:rsidRPr="00BC3878">
        <w:rPr>
          <w:rFonts w:eastAsia="Times New Roman" w:cstheme="minorHAnsi"/>
          <w:i/>
          <w:iCs/>
          <w:sz w:val="20"/>
          <w:szCs w:val="20"/>
          <w:lang w:eastAsia="en-GB" w:bidi="ar-SA"/>
        </w:rPr>
        <w:t xml:space="preserve"> </w:t>
      </w:r>
      <w:r w:rsidRPr="00BC3878">
        <w:rPr>
          <w:rFonts w:eastAsia="Times New Roman" w:cstheme="minorHAnsi"/>
          <w:sz w:val="20"/>
          <w:szCs w:val="20"/>
          <w:lang w:eastAsia="en-GB" w:bidi="ar-SA"/>
        </w:rPr>
        <w:t>9</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1235-1245</w:t>
      </w:r>
      <w:r w:rsidR="00EB516A" w:rsidRPr="00BC3878">
        <w:rPr>
          <w:rFonts w:eastAsia="Times New Roman" w:cstheme="minorHAnsi"/>
          <w:sz w:val="20"/>
          <w:szCs w:val="20"/>
          <w:lang w:eastAsia="en-GB" w:bidi="ar-SA"/>
        </w:rPr>
        <w:t xml:space="preserve"> (2014)</w:t>
      </w:r>
      <w:r w:rsidRPr="00BC3878">
        <w:rPr>
          <w:rFonts w:eastAsia="Times New Roman" w:cstheme="minorHAnsi"/>
          <w:sz w:val="20"/>
          <w:szCs w:val="20"/>
          <w:lang w:eastAsia="en-GB" w:bidi="ar-SA"/>
        </w:rPr>
        <w:t>.</w:t>
      </w:r>
    </w:p>
    <w:p w14:paraId="1349F2D5" w14:textId="05C0DCFD" w:rsidR="00090841" w:rsidRPr="00BC3878" w:rsidRDefault="00090841" w:rsidP="00C86936">
      <w:pPr>
        <w:pStyle w:val="ListParagraph"/>
        <w:numPr>
          <w:ilvl w:val="0"/>
          <w:numId w:val="1"/>
        </w:numPr>
        <w:ind w:left="357" w:hanging="357"/>
        <w:rPr>
          <w:rFonts w:eastAsia="Times New Roman" w:cstheme="minorHAnsi"/>
          <w:sz w:val="20"/>
          <w:szCs w:val="20"/>
          <w:lang w:eastAsia="en-GB" w:bidi="ar-SA"/>
        </w:rPr>
      </w:pPr>
      <w:r w:rsidRPr="00BC3878">
        <w:rPr>
          <w:rFonts w:eastAsia="Times New Roman" w:cstheme="minorHAnsi"/>
          <w:sz w:val="20"/>
          <w:szCs w:val="20"/>
          <w:lang w:eastAsia="en-GB" w:bidi="ar-SA"/>
        </w:rPr>
        <w:t>Bhattacharya</w:t>
      </w:r>
      <w:r w:rsidR="00585A68">
        <w:rPr>
          <w:rFonts w:eastAsia="Times New Roman" w:cstheme="minorHAnsi"/>
          <w:sz w:val="20"/>
          <w:szCs w:val="20"/>
          <w:lang w:eastAsia="en-GB" w:bidi="ar-SA"/>
        </w:rPr>
        <w:t>,</w:t>
      </w:r>
      <w:r w:rsidRPr="00BC3878">
        <w:rPr>
          <w:rFonts w:eastAsia="Times New Roman" w:cstheme="minorHAnsi"/>
          <w:sz w:val="20"/>
          <w:szCs w:val="20"/>
          <w:lang w:eastAsia="en-GB" w:bidi="ar-SA"/>
        </w:rPr>
        <w:t xml:space="preserve"> A</w:t>
      </w:r>
      <w:r w:rsidR="00585A68">
        <w:rPr>
          <w:rFonts w:eastAsia="Times New Roman" w:cstheme="minorHAnsi"/>
          <w:sz w:val="20"/>
          <w:szCs w:val="20"/>
          <w:lang w:eastAsia="en-GB" w:bidi="ar-SA"/>
        </w:rPr>
        <w:t xml:space="preserve">. et al. </w:t>
      </w:r>
      <w:r w:rsidRPr="00BC3878">
        <w:rPr>
          <w:rFonts w:eastAsia="Times New Roman" w:cstheme="minorHAnsi"/>
          <w:sz w:val="20"/>
          <w:szCs w:val="20"/>
          <w:lang w:eastAsia="en-GB" w:bidi="ar-SA"/>
        </w:rPr>
        <w:t xml:space="preserve">Transcriptional effects of copy number alterations in a large set of human cancers. </w:t>
      </w:r>
      <w:r w:rsidRPr="00BC3878">
        <w:rPr>
          <w:rFonts w:eastAsia="Times New Roman" w:cstheme="minorHAnsi"/>
          <w:i/>
          <w:iCs/>
          <w:sz w:val="20"/>
          <w:szCs w:val="20"/>
          <w:lang w:eastAsia="en-GB" w:bidi="ar-SA"/>
        </w:rPr>
        <w:t xml:space="preserve">Nat </w:t>
      </w:r>
      <w:proofErr w:type="spellStart"/>
      <w:r w:rsidRPr="00BC3878">
        <w:rPr>
          <w:rFonts w:eastAsia="Times New Roman" w:cstheme="minorHAnsi"/>
          <w:i/>
          <w:iCs/>
          <w:sz w:val="20"/>
          <w:szCs w:val="20"/>
          <w:lang w:eastAsia="en-GB" w:bidi="ar-SA"/>
        </w:rPr>
        <w:t>Commun</w:t>
      </w:r>
      <w:proofErr w:type="spellEnd"/>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11</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715</w:t>
      </w:r>
      <w:r w:rsidR="00EB516A" w:rsidRPr="00BC3878">
        <w:rPr>
          <w:rFonts w:eastAsia="Times New Roman" w:cstheme="minorHAnsi"/>
          <w:sz w:val="20"/>
          <w:szCs w:val="20"/>
          <w:lang w:eastAsia="en-GB" w:bidi="ar-SA"/>
        </w:rPr>
        <w:t xml:space="preserve"> (2020)</w:t>
      </w:r>
      <w:r w:rsidRPr="00BC3878">
        <w:rPr>
          <w:rFonts w:eastAsia="Times New Roman" w:cstheme="minorHAnsi"/>
          <w:sz w:val="20"/>
          <w:szCs w:val="20"/>
          <w:lang w:eastAsia="en-GB" w:bidi="ar-SA"/>
        </w:rPr>
        <w:t>.</w:t>
      </w:r>
    </w:p>
    <w:p w14:paraId="602F06D7" w14:textId="58857C60" w:rsidR="009158CB" w:rsidRPr="00BC3878" w:rsidRDefault="00090841" w:rsidP="009158CB">
      <w:pPr>
        <w:pStyle w:val="ListParagraph"/>
        <w:numPr>
          <w:ilvl w:val="0"/>
          <w:numId w:val="1"/>
        </w:numPr>
        <w:ind w:left="357" w:hanging="357"/>
        <w:rPr>
          <w:rFonts w:eastAsia="Times New Roman" w:cstheme="minorHAnsi"/>
          <w:sz w:val="20"/>
          <w:szCs w:val="20"/>
          <w:lang w:eastAsia="en-GB" w:bidi="ar-SA"/>
        </w:rPr>
      </w:pPr>
      <w:proofErr w:type="spellStart"/>
      <w:r w:rsidRPr="00BC3878">
        <w:rPr>
          <w:rFonts w:eastAsia="Times New Roman" w:cstheme="minorHAnsi"/>
          <w:sz w:val="20"/>
          <w:szCs w:val="20"/>
          <w:lang w:eastAsia="en-GB" w:bidi="ar-SA"/>
        </w:rPr>
        <w:t>Liberzon</w:t>
      </w:r>
      <w:proofErr w:type="spellEnd"/>
      <w:r w:rsidR="00585A68">
        <w:rPr>
          <w:rFonts w:eastAsia="Times New Roman" w:cstheme="minorHAnsi"/>
          <w:sz w:val="20"/>
          <w:szCs w:val="20"/>
          <w:lang w:eastAsia="en-GB" w:bidi="ar-SA"/>
        </w:rPr>
        <w:t>,</w:t>
      </w:r>
      <w:r w:rsidRPr="00BC3878">
        <w:rPr>
          <w:rFonts w:eastAsia="Times New Roman" w:cstheme="minorHAnsi"/>
          <w:sz w:val="20"/>
          <w:szCs w:val="20"/>
          <w:lang w:eastAsia="en-GB" w:bidi="ar-SA"/>
        </w:rPr>
        <w:t xml:space="preserve"> A</w:t>
      </w:r>
      <w:r w:rsidR="00585A68">
        <w:rPr>
          <w:rFonts w:eastAsia="Times New Roman" w:cstheme="minorHAnsi"/>
          <w:sz w:val="20"/>
          <w:szCs w:val="20"/>
          <w:lang w:eastAsia="en-GB" w:bidi="ar-SA"/>
        </w:rPr>
        <w:t>. et al</w:t>
      </w:r>
      <w:r w:rsidRPr="00BC3878">
        <w:rPr>
          <w:rFonts w:eastAsia="Times New Roman" w:cstheme="minorHAnsi"/>
          <w:sz w:val="20"/>
          <w:szCs w:val="20"/>
          <w:lang w:eastAsia="en-GB" w:bidi="ar-SA"/>
        </w:rPr>
        <w:t>. The Molecular Signatures Database (</w:t>
      </w:r>
      <w:proofErr w:type="spellStart"/>
      <w:r w:rsidRPr="00BC3878">
        <w:rPr>
          <w:rFonts w:eastAsia="Times New Roman" w:cstheme="minorHAnsi"/>
          <w:sz w:val="20"/>
          <w:szCs w:val="20"/>
          <w:lang w:eastAsia="en-GB" w:bidi="ar-SA"/>
        </w:rPr>
        <w:t>MSigDB</w:t>
      </w:r>
      <w:proofErr w:type="spellEnd"/>
      <w:r w:rsidRPr="00BC3878">
        <w:rPr>
          <w:rFonts w:eastAsia="Times New Roman" w:cstheme="minorHAnsi"/>
          <w:sz w:val="20"/>
          <w:szCs w:val="20"/>
          <w:lang w:eastAsia="en-GB" w:bidi="ar-SA"/>
        </w:rPr>
        <w:t xml:space="preserve">) hallmark gene set collection. </w:t>
      </w:r>
      <w:r w:rsidRPr="00BC3878">
        <w:rPr>
          <w:rFonts w:eastAsia="Times New Roman" w:cstheme="minorHAnsi"/>
          <w:i/>
          <w:iCs/>
          <w:sz w:val="20"/>
          <w:szCs w:val="20"/>
          <w:lang w:eastAsia="en-GB" w:bidi="ar-SA"/>
        </w:rPr>
        <w:t>Cell Syst</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1</w:t>
      </w:r>
      <w:r w:rsidR="00EB516A" w:rsidRPr="00BC3878">
        <w:rPr>
          <w:rFonts w:eastAsia="Times New Roman" w:cstheme="minorHAnsi"/>
          <w:sz w:val="20"/>
          <w:szCs w:val="20"/>
          <w:lang w:eastAsia="en-GB" w:bidi="ar-SA"/>
        </w:rPr>
        <w:t xml:space="preserve">, </w:t>
      </w:r>
      <w:r w:rsidRPr="00BC3878">
        <w:rPr>
          <w:rFonts w:eastAsia="Times New Roman" w:cstheme="minorHAnsi"/>
          <w:sz w:val="20"/>
          <w:szCs w:val="20"/>
          <w:lang w:eastAsia="en-GB" w:bidi="ar-SA"/>
        </w:rPr>
        <w:t>417-425</w:t>
      </w:r>
      <w:r w:rsidR="00EB516A" w:rsidRPr="00BC3878">
        <w:rPr>
          <w:rFonts w:eastAsia="Times New Roman" w:cstheme="minorHAnsi"/>
          <w:sz w:val="20"/>
          <w:szCs w:val="20"/>
          <w:lang w:eastAsia="en-GB" w:bidi="ar-SA"/>
        </w:rPr>
        <w:t xml:space="preserve"> (2015).</w:t>
      </w:r>
    </w:p>
    <w:p w14:paraId="633D6511" w14:textId="23751D8E" w:rsidR="009158CB" w:rsidRPr="00BC3878" w:rsidRDefault="009158CB" w:rsidP="009158CB">
      <w:pPr>
        <w:pStyle w:val="ListParagraph"/>
        <w:numPr>
          <w:ilvl w:val="0"/>
          <w:numId w:val="1"/>
        </w:numPr>
        <w:ind w:left="357" w:hanging="357"/>
        <w:rPr>
          <w:rFonts w:eastAsia="Times New Roman" w:cstheme="minorHAnsi"/>
          <w:sz w:val="20"/>
          <w:szCs w:val="20"/>
          <w:lang w:eastAsia="en-GB" w:bidi="ar-SA"/>
        </w:rPr>
      </w:pPr>
      <w:proofErr w:type="spellStart"/>
      <w:r w:rsidRPr="00BC3878">
        <w:rPr>
          <w:rFonts w:cstheme="minorHAnsi"/>
          <w:sz w:val="20"/>
          <w:szCs w:val="20"/>
        </w:rPr>
        <w:t>Urzúa-Traslaviña</w:t>
      </w:r>
      <w:proofErr w:type="spellEnd"/>
      <w:r w:rsidR="00585A68">
        <w:rPr>
          <w:rFonts w:cstheme="minorHAnsi"/>
          <w:sz w:val="20"/>
          <w:szCs w:val="20"/>
        </w:rPr>
        <w:t>,</w:t>
      </w:r>
      <w:r w:rsidRPr="00BC3878">
        <w:rPr>
          <w:rFonts w:cstheme="minorHAnsi"/>
          <w:sz w:val="20"/>
          <w:szCs w:val="20"/>
        </w:rPr>
        <w:t xml:space="preserve"> C</w:t>
      </w:r>
      <w:r w:rsidR="00585A68">
        <w:rPr>
          <w:rFonts w:cstheme="minorHAnsi"/>
          <w:sz w:val="20"/>
          <w:szCs w:val="20"/>
        </w:rPr>
        <w:t>.</w:t>
      </w:r>
      <w:r w:rsidRPr="00BC3878">
        <w:rPr>
          <w:rFonts w:cstheme="minorHAnsi"/>
          <w:sz w:val="20"/>
          <w:szCs w:val="20"/>
        </w:rPr>
        <w:t>G</w:t>
      </w:r>
      <w:r w:rsidR="00585A68">
        <w:rPr>
          <w:rFonts w:cstheme="minorHAnsi"/>
          <w:sz w:val="20"/>
          <w:szCs w:val="20"/>
        </w:rPr>
        <w:t>.</w:t>
      </w:r>
      <w:r w:rsidRPr="00BC3878">
        <w:rPr>
          <w:rFonts w:cstheme="minorHAnsi"/>
          <w:sz w:val="20"/>
          <w:szCs w:val="20"/>
        </w:rPr>
        <w:t xml:space="preserve"> et al. Improving gene function predictions using independent transcriptional components. Nat </w:t>
      </w:r>
      <w:proofErr w:type="spellStart"/>
      <w:r w:rsidRPr="00BC3878">
        <w:rPr>
          <w:rFonts w:cstheme="minorHAnsi"/>
          <w:sz w:val="20"/>
          <w:szCs w:val="20"/>
        </w:rPr>
        <w:t>Commun</w:t>
      </w:r>
      <w:proofErr w:type="spellEnd"/>
      <w:r w:rsidR="00EB516A" w:rsidRPr="00BC3878">
        <w:rPr>
          <w:rFonts w:cstheme="minorHAnsi"/>
          <w:sz w:val="20"/>
          <w:szCs w:val="20"/>
        </w:rPr>
        <w:t xml:space="preserve"> </w:t>
      </w:r>
      <w:r w:rsidRPr="00BC3878">
        <w:rPr>
          <w:rFonts w:cstheme="minorHAnsi"/>
          <w:sz w:val="20"/>
          <w:szCs w:val="20"/>
        </w:rPr>
        <w:t>12</w:t>
      </w:r>
      <w:r w:rsidR="00EB516A" w:rsidRPr="00BC3878">
        <w:rPr>
          <w:rFonts w:cstheme="minorHAnsi"/>
          <w:sz w:val="20"/>
          <w:szCs w:val="20"/>
        </w:rPr>
        <w:t xml:space="preserve">, </w:t>
      </w:r>
      <w:r w:rsidRPr="00BC3878">
        <w:rPr>
          <w:rFonts w:cstheme="minorHAnsi"/>
          <w:sz w:val="20"/>
          <w:szCs w:val="20"/>
        </w:rPr>
        <w:t>1464</w:t>
      </w:r>
      <w:r w:rsidR="00EB516A" w:rsidRPr="00BC3878">
        <w:rPr>
          <w:rFonts w:cstheme="minorHAnsi"/>
          <w:sz w:val="20"/>
          <w:szCs w:val="20"/>
        </w:rPr>
        <w:t xml:space="preserve"> (2021)</w:t>
      </w:r>
      <w:r w:rsidRPr="00BC3878">
        <w:rPr>
          <w:rFonts w:cstheme="minorHAnsi"/>
          <w:sz w:val="20"/>
          <w:szCs w:val="20"/>
        </w:rPr>
        <w:t>.</w:t>
      </w:r>
    </w:p>
    <w:bookmarkEnd w:id="2"/>
    <w:p w14:paraId="21CB9286" w14:textId="77777777" w:rsidR="006335E3" w:rsidRPr="00BC3878" w:rsidRDefault="006335E3">
      <w:pPr>
        <w:spacing w:after="160" w:line="259" w:lineRule="auto"/>
        <w:rPr>
          <w:rFonts w:asciiTheme="minorHAnsi" w:hAnsiTheme="minorHAnsi" w:cstheme="minorHAnsi"/>
          <w:sz w:val="20"/>
          <w:szCs w:val="20"/>
          <w:lang w:val="en-US"/>
        </w:rPr>
      </w:pPr>
      <w:r w:rsidRPr="00BC3878">
        <w:rPr>
          <w:rFonts w:asciiTheme="minorHAnsi" w:hAnsiTheme="minorHAnsi" w:cstheme="minorHAnsi"/>
          <w:sz w:val="20"/>
          <w:szCs w:val="20"/>
          <w:lang w:val="en-US"/>
        </w:rPr>
        <w:br w:type="page"/>
      </w:r>
    </w:p>
    <w:p w14:paraId="2CEE7A5E" w14:textId="39AF4C99" w:rsidR="00B52F72" w:rsidRPr="00BC3878" w:rsidRDefault="00B52F72" w:rsidP="006335E3">
      <w:pPr>
        <w:pStyle w:val="ListParagraph"/>
        <w:ind w:left="357"/>
        <w:rPr>
          <w:rFonts w:eastAsia="Times New Roman" w:cstheme="minorHAnsi"/>
          <w:b/>
          <w:bCs/>
          <w:sz w:val="20"/>
          <w:szCs w:val="20"/>
          <w:lang w:eastAsia="en-GB" w:bidi="ar-SA"/>
        </w:rPr>
      </w:pPr>
    </w:p>
    <w:p w14:paraId="0BC26DD5" w14:textId="68C78F41" w:rsidR="00F64FC1" w:rsidRPr="00BC3878" w:rsidRDefault="00F64FC1" w:rsidP="006335E3">
      <w:pPr>
        <w:pStyle w:val="ListParagraph"/>
        <w:ind w:left="357"/>
        <w:rPr>
          <w:rFonts w:eastAsia="Times New Roman" w:cstheme="minorHAnsi"/>
          <w:b/>
          <w:bCs/>
          <w:sz w:val="20"/>
          <w:szCs w:val="20"/>
          <w:lang w:eastAsia="en-GB" w:bidi="ar-SA"/>
        </w:rPr>
      </w:pPr>
    </w:p>
    <w:p w14:paraId="344ACEF9" w14:textId="2ED4C082" w:rsidR="00F64FC1" w:rsidRPr="00BC3878" w:rsidRDefault="00F64FC1" w:rsidP="006335E3">
      <w:pPr>
        <w:pStyle w:val="ListParagraph"/>
        <w:ind w:left="357"/>
        <w:rPr>
          <w:rFonts w:eastAsia="Times New Roman" w:cstheme="minorHAnsi"/>
          <w:b/>
          <w:bCs/>
          <w:sz w:val="20"/>
          <w:szCs w:val="20"/>
          <w:lang w:eastAsia="en-GB" w:bidi="ar-SA"/>
        </w:rPr>
      </w:pPr>
    </w:p>
    <w:p w14:paraId="07019BCA" w14:textId="048B3868" w:rsidR="006335E3" w:rsidRPr="00911EF7" w:rsidRDefault="005215BB" w:rsidP="00E9662B">
      <w:pPr>
        <w:rPr>
          <w:rFonts w:cstheme="minorHAnsi"/>
          <w:b/>
          <w:bCs/>
          <w:sz w:val="20"/>
          <w:szCs w:val="20"/>
          <w:lang w:val="en-US"/>
        </w:rPr>
      </w:pPr>
      <w:r w:rsidRPr="00911EF7">
        <w:rPr>
          <w:rFonts w:cstheme="minorHAnsi"/>
          <w:b/>
          <w:bCs/>
          <w:sz w:val="20"/>
          <w:szCs w:val="20"/>
          <w:lang w:val="en-US"/>
        </w:rPr>
        <w:t xml:space="preserve">Supplementary </w:t>
      </w:r>
      <w:r w:rsidR="006335E3" w:rsidRPr="00911EF7">
        <w:rPr>
          <w:rFonts w:cstheme="minorHAnsi"/>
          <w:b/>
          <w:bCs/>
          <w:sz w:val="20"/>
          <w:szCs w:val="20"/>
          <w:lang w:val="en-US"/>
        </w:rPr>
        <w:t>Figure 1. Random survival forest analysis of stage 2 early colon cancer patients, optimal clusters.</w:t>
      </w:r>
    </w:p>
    <w:p w14:paraId="3894B90B" w14:textId="674A24D6" w:rsidR="003317BC" w:rsidRDefault="003317BC" w:rsidP="00E9662B">
      <w:pPr>
        <w:spacing w:after="160" w:line="259" w:lineRule="auto"/>
        <w:rPr>
          <w:rFonts w:asciiTheme="minorHAnsi" w:hAnsiTheme="minorHAnsi" w:cstheme="minorHAnsi"/>
          <w:sz w:val="20"/>
          <w:szCs w:val="20"/>
          <w:lang w:val="en-US"/>
        </w:rPr>
      </w:pPr>
      <w:r w:rsidRPr="003317BC">
        <w:rPr>
          <w:rFonts w:asciiTheme="minorHAnsi" w:hAnsiTheme="minorHAnsi" w:cstheme="minorHAnsi"/>
          <w:sz w:val="20"/>
          <w:szCs w:val="20"/>
          <w:lang w:val="en-US"/>
        </w:rPr>
        <w:t>Shown are RSF analyses of 446 patients with stage 2 colon cancer based on the activity of DFS-associated TCs as classifiers</w:t>
      </w:r>
      <w:r>
        <w:rPr>
          <w:rFonts w:asciiTheme="minorHAnsi" w:hAnsiTheme="minorHAnsi" w:cstheme="minorHAnsi"/>
          <w:sz w:val="20"/>
          <w:szCs w:val="20"/>
          <w:lang w:val="en-US"/>
        </w:rPr>
        <w:t>.</w:t>
      </w:r>
      <w:r w:rsidRPr="003317BC">
        <w:rPr>
          <w:rFonts w:asciiTheme="minorHAnsi" w:hAnsiTheme="minorHAnsi" w:cstheme="minorHAnsi"/>
          <w:sz w:val="20"/>
          <w:szCs w:val="20"/>
          <w:lang w:val="en-US"/>
        </w:rPr>
        <w:t xml:space="preserve"> RSF was performed as described in the Methods and Supplementary Materials. The RSF building process was performed twice, first with the DFS-associated primary TCs as the input (A), and then with the robust DFS-associated secondary TCs as the input (B). To simplify interpretation, the paired primary TCs are shown in B (indicated with an asterisk), rather than the secondary TCs; for information regarding the pairing of TCs, see Supplementary Table S2. For each RSF, an importance score was calculated for each TC, reflecting how often that TC is an important classifier in the survival trees in the forest.</w:t>
      </w:r>
    </w:p>
    <w:p w14:paraId="72752C4B" w14:textId="690D26C1" w:rsidR="006335E3" w:rsidRPr="003317BC" w:rsidRDefault="003317BC" w:rsidP="00E9662B">
      <w:pPr>
        <w:spacing w:after="160" w:line="259" w:lineRule="auto"/>
        <w:rPr>
          <w:rFonts w:asciiTheme="minorHAnsi" w:hAnsiTheme="minorHAnsi" w:cstheme="minorHAnsi"/>
          <w:sz w:val="20"/>
          <w:szCs w:val="20"/>
          <w:lang w:val="en-US"/>
        </w:rPr>
      </w:pPr>
      <w:r w:rsidRPr="00911EF7">
        <w:rPr>
          <w:rFonts w:cstheme="minorHAnsi"/>
          <w:sz w:val="16"/>
          <w:szCs w:val="16"/>
          <w:lang w:val="en-US"/>
        </w:rPr>
        <w:t>DFS, disease-free survival; RFS, random survival forest; TCs, transcriptional components.</w:t>
      </w:r>
      <w:r w:rsidR="006335E3" w:rsidRPr="00911EF7">
        <w:rPr>
          <w:rFonts w:cstheme="minorHAnsi"/>
          <w:sz w:val="16"/>
          <w:szCs w:val="16"/>
          <w:lang w:val="en-US"/>
        </w:rPr>
        <w:br w:type="page"/>
      </w:r>
    </w:p>
    <w:p w14:paraId="4FABA541" w14:textId="4ACF946B" w:rsidR="00B52F72" w:rsidRPr="00BC3878" w:rsidRDefault="00B52F72" w:rsidP="006335E3">
      <w:pPr>
        <w:pStyle w:val="ListParagraph"/>
        <w:ind w:left="357"/>
        <w:rPr>
          <w:rFonts w:eastAsia="Times New Roman" w:cstheme="minorHAnsi"/>
          <w:b/>
          <w:bCs/>
          <w:sz w:val="20"/>
          <w:szCs w:val="20"/>
          <w:lang w:eastAsia="en-GB" w:bidi="ar-SA"/>
        </w:rPr>
      </w:pPr>
    </w:p>
    <w:p w14:paraId="0BCD8793" w14:textId="2EF69F6F" w:rsidR="006335E3" w:rsidRPr="00911EF7" w:rsidRDefault="005215BB" w:rsidP="00E9662B">
      <w:pPr>
        <w:rPr>
          <w:rFonts w:cstheme="minorHAnsi"/>
          <w:b/>
          <w:bCs/>
          <w:sz w:val="12"/>
          <w:szCs w:val="12"/>
          <w:lang w:val="en-US"/>
        </w:rPr>
      </w:pPr>
      <w:r w:rsidRPr="00911EF7">
        <w:rPr>
          <w:rFonts w:cstheme="minorHAnsi"/>
          <w:b/>
          <w:bCs/>
          <w:sz w:val="20"/>
          <w:szCs w:val="20"/>
          <w:lang w:val="en-US"/>
        </w:rPr>
        <w:t xml:space="preserve">Supplementary </w:t>
      </w:r>
      <w:r w:rsidR="006335E3" w:rsidRPr="00911EF7">
        <w:rPr>
          <w:rFonts w:cstheme="minorHAnsi"/>
          <w:b/>
          <w:bCs/>
          <w:sz w:val="20"/>
          <w:szCs w:val="20"/>
          <w:lang w:val="en-US"/>
        </w:rPr>
        <w:t>Figure 2. Random survival forest analysis of stage 3 early colon cancer patients, optimal clusters.</w:t>
      </w:r>
    </w:p>
    <w:p w14:paraId="49CC7AEC" w14:textId="77777777" w:rsidR="00E9662B" w:rsidRDefault="003317BC" w:rsidP="00E9662B">
      <w:pPr>
        <w:spacing w:after="160" w:line="259" w:lineRule="auto"/>
        <w:rPr>
          <w:rFonts w:asciiTheme="minorHAnsi" w:hAnsiTheme="minorHAnsi" w:cstheme="minorHAnsi"/>
          <w:sz w:val="20"/>
          <w:szCs w:val="20"/>
          <w:lang w:val="en-US"/>
        </w:rPr>
      </w:pPr>
      <w:r w:rsidRPr="003317BC">
        <w:rPr>
          <w:rFonts w:asciiTheme="minorHAnsi" w:hAnsiTheme="minorHAnsi" w:cstheme="minorHAnsi"/>
          <w:sz w:val="20"/>
          <w:szCs w:val="20"/>
          <w:lang w:val="en-US"/>
        </w:rPr>
        <w:t xml:space="preserve">Shown are RSF analyses of </w:t>
      </w:r>
      <w:r>
        <w:rPr>
          <w:rFonts w:asciiTheme="minorHAnsi" w:hAnsiTheme="minorHAnsi" w:cstheme="minorHAnsi"/>
          <w:sz w:val="20"/>
          <w:szCs w:val="20"/>
          <w:lang w:val="en-US"/>
        </w:rPr>
        <w:t>290</w:t>
      </w:r>
      <w:r w:rsidRPr="003317BC">
        <w:rPr>
          <w:rFonts w:asciiTheme="minorHAnsi" w:hAnsiTheme="minorHAnsi" w:cstheme="minorHAnsi"/>
          <w:sz w:val="20"/>
          <w:szCs w:val="20"/>
          <w:lang w:val="en-US"/>
        </w:rPr>
        <w:t xml:space="preserve"> patients with stage </w:t>
      </w:r>
      <w:r>
        <w:rPr>
          <w:rFonts w:asciiTheme="minorHAnsi" w:hAnsiTheme="minorHAnsi" w:cstheme="minorHAnsi"/>
          <w:sz w:val="20"/>
          <w:szCs w:val="20"/>
          <w:lang w:val="en-US"/>
        </w:rPr>
        <w:t>3</w:t>
      </w:r>
      <w:r w:rsidRPr="003317BC">
        <w:rPr>
          <w:rFonts w:asciiTheme="minorHAnsi" w:hAnsiTheme="minorHAnsi" w:cstheme="minorHAnsi"/>
          <w:sz w:val="20"/>
          <w:szCs w:val="20"/>
          <w:lang w:val="en-US"/>
        </w:rPr>
        <w:t xml:space="preserve"> colon cancer based on the activity of DFS-associated TCs as classifiers. RSF was performed as described in the Methods and Supplementary Materials. The RSF building process was performed twice, first with the DFS-associated primary TCs as the input (A), and then with the robust DFS-associated secondary TCs as the input (B). To simplify interpretation, the paired primary TCs are shown in B (indicated with an asterisk), rather than the secondary TCs; for information regarding the pairing of TCs, see Supplementary Table S2. For each RSF, an importance score was calculated for each TC, reflecting how often that TC is an important classifier in the survival trees in the forest.</w:t>
      </w:r>
    </w:p>
    <w:p w14:paraId="356F4788" w14:textId="1498ED18" w:rsidR="003317BC" w:rsidRPr="00E9662B" w:rsidRDefault="003317BC" w:rsidP="00E9662B">
      <w:pPr>
        <w:spacing w:after="160" w:line="259" w:lineRule="auto"/>
        <w:rPr>
          <w:rFonts w:asciiTheme="minorHAnsi" w:hAnsiTheme="minorHAnsi" w:cstheme="minorHAnsi"/>
          <w:sz w:val="20"/>
          <w:szCs w:val="20"/>
          <w:lang w:val="en-US"/>
        </w:rPr>
      </w:pPr>
      <w:r w:rsidRPr="003317BC">
        <w:rPr>
          <w:rFonts w:cstheme="minorHAnsi"/>
          <w:sz w:val="16"/>
          <w:szCs w:val="16"/>
        </w:rPr>
        <w:t xml:space="preserve">DFS, </w:t>
      </w:r>
      <w:proofErr w:type="spellStart"/>
      <w:r w:rsidRPr="003317BC">
        <w:rPr>
          <w:rFonts w:cstheme="minorHAnsi"/>
          <w:sz w:val="16"/>
          <w:szCs w:val="16"/>
        </w:rPr>
        <w:t>disease</w:t>
      </w:r>
      <w:proofErr w:type="spellEnd"/>
      <w:r w:rsidRPr="003317BC">
        <w:rPr>
          <w:rFonts w:cstheme="minorHAnsi"/>
          <w:sz w:val="16"/>
          <w:szCs w:val="16"/>
        </w:rPr>
        <w:t>-free survival; RFS, random survival forest; TCs, transcriptional components.</w:t>
      </w:r>
    </w:p>
    <w:p w14:paraId="77C606CD" w14:textId="77777777" w:rsidR="003317BC" w:rsidRPr="00BC3878" w:rsidRDefault="003317BC" w:rsidP="006335E3">
      <w:pPr>
        <w:pStyle w:val="ListParagraph"/>
        <w:ind w:left="357"/>
        <w:rPr>
          <w:rFonts w:eastAsia="Times New Roman" w:cstheme="minorHAnsi"/>
          <w:sz w:val="16"/>
          <w:szCs w:val="16"/>
          <w:lang w:eastAsia="en-GB" w:bidi="ar-SA"/>
        </w:rPr>
      </w:pPr>
    </w:p>
    <w:sectPr w:rsidR="003317BC" w:rsidRPr="00BC38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F335" w14:textId="77777777" w:rsidR="007A3C7C" w:rsidRDefault="007A3C7C" w:rsidP="006D6AB9">
      <w:r>
        <w:separator/>
      </w:r>
    </w:p>
  </w:endnote>
  <w:endnote w:type="continuationSeparator" w:id="0">
    <w:p w14:paraId="26AA17A0" w14:textId="77777777" w:rsidR="007A3C7C" w:rsidRDefault="007A3C7C" w:rsidP="006D6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F667D" w14:textId="77777777" w:rsidR="007A3C7C" w:rsidRDefault="007A3C7C" w:rsidP="006D6AB9">
      <w:r>
        <w:separator/>
      </w:r>
    </w:p>
  </w:footnote>
  <w:footnote w:type="continuationSeparator" w:id="0">
    <w:p w14:paraId="7D7AAE59" w14:textId="77777777" w:rsidR="007A3C7C" w:rsidRDefault="007A3C7C" w:rsidP="006D6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176D5"/>
    <w:multiLevelType w:val="hybridMultilevel"/>
    <w:tmpl w:val="6C347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D63AD"/>
    <w:multiLevelType w:val="hybridMultilevel"/>
    <w:tmpl w:val="76E6C50A"/>
    <w:lvl w:ilvl="0" w:tplc="8308433A">
      <w:start w:val="1"/>
      <w:numFmt w:val="decimal"/>
      <w:lvlText w:val="%1."/>
      <w:lvlJc w:val="left"/>
      <w:pPr>
        <w:ind w:left="1080" w:hanging="360"/>
      </w:pPr>
      <w:rPr>
        <w:rFonts w:eastAsiaTheme="minorEastAsia"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D06E52"/>
    <w:multiLevelType w:val="hybridMultilevel"/>
    <w:tmpl w:val="91C26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C1CE7"/>
    <w:multiLevelType w:val="hybridMultilevel"/>
    <w:tmpl w:val="0602B5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B5897"/>
    <w:multiLevelType w:val="hybridMultilevel"/>
    <w:tmpl w:val="43269154"/>
    <w:lvl w:ilvl="0" w:tplc="E93E7A1A">
      <w:start w:val="1"/>
      <w:numFmt w:val="decimal"/>
      <w:lvlText w:val="%1."/>
      <w:lvlJc w:val="left"/>
      <w:pPr>
        <w:ind w:left="720" w:hanging="360"/>
      </w:pPr>
      <w:rPr>
        <w:rFonts w:ascii="Times New Roman" w:eastAsia="Times New Roman" w:hAnsi="Times New Roman" w:cs="Times New Roman"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CE1594"/>
    <w:multiLevelType w:val="hybridMultilevel"/>
    <w:tmpl w:val="D3421844"/>
    <w:lvl w:ilvl="0" w:tplc="0809000F">
      <w:start w:val="1"/>
      <w:numFmt w:val="decimal"/>
      <w:lvlText w:val="%1."/>
      <w:lvlJc w:val="left"/>
      <w:pPr>
        <w:ind w:left="-720" w:hanging="360"/>
      </w:pPr>
      <w:rPr>
        <w:rFonts w:hint="default"/>
      </w:rPr>
    </w:lvl>
    <w:lvl w:ilvl="1" w:tplc="08090019">
      <w:start w:val="1"/>
      <w:numFmt w:val="lowerLetter"/>
      <w:lvlText w:val="%2."/>
      <w:lvlJc w:val="left"/>
      <w:pPr>
        <w:ind w:left="0" w:hanging="360"/>
      </w:pPr>
    </w:lvl>
    <w:lvl w:ilvl="2" w:tplc="0809001B">
      <w:start w:val="1"/>
      <w:numFmt w:val="lowerRoman"/>
      <w:lvlText w:val="%3."/>
      <w:lvlJc w:val="right"/>
      <w:pPr>
        <w:ind w:left="720" w:hanging="180"/>
      </w:pPr>
    </w:lvl>
    <w:lvl w:ilvl="3" w:tplc="0809000F">
      <w:start w:val="1"/>
      <w:numFmt w:val="decimal"/>
      <w:lvlText w:val="%4."/>
      <w:lvlJc w:val="left"/>
      <w:pPr>
        <w:ind w:left="1440" w:hanging="360"/>
      </w:pPr>
    </w:lvl>
    <w:lvl w:ilvl="4" w:tplc="08090019">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6" w15:restartNumberingAfterBreak="0">
    <w:nsid w:val="5F14468E"/>
    <w:multiLevelType w:val="hybridMultilevel"/>
    <w:tmpl w:val="453A3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889819">
    <w:abstractNumId w:val="4"/>
  </w:num>
  <w:num w:numId="2" w16cid:durableId="1565797779">
    <w:abstractNumId w:val="1"/>
  </w:num>
  <w:num w:numId="3" w16cid:durableId="538787925">
    <w:abstractNumId w:val="6"/>
  </w:num>
  <w:num w:numId="4" w16cid:durableId="1050568014">
    <w:abstractNumId w:val="5"/>
  </w:num>
  <w:num w:numId="5" w16cid:durableId="551966195">
    <w:abstractNumId w:val="2"/>
  </w:num>
  <w:num w:numId="6" w16cid:durableId="547108352">
    <w:abstractNumId w:val="0"/>
  </w:num>
  <w:num w:numId="7" w16cid:durableId="1411150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60"/>
    <w:rsid w:val="00005FD2"/>
    <w:rsid w:val="00042D36"/>
    <w:rsid w:val="00090841"/>
    <w:rsid w:val="001B04B8"/>
    <w:rsid w:val="001E5470"/>
    <w:rsid w:val="00297DFB"/>
    <w:rsid w:val="002C539D"/>
    <w:rsid w:val="002F459E"/>
    <w:rsid w:val="003317BC"/>
    <w:rsid w:val="00430D12"/>
    <w:rsid w:val="00443895"/>
    <w:rsid w:val="0045056C"/>
    <w:rsid w:val="00491CB4"/>
    <w:rsid w:val="00504D2C"/>
    <w:rsid w:val="005215BB"/>
    <w:rsid w:val="00585A68"/>
    <w:rsid w:val="005E73F6"/>
    <w:rsid w:val="006335E3"/>
    <w:rsid w:val="006B7FEB"/>
    <w:rsid w:val="006D6AB9"/>
    <w:rsid w:val="00766E80"/>
    <w:rsid w:val="007A3C7C"/>
    <w:rsid w:val="007C3260"/>
    <w:rsid w:val="00831E97"/>
    <w:rsid w:val="00867614"/>
    <w:rsid w:val="00911EF7"/>
    <w:rsid w:val="009158CB"/>
    <w:rsid w:val="009A082F"/>
    <w:rsid w:val="00B2780C"/>
    <w:rsid w:val="00B52F72"/>
    <w:rsid w:val="00BC3878"/>
    <w:rsid w:val="00C040CD"/>
    <w:rsid w:val="00C86936"/>
    <w:rsid w:val="00D10EE7"/>
    <w:rsid w:val="00D4026E"/>
    <w:rsid w:val="00DC1A8C"/>
    <w:rsid w:val="00DC2424"/>
    <w:rsid w:val="00DE1655"/>
    <w:rsid w:val="00DE5C14"/>
    <w:rsid w:val="00E3518D"/>
    <w:rsid w:val="00E9662B"/>
    <w:rsid w:val="00EB516A"/>
    <w:rsid w:val="00EC4C2E"/>
    <w:rsid w:val="00F64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EB57F"/>
  <w15:chartTrackingRefBased/>
  <w15:docId w15:val="{9439B082-96BE-43D7-8682-4C3064EC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841"/>
    <w:pPr>
      <w:spacing w:after="160" w:line="259" w:lineRule="auto"/>
      <w:ind w:left="720"/>
      <w:contextualSpacing/>
    </w:pPr>
    <w:rPr>
      <w:rFonts w:asciiTheme="minorHAnsi" w:eastAsiaTheme="minorHAnsi" w:hAnsiTheme="minorHAnsi" w:cstheme="minorBidi"/>
      <w:sz w:val="22"/>
      <w:szCs w:val="22"/>
      <w:lang w:val="en-US" w:eastAsia="en-US" w:bidi="he-IL"/>
    </w:rPr>
  </w:style>
  <w:style w:type="paragraph" w:styleId="NoSpacing">
    <w:name w:val="No Spacing"/>
    <w:uiPriority w:val="99"/>
    <w:qFormat/>
    <w:rsid w:val="0045056C"/>
    <w:pPr>
      <w:spacing w:after="0" w:line="240" w:lineRule="auto"/>
      <w:ind w:firstLine="432"/>
      <w:jc w:val="both"/>
    </w:pPr>
    <w:rPr>
      <w:sz w:val="24"/>
      <w:szCs w:val="24"/>
      <w:lang w:val="en-US"/>
    </w:rPr>
  </w:style>
  <w:style w:type="character" w:styleId="CommentReference">
    <w:name w:val="annotation reference"/>
    <w:basedOn w:val="DefaultParagraphFont"/>
    <w:uiPriority w:val="99"/>
    <w:semiHidden/>
    <w:unhideWhenUsed/>
    <w:rsid w:val="00867614"/>
    <w:rPr>
      <w:sz w:val="16"/>
      <w:szCs w:val="16"/>
    </w:rPr>
  </w:style>
  <w:style w:type="paragraph" w:styleId="CommentText">
    <w:name w:val="annotation text"/>
    <w:basedOn w:val="Normal"/>
    <w:link w:val="CommentTextChar"/>
    <w:uiPriority w:val="99"/>
    <w:unhideWhenUsed/>
    <w:rsid w:val="00867614"/>
    <w:rPr>
      <w:sz w:val="20"/>
      <w:szCs w:val="20"/>
    </w:rPr>
  </w:style>
  <w:style w:type="character" w:customStyle="1" w:styleId="CommentTextChar">
    <w:name w:val="Comment Text Char"/>
    <w:basedOn w:val="DefaultParagraphFont"/>
    <w:link w:val="CommentText"/>
    <w:uiPriority w:val="99"/>
    <w:rsid w:val="0086761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67614"/>
    <w:rPr>
      <w:b/>
      <w:bCs/>
    </w:rPr>
  </w:style>
  <w:style w:type="character" w:customStyle="1" w:styleId="CommentSubjectChar">
    <w:name w:val="Comment Subject Char"/>
    <w:basedOn w:val="CommentTextChar"/>
    <w:link w:val="CommentSubject"/>
    <w:uiPriority w:val="99"/>
    <w:semiHidden/>
    <w:rsid w:val="00867614"/>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enetica-networ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3860</Words>
  <Characters>21809</Characters>
  <Application>Microsoft Office Word</Application>
  <DocSecurity>0</DocSecurity>
  <Lines>335</Lines>
  <Paragraphs>144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Funke, A (onco)</dc:creator>
  <cp:keywords/>
  <dc:description/>
  <cp:lastModifiedBy>Daan Knapen</cp:lastModifiedBy>
  <cp:revision>25</cp:revision>
  <dcterms:created xsi:type="dcterms:W3CDTF">2023-02-03T10:28:00Z</dcterms:created>
  <dcterms:modified xsi:type="dcterms:W3CDTF">2023-04-03T14:33:00Z</dcterms:modified>
</cp:coreProperties>
</file>