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A7B5" w14:textId="77777777" w:rsidR="002E672F" w:rsidRDefault="002E672F" w:rsidP="002E672F">
      <w:pPr>
        <w:spacing w:line="360" w:lineRule="auto"/>
        <w:jc w:val="both"/>
        <w:rPr>
          <w:b/>
          <w:bCs/>
        </w:rPr>
      </w:pPr>
      <w:r w:rsidRPr="00B15F67">
        <w:rPr>
          <w:b/>
          <w:bCs/>
        </w:rPr>
        <w:t>Supplementary File 2</w:t>
      </w:r>
    </w:p>
    <w:p w14:paraId="5451BC92" w14:textId="77777777" w:rsidR="002E672F" w:rsidRDefault="002E672F" w:rsidP="002E672F">
      <w:pPr>
        <w:spacing w:line="360" w:lineRule="auto"/>
        <w:jc w:val="both"/>
        <w:rPr>
          <w:b/>
          <w:bCs/>
        </w:rPr>
      </w:pPr>
    </w:p>
    <w:p w14:paraId="5EBC0394" w14:textId="77777777" w:rsidR="002E672F" w:rsidRDefault="002E672F" w:rsidP="002E672F">
      <w:pPr>
        <w:spacing w:line="360" w:lineRule="auto"/>
        <w:jc w:val="both"/>
      </w:pPr>
      <w:r>
        <w:t>The decision to transfuse is made by the intensivist as part of the local critical care protocol.</w:t>
      </w:r>
    </w:p>
    <w:p w14:paraId="6DE23D19" w14:textId="77777777" w:rsidR="002E672F" w:rsidRDefault="002E672F" w:rsidP="002E672F">
      <w:pPr>
        <w:spacing w:line="360" w:lineRule="auto"/>
        <w:jc w:val="both"/>
      </w:pPr>
      <w:r>
        <w:t>This protocol consists of policy that include:</w:t>
      </w:r>
    </w:p>
    <w:p w14:paraId="1B4EDD59" w14:textId="77777777" w:rsidR="002E672F" w:rsidRDefault="002E672F" w:rsidP="002E672F">
      <w:pPr>
        <w:spacing w:line="360" w:lineRule="auto"/>
        <w:ind w:firstLine="708"/>
        <w:jc w:val="both"/>
      </w:pPr>
      <w:r>
        <w:t>- Hb target of 7-8 g/dL</w:t>
      </w:r>
    </w:p>
    <w:p w14:paraId="3B8E5D26" w14:textId="77777777" w:rsidR="002E672F" w:rsidRDefault="002E672F" w:rsidP="002E672F">
      <w:pPr>
        <w:spacing w:line="360" w:lineRule="auto"/>
        <w:ind w:left="708"/>
        <w:jc w:val="both"/>
      </w:pPr>
      <w:r>
        <w:t>- A clinical judgment that transfusion is appropriate, in addition to the Hb concentration</w:t>
      </w:r>
    </w:p>
    <w:p w14:paraId="5F984F06" w14:textId="77777777" w:rsidR="002E672F" w:rsidRDefault="002E672F" w:rsidP="002E672F">
      <w:pPr>
        <w:spacing w:line="360" w:lineRule="auto"/>
        <w:ind w:firstLine="708"/>
        <w:jc w:val="both"/>
      </w:pPr>
      <w:r>
        <w:t>- Hydration with 150 mL of normal saline prior to transfusion</w:t>
      </w:r>
    </w:p>
    <w:p w14:paraId="711C794F" w14:textId="77777777" w:rsidR="002E672F" w:rsidRDefault="002E672F" w:rsidP="002E672F">
      <w:pPr>
        <w:spacing w:line="360" w:lineRule="auto"/>
        <w:ind w:left="708"/>
        <w:jc w:val="both"/>
      </w:pPr>
      <w:r>
        <w:t>- The infusion is administered at a rate of 2 ml/min for the first 15 minutes. If vital signs are normal at the 15th minute, transfusion is complete after 40 minutes.</w:t>
      </w:r>
    </w:p>
    <w:p w14:paraId="6C66CD9F" w14:textId="77777777" w:rsidR="002E672F" w:rsidRDefault="002E672F" w:rsidP="002E672F">
      <w:pPr>
        <w:spacing w:line="360" w:lineRule="auto"/>
        <w:ind w:left="708"/>
        <w:jc w:val="both"/>
      </w:pPr>
      <w:r>
        <w:t>- Administer single unit transfusion, clinical assessment, then use 2nd unit strategy (if 2 units transfusion is decided)</w:t>
      </w:r>
    </w:p>
    <w:p w14:paraId="3EEB4BC4" w14:textId="77777777" w:rsidR="002E672F" w:rsidRDefault="002E672F" w:rsidP="002E672F">
      <w:pPr>
        <w:spacing w:line="360" w:lineRule="auto"/>
        <w:ind w:firstLine="708"/>
        <w:jc w:val="both"/>
      </w:pPr>
      <w:r>
        <w:t>- Red cell suspensions with leukocyte filters are used for all red cell transfusions.</w:t>
      </w:r>
    </w:p>
    <w:p w14:paraId="63C6738B" w14:textId="77777777" w:rsidR="002E672F" w:rsidRDefault="002E672F" w:rsidP="002E672F">
      <w:pPr>
        <w:spacing w:line="360" w:lineRule="auto"/>
        <w:ind w:left="708"/>
        <w:jc w:val="both"/>
      </w:pPr>
      <w:r>
        <w:t>- Red cell packets transfused during the study period will be stored at ± 2°C for an average of up to 40 days.</w:t>
      </w:r>
    </w:p>
    <w:p w14:paraId="32BE8D40" w14:textId="77777777" w:rsidR="00327979" w:rsidRDefault="00000000"/>
    <w:sectPr w:rsidR="00327979" w:rsidSect="00222E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2F"/>
    <w:rsid w:val="0001345A"/>
    <w:rsid w:val="00097FE5"/>
    <w:rsid w:val="00222E7A"/>
    <w:rsid w:val="002E672F"/>
    <w:rsid w:val="0045048E"/>
    <w:rsid w:val="004F609B"/>
    <w:rsid w:val="005062B6"/>
    <w:rsid w:val="00574D6E"/>
    <w:rsid w:val="005A2209"/>
    <w:rsid w:val="006C70ED"/>
    <w:rsid w:val="00731112"/>
    <w:rsid w:val="00764B70"/>
    <w:rsid w:val="007D11A7"/>
    <w:rsid w:val="00867609"/>
    <w:rsid w:val="008E3A0A"/>
    <w:rsid w:val="00AC57C8"/>
    <w:rsid w:val="00B21DD9"/>
    <w:rsid w:val="00B559FB"/>
    <w:rsid w:val="00BC30CB"/>
    <w:rsid w:val="00C122E1"/>
    <w:rsid w:val="00D55EFB"/>
    <w:rsid w:val="00DA0278"/>
    <w:rsid w:val="00DC32CE"/>
    <w:rsid w:val="00E07164"/>
    <w:rsid w:val="00E562EE"/>
    <w:rsid w:val="00EF4AB4"/>
    <w:rsid w:val="00F61E1F"/>
    <w:rsid w:val="00FB3330"/>
    <w:rsid w:val="00FE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2EA078"/>
  <w14:defaultImageDpi w14:val="32767"/>
  <w15:chartTrackingRefBased/>
  <w15:docId w15:val="{E8775B11-AE45-9640-8130-6DE9A015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E67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salih tüzen</dc:creator>
  <cp:keywords/>
  <dc:description/>
  <cp:lastModifiedBy>ahmet salih tüzen</cp:lastModifiedBy>
  <cp:revision>1</cp:revision>
  <dcterms:created xsi:type="dcterms:W3CDTF">2023-04-05T08:20:00Z</dcterms:created>
  <dcterms:modified xsi:type="dcterms:W3CDTF">2023-04-05T08:21:00Z</dcterms:modified>
</cp:coreProperties>
</file>