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30D15" w14:textId="3EEEF1D3" w:rsidR="008A164B" w:rsidRPr="00F57C42" w:rsidRDefault="008A164B" w:rsidP="002A611F">
      <w:pPr>
        <w:bidi w:val="0"/>
        <w:spacing w:line="240" w:lineRule="auto"/>
        <w:ind w:firstLine="0"/>
        <w:jc w:val="lowKashida"/>
        <w:rPr>
          <w:rFonts w:asciiTheme="majorBidi" w:hAnsiTheme="majorBidi" w:cstheme="majorBidi"/>
          <w:b/>
          <w:bCs/>
          <w:szCs w:val="24"/>
        </w:rPr>
      </w:pPr>
      <w:bookmarkStart w:id="0" w:name="_Hlk105470561"/>
      <w:r w:rsidRPr="00F57C42">
        <w:rPr>
          <w:rFonts w:asciiTheme="majorBidi" w:hAnsiTheme="majorBidi" w:cstheme="majorBidi"/>
          <w:b/>
          <w:bCs/>
          <w:szCs w:val="24"/>
        </w:rPr>
        <w:t>STUDY PROTOCOL:</w:t>
      </w:r>
    </w:p>
    <w:p w14:paraId="7877F4F2" w14:textId="46E3B1F1" w:rsidR="000B60A9" w:rsidRPr="00F57C42" w:rsidRDefault="000B60A9"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Pr>
        <w:t>Efficacy of a multidimensional versus usual</w:t>
      </w:r>
      <w:r w:rsidR="00C449E4" w:rsidRPr="00F57C42">
        <w:rPr>
          <w:rFonts w:asciiTheme="majorBidi" w:hAnsiTheme="majorBidi" w:cstheme="majorBidi"/>
          <w:sz w:val="20"/>
          <w:szCs w:val="20"/>
        </w:rPr>
        <w:t xml:space="preserve"> </w:t>
      </w:r>
      <w:r w:rsidRPr="00F57C42">
        <w:rPr>
          <w:rFonts w:asciiTheme="majorBidi" w:hAnsiTheme="majorBidi" w:cstheme="majorBidi"/>
          <w:sz w:val="20"/>
          <w:szCs w:val="20"/>
        </w:rPr>
        <w:t xml:space="preserve">care physiotherapy on pain </w:t>
      </w:r>
      <w:r w:rsidR="009F6034" w:rsidRPr="00F57C42">
        <w:rPr>
          <w:rFonts w:asciiTheme="majorBidi" w:hAnsiTheme="majorBidi" w:cstheme="majorBidi"/>
          <w:sz w:val="20"/>
          <w:szCs w:val="20"/>
        </w:rPr>
        <w:t>and electroencephalography</w:t>
      </w:r>
      <w:r w:rsidRPr="00F57C42">
        <w:rPr>
          <w:rFonts w:asciiTheme="majorBidi" w:hAnsiTheme="majorBidi" w:cstheme="majorBidi"/>
          <w:sz w:val="20"/>
          <w:szCs w:val="20"/>
        </w:rPr>
        <w:t xml:space="preserve"> (EEG) spectrum in non</w:t>
      </w:r>
      <w:r w:rsidR="008A164B" w:rsidRPr="00F57C42">
        <w:rPr>
          <w:rFonts w:asciiTheme="majorBidi" w:hAnsiTheme="majorBidi" w:cstheme="majorBidi"/>
          <w:sz w:val="20"/>
          <w:szCs w:val="20"/>
        </w:rPr>
        <w:t>-</w:t>
      </w:r>
      <w:r w:rsidRPr="00F57C42">
        <w:rPr>
          <w:rFonts w:asciiTheme="majorBidi" w:hAnsiTheme="majorBidi" w:cstheme="majorBidi"/>
          <w:sz w:val="20"/>
          <w:szCs w:val="20"/>
        </w:rPr>
        <w:t>specific</w:t>
      </w:r>
      <w:r w:rsidR="008A164B" w:rsidRPr="00F57C42">
        <w:rPr>
          <w:rFonts w:asciiTheme="majorBidi" w:hAnsiTheme="majorBidi" w:cstheme="majorBidi"/>
          <w:sz w:val="20"/>
          <w:szCs w:val="20"/>
        </w:rPr>
        <w:t xml:space="preserve"> chronic</w:t>
      </w:r>
      <w:r w:rsidRPr="00F57C42">
        <w:rPr>
          <w:rFonts w:asciiTheme="majorBidi" w:hAnsiTheme="majorBidi" w:cstheme="majorBidi"/>
          <w:sz w:val="20"/>
          <w:szCs w:val="20"/>
        </w:rPr>
        <w:t xml:space="preserve"> low back pain: study protocol for a randomized controlled trial</w:t>
      </w:r>
      <w:r w:rsidRPr="00F57C42">
        <w:rPr>
          <w:rFonts w:asciiTheme="majorBidi" w:hAnsiTheme="majorBidi" w:cstheme="majorBidi"/>
          <w:sz w:val="20"/>
          <w:szCs w:val="20"/>
          <w:rtl/>
        </w:rPr>
        <w:t xml:space="preserve"> </w:t>
      </w:r>
    </w:p>
    <w:p w14:paraId="2CFCD875" w14:textId="77777777" w:rsidR="000B60A9" w:rsidRPr="00F57C42" w:rsidRDefault="000B60A9" w:rsidP="002A611F">
      <w:pPr>
        <w:bidi w:val="0"/>
        <w:spacing w:line="240" w:lineRule="auto"/>
        <w:ind w:firstLine="0"/>
        <w:jc w:val="lowKashida"/>
        <w:rPr>
          <w:rFonts w:asciiTheme="majorBidi" w:hAnsiTheme="majorBidi" w:cstheme="majorBidi"/>
          <w:b/>
          <w:bCs/>
          <w:sz w:val="20"/>
          <w:szCs w:val="20"/>
        </w:rPr>
      </w:pPr>
      <w:r w:rsidRPr="00F57C42">
        <w:rPr>
          <w:rFonts w:asciiTheme="majorBidi" w:hAnsiTheme="majorBidi" w:cstheme="majorBidi"/>
          <w:b/>
          <w:bCs/>
          <w:sz w:val="20"/>
          <w:szCs w:val="20"/>
        </w:rPr>
        <w:t>Objectives</w:t>
      </w:r>
    </w:p>
    <w:p w14:paraId="7B08D3BF" w14:textId="7EBCEB41" w:rsidR="000B60A9" w:rsidRPr="00F57C42" w:rsidRDefault="000B60A9" w:rsidP="002A611F">
      <w:pPr>
        <w:pStyle w:val="ListParagraph"/>
        <w:numPr>
          <w:ilvl w:val="0"/>
          <w:numId w:val="3"/>
        </w:numPr>
        <w:spacing w:line="240" w:lineRule="auto"/>
        <w:ind w:left="0"/>
        <w:jc w:val="lowKashida"/>
        <w:rPr>
          <w:rFonts w:asciiTheme="majorBidi" w:hAnsiTheme="majorBidi" w:cstheme="majorBidi"/>
          <w:sz w:val="20"/>
          <w:szCs w:val="20"/>
        </w:rPr>
      </w:pPr>
      <w:r w:rsidRPr="00F57C42">
        <w:rPr>
          <w:rFonts w:asciiTheme="majorBidi" w:hAnsiTheme="majorBidi" w:cstheme="majorBidi"/>
          <w:sz w:val="20"/>
          <w:szCs w:val="20"/>
        </w:rPr>
        <w:t>Effect of a multidimensional (biopsychosocial approach) on pain compared to usual care physiotherapy (biomedical approach</w:t>
      </w:r>
      <w:r w:rsidR="008A164B" w:rsidRPr="00F57C42">
        <w:rPr>
          <w:rFonts w:asciiTheme="majorBidi" w:hAnsiTheme="majorBidi" w:cstheme="majorBidi"/>
          <w:sz w:val="20"/>
          <w:szCs w:val="20"/>
        </w:rPr>
        <w:t>)</w:t>
      </w:r>
    </w:p>
    <w:p w14:paraId="1CB03F06" w14:textId="239DEC42" w:rsidR="000B60A9" w:rsidRPr="00F57C42" w:rsidRDefault="000B60A9" w:rsidP="002A611F">
      <w:pPr>
        <w:pStyle w:val="ListParagraph"/>
        <w:numPr>
          <w:ilvl w:val="0"/>
          <w:numId w:val="3"/>
        </w:numPr>
        <w:spacing w:line="240" w:lineRule="auto"/>
        <w:ind w:left="0"/>
        <w:jc w:val="lowKashida"/>
        <w:rPr>
          <w:rFonts w:asciiTheme="majorBidi" w:hAnsiTheme="majorBidi" w:cstheme="majorBidi"/>
          <w:sz w:val="20"/>
          <w:szCs w:val="20"/>
        </w:rPr>
      </w:pPr>
      <w:r w:rsidRPr="00F57C42">
        <w:rPr>
          <w:rFonts w:asciiTheme="majorBidi" w:hAnsiTheme="majorBidi" w:cstheme="majorBidi"/>
          <w:sz w:val="20"/>
          <w:szCs w:val="20"/>
        </w:rPr>
        <w:t>Effect of a multidimensional (biopsychosocial approach) on brain function (absolute and relative power) compared to usual care physiotherapy (biomedical approach</w:t>
      </w:r>
      <w:r w:rsidR="008A164B" w:rsidRPr="00F57C42">
        <w:rPr>
          <w:rFonts w:asciiTheme="majorBidi" w:hAnsiTheme="majorBidi" w:cstheme="majorBidi"/>
          <w:sz w:val="20"/>
          <w:szCs w:val="20"/>
        </w:rPr>
        <w:t>)</w:t>
      </w:r>
    </w:p>
    <w:p w14:paraId="306E8DBE" w14:textId="718F5CEF" w:rsidR="000B60A9" w:rsidRPr="00F57C42" w:rsidRDefault="000B60A9" w:rsidP="002A611F">
      <w:pPr>
        <w:pStyle w:val="ListParagraph"/>
        <w:numPr>
          <w:ilvl w:val="0"/>
          <w:numId w:val="3"/>
        </w:numPr>
        <w:spacing w:line="240" w:lineRule="auto"/>
        <w:ind w:left="0"/>
        <w:jc w:val="lowKashida"/>
        <w:rPr>
          <w:rFonts w:asciiTheme="majorBidi" w:hAnsiTheme="majorBidi" w:cstheme="majorBidi"/>
          <w:sz w:val="20"/>
          <w:szCs w:val="20"/>
        </w:rPr>
      </w:pPr>
      <w:r w:rsidRPr="00F57C42">
        <w:rPr>
          <w:rFonts w:asciiTheme="majorBidi" w:hAnsiTheme="majorBidi" w:cstheme="majorBidi"/>
          <w:sz w:val="20"/>
          <w:szCs w:val="20"/>
        </w:rPr>
        <w:t>Effect of a multidimensional (biopsychosocial approach) on quality of life compared to usual care physiotherapy (biomedical approach</w:t>
      </w:r>
      <w:r w:rsidR="008A164B" w:rsidRPr="00F57C42">
        <w:rPr>
          <w:rFonts w:asciiTheme="majorBidi" w:hAnsiTheme="majorBidi" w:cstheme="majorBidi"/>
          <w:sz w:val="20"/>
          <w:szCs w:val="20"/>
        </w:rPr>
        <w:t>)</w:t>
      </w:r>
    </w:p>
    <w:p w14:paraId="1C406D38" w14:textId="51C7DFF0" w:rsidR="000B60A9" w:rsidRPr="00F57C42" w:rsidRDefault="000B60A9" w:rsidP="002A611F">
      <w:pPr>
        <w:pStyle w:val="ListParagraph"/>
        <w:numPr>
          <w:ilvl w:val="0"/>
          <w:numId w:val="3"/>
        </w:numPr>
        <w:spacing w:line="240" w:lineRule="auto"/>
        <w:ind w:left="0"/>
        <w:jc w:val="lowKashida"/>
        <w:rPr>
          <w:rFonts w:asciiTheme="majorBidi" w:hAnsiTheme="majorBidi" w:cstheme="majorBidi"/>
          <w:sz w:val="20"/>
          <w:szCs w:val="20"/>
        </w:rPr>
      </w:pPr>
      <w:r w:rsidRPr="00F57C42">
        <w:rPr>
          <w:rFonts w:asciiTheme="majorBidi" w:hAnsiTheme="majorBidi" w:cstheme="majorBidi"/>
          <w:sz w:val="20"/>
          <w:szCs w:val="20"/>
        </w:rPr>
        <w:t xml:space="preserve">Effect of a multidimensional (biopsychosocial approach) on disability compared to usual care physiotherapy (biomedical </w:t>
      </w:r>
      <w:r w:rsidR="008A164B" w:rsidRPr="00F57C42">
        <w:rPr>
          <w:rFonts w:asciiTheme="majorBidi" w:hAnsiTheme="majorBidi" w:cstheme="majorBidi"/>
          <w:sz w:val="20"/>
          <w:szCs w:val="20"/>
        </w:rPr>
        <w:t>approach)</w:t>
      </w:r>
    </w:p>
    <w:p w14:paraId="6EAAC3D9" w14:textId="5F0FBE81" w:rsidR="000B60A9" w:rsidRPr="00F57C42" w:rsidRDefault="000B60A9" w:rsidP="002A611F">
      <w:pPr>
        <w:pStyle w:val="ListParagraph"/>
        <w:numPr>
          <w:ilvl w:val="0"/>
          <w:numId w:val="3"/>
        </w:numPr>
        <w:spacing w:line="240" w:lineRule="auto"/>
        <w:ind w:left="0"/>
        <w:jc w:val="lowKashida"/>
        <w:rPr>
          <w:rFonts w:asciiTheme="majorBidi" w:hAnsiTheme="majorBidi" w:cstheme="majorBidi"/>
          <w:sz w:val="20"/>
          <w:szCs w:val="20"/>
        </w:rPr>
      </w:pPr>
      <w:r w:rsidRPr="00F57C42">
        <w:rPr>
          <w:rFonts w:asciiTheme="majorBidi" w:hAnsiTheme="majorBidi" w:cstheme="majorBidi"/>
          <w:sz w:val="20"/>
          <w:szCs w:val="20"/>
        </w:rPr>
        <w:t>Effect of a multidimensional (biopsychosocial approach) on pain cognition compared to usual care physiotherapy (biomedical approach</w:t>
      </w:r>
      <w:r w:rsidR="008A164B" w:rsidRPr="00F57C42">
        <w:rPr>
          <w:rFonts w:asciiTheme="majorBidi" w:hAnsiTheme="majorBidi" w:cstheme="majorBidi"/>
          <w:sz w:val="20"/>
          <w:szCs w:val="20"/>
        </w:rPr>
        <w:t>)</w:t>
      </w:r>
    </w:p>
    <w:p w14:paraId="2828591D" w14:textId="4496094D" w:rsidR="000B60A9" w:rsidRPr="00F57C42" w:rsidRDefault="000B60A9" w:rsidP="002A611F">
      <w:pPr>
        <w:pStyle w:val="ListParagraph"/>
        <w:numPr>
          <w:ilvl w:val="0"/>
          <w:numId w:val="3"/>
        </w:numPr>
        <w:spacing w:line="240" w:lineRule="auto"/>
        <w:ind w:left="0"/>
        <w:jc w:val="lowKashida"/>
        <w:rPr>
          <w:rFonts w:asciiTheme="majorBidi" w:hAnsiTheme="majorBidi" w:cstheme="majorBidi"/>
          <w:sz w:val="20"/>
          <w:szCs w:val="20"/>
        </w:rPr>
      </w:pPr>
      <w:r w:rsidRPr="00F57C42">
        <w:rPr>
          <w:rFonts w:asciiTheme="majorBidi" w:hAnsiTheme="majorBidi" w:cstheme="majorBidi"/>
          <w:sz w:val="20"/>
          <w:szCs w:val="20"/>
        </w:rPr>
        <w:t>Effect of a multidimensional (biopsychosocial approach) on lumbar flexion range of motion compared to usual care physiotherapy (biomedical approach</w:t>
      </w:r>
      <w:r w:rsidR="008A164B" w:rsidRPr="00F57C42">
        <w:rPr>
          <w:rFonts w:asciiTheme="majorBidi" w:hAnsiTheme="majorBidi" w:cstheme="majorBidi"/>
          <w:sz w:val="20"/>
          <w:szCs w:val="20"/>
        </w:rPr>
        <w:t>)</w:t>
      </w:r>
    </w:p>
    <w:p w14:paraId="2EEF7BFD" w14:textId="77777777" w:rsidR="000B60A9" w:rsidRPr="00F57C42" w:rsidRDefault="000B60A9" w:rsidP="002A611F">
      <w:pPr>
        <w:bidi w:val="0"/>
        <w:spacing w:line="240" w:lineRule="auto"/>
        <w:ind w:firstLine="0"/>
        <w:jc w:val="lowKashida"/>
        <w:rPr>
          <w:rFonts w:asciiTheme="majorBidi" w:hAnsiTheme="majorBidi" w:cstheme="majorBidi"/>
          <w:b/>
          <w:bCs/>
          <w:sz w:val="20"/>
          <w:szCs w:val="20"/>
        </w:rPr>
      </w:pPr>
      <w:r w:rsidRPr="00F57C42">
        <w:rPr>
          <w:rFonts w:asciiTheme="majorBidi" w:hAnsiTheme="majorBidi" w:cstheme="majorBidi"/>
          <w:b/>
          <w:bCs/>
          <w:sz w:val="20"/>
          <w:szCs w:val="20"/>
        </w:rPr>
        <w:t>Design</w:t>
      </w:r>
    </w:p>
    <w:p w14:paraId="34745335" w14:textId="730D43FA" w:rsidR="000B60A9" w:rsidRPr="00F57C42" w:rsidRDefault="000B60A9"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Pr>
        <w:t xml:space="preserve">A 4-month, triple‐blind, randomized, controlled, parallel-group trial. Patients with non-specific chronic low back pain (NSCLBP) will be enrolled in a 6-week rehabilitation program organized in the Iran University of Medical Sciences. More specifically, multidimensional physiotherapy will be compared to general exercise and education. Treatment outcomes will be assessed at baseline, post‐treatment (at 6-week), </w:t>
      </w:r>
      <w:r w:rsidR="008A164B" w:rsidRPr="00F57C42">
        <w:rPr>
          <w:rFonts w:asciiTheme="majorBidi" w:hAnsiTheme="majorBidi" w:cstheme="majorBidi"/>
          <w:sz w:val="20"/>
          <w:szCs w:val="20"/>
        </w:rPr>
        <w:t>1</w:t>
      </w:r>
      <w:r w:rsidRPr="00F57C42">
        <w:rPr>
          <w:rFonts w:asciiTheme="majorBidi" w:hAnsiTheme="majorBidi" w:cstheme="majorBidi"/>
          <w:sz w:val="20"/>
          <w:szCs w:val="20"/>
        </w:rPr>
        <w:t xml:space="preserve">- and </w:t>
      </w:r>
      <w:r w:rsidR="008A164B" w:rsidRPr="00F57C42">
        <w:rPr>
          <w:rFonts w:asciiTheme="majorBidi" w:hAnsiTheme="majorBidi" w:cstheme="majorBidi"/>
          <w:sz w:val="20"/>
          <w:szCs w:val="20"/>
        </w:rPr>
        <w:t>4</w:t>
      </w:r>
      <w:r w:rsidRPr="00F57C42">
        <w:rPr>
          <w:rFonts w:asciiTheme="majorBidi" w:hAnsiTheme="majorBidi" w:cstheme="majorBidi"/>
          <w:sz w:val="20"/>
          <w:szCs w:val="20"/>
        </w:rPr>
        <w:t>-</w:t>
      </w:r>
      <w:r w:rsidR="008A164B" w:rsidRPr="00F57C42">
        <w:rPr>
          <w:rFonts w:asciiTheme="majorBidi" w:hAnsiTheme="majorBidi" w:cstheme="majorBidi"/>
          <w:sz w:val="20"/>
          <w:szCs w:val="20"/>
        </w:rPr>
        <w:t>months</w:t>
      </w:r>
      <w:r w:rsidRPr="00F57C42">
        <w:rPr>
          <w:rFonts w:asciiTheme="majorBidi" w:hAnsiTheme="majorBidi" w:cstheme="majorBidi"/>
          <w:sz w:val="20"/>
          <w:szCs w:val="20"/>
        </w:rPr>
        <w:t xml:space="preserve"> follow-u</w:t>
      </w:r>
      <w:r w:rsidR="008A164B" w:rsidRPr="00F57C42">
        <w:rPr>
          <w:rFonts w:asciiTheme="majorBidi" w:hAnsiTheme="majorBidi" w:cstheme="majorBidi"/>
          <w:sz w:val="20"/>
          <w:szCs w:val="20"/>
        </w:rPr>
        <w:t>p.</w:t>
      </w:r>
    </w:p>
    <w:p w14:paraId="6DA8D7DE" w14:textId="77777777" w:rsidR="000B60A9" w:rsidRPr="00F57C42" w:rsidRDefault="000B60A9" w:rsidP="002A611F">
      <w:pPr>
        <w:bidi w:val="0"/>
        <w:spacing w:line="240" w:lineRule="auto"/>
        <w:ind w:firstLine="0"/>
        <w:jc w:val="lowKashida"/>
        <w:rPr>
          <w:rFonts w:asciiTheme="majorBidi" w:hAnsiTheme="majorBidi" w:cstheme="majorBidi"/>
          <w:b/>
          <w:bCs/>
          <w:sz w:val="20"/>
          <w:szCs w:val="20"/>
        </w:rPr>
      </w:pPr>
      <w:r w:rsidRPr="00F57C42">
        <w:rPr>
          <w:rFonts w:asciiTheme="majorBidi" w:hAnsiTheme="majorBidi" w:cstheme="majorBidi"/>
          <w:b/>
          <w:bCs/>
          <w:sz w:val="20"/>
          <w:szCs w:val="20"/>
        </w:rPr>
        <w:t>Study population</w:t>
      </w:r>
    </w:p>
    <w:p w14:paraId="016E41A9" w14:textId="282E4A63" w:rsidR="000B60A9" w:rsidRPr="00F57C42" w:rsidRDefault="000B60A9"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Pr>
        <w:t>The study population will include approximately 70 NS</w:t>
      </w:r>
      <w:r w:rsidR="008A164B" w:rsidRPr="00F57C42">
        <w:rPr>
          <w:rFonts w:asciiTheme="majorBidi" w:hAnsiTheme="majorBidi" w:cstheme="majorBidi"/>
          <w:sz w:val="20"/>
          <w:szCs w:val="20"/>
        </w:rPr>
        <w:t>C</w:t>
      </w:r>
      <w:r w:rsidRPr="00F57C42">
        <w:rPr>
          <w:rFonts w:asciiTheme="majorBidi" w:hAnsiTheme="majorBidi" w:cstheme="majorBidi"/>
          <w:sz w:val="20"/>
          <w:szCs w:val="20"/>
        </w:rPr>
        <w:t xml:space="preserve">LBP patients. Patients will be recruited by the participating research groups from the Iran University of Medical Sciences' hospitals and via adverts. Patients will be eligible for this study if they will have: 1) </w:t>
      </w:r>
      <w:r w:rsidR="008A164B" w:rsidRPr="00F57C42">
        <w:rPr>
          <w:rFonts w:asciiTheme="majorBidi" w:hAnsiTheme="majorBidi" w:cstheme="majorBidi"/>
          <w:sz w:val="20"/>
          <w:szCs w:val="20"/>
        </w:rPr>
        <w:t>a</w:t>
      </w:r>
      <w:r w:rsidRPr="00F57C42">
        <w:rPr>
          <w:rFonts w:asciiTheme="majorBidi" w:hAnsiTheme="majorBidi" w:cstheme="majorBidi"/>
          <w:sz w:val="20"/>
          <w:szCs w:val="20"/>
        </w:rPr>
        <w:t xml:space="preserve">ge between 18-50; 2) </w:t>
      </w:r>
      <w:r w:rsidR="008A164B" w:rsidRPr="00F57C42">
        <w:rPr>
          <w:rFonts w:asciiTheme="majorBidi" w:hAnsiTheme="majorBidi" w:cstheme="majorBidi"/>
          <w:sz w:val="20"/>
          <w:szCs w:val="20"/>
        </w:rPr>
        <w:t>p</w:t>
      </w:r>
      <w:r w:rsidRPr="00F57C42">
        <w:rPr>
          <w:rFonts w:asciiTheme="majorBidi" w:hAnsiTheme="majorBidi" w:cstheme="majorBidi"/>
          <w:sz w:val="20"/>
          <w:szCs w:val="20"/>
        </w:rPr>
        <w:t xml:space="preserve">ermanent or intermittent local pain between L1 to gluteal fold without any radicular pain for </w:t>
      </w:r>
      <w:r w:rsidR="00F74BF9" w:rsidRPr="00F57C42">
        <w:rPr>
          <w:rFonts w:asciiTheme="majorBidi" w:hAnsiTheme="majorBidi" w:cstheme="majorBidi"/>
          <w:sz w:val="20"/>
          <w:szCs w:val="20"/>
        </w:rPr>
        <w:t>three</w:t>
      </w:r>
      <w:r w:rsidRPr="00F57C42">
        <w:rPr>
          <w:rFonts w:asciiTheme="majorBidi" w:hAnsiTheme="majorBidi" w:cstheme="majorBidi"/>
          <w:sz w:val="20"/>
          <w:szCs w:val="20"/>
        </w:rPr>
        <w:t xml:space="preserve"> months or more and between 3-7/10 based on Numeric Rating Scale (NRS); 3) </w:t>
      </w:r>
      <w:r w:rsidR="008A164B" w:rsidRPr="00F57C42">
        <w:rPr>
          <w:rFonts w:asciiTheme="majorBidi" w:hAnsiTheme="majorBidi" w:cstheme="majorBidi"/>
          <w:sz w:val="20"/>
          <w:szCs w:val="20"/>
        </w:rPr>
        <w:t>d</w:t>
      </w:r>
      <w:r w:rsidRPr="00F57C42">
        <w:rPr>
          <w:rFonts w:asciiTheme="majorBidi" w:hAnsiTheme="majorBidi" w:cstheme="majorBidi"/>
          <w:sz w:val="20"/>
          <w:szCs w:val="20"/>
        </w:rPr>
        <w:t xml:space="preserve">isability based on Oswestry Disability Index (ODI) between 20-60; 4) </w:t>
      </w:r>
      <w:r w:rsidR="008A164B" w:rsidRPr="00F57C42">
        <w:rPr>
          <w:rFonts w:asciiTheme="majorBidi" w:hAnsiTheme="majorBidi" w:cstheme="majorBidi"/>
          <w:sz w:val="20"/>
          <w:szCs w:val="20"/>
        </w:rPr>
        <w:t>f</w:t>
      </w:r>
      <w:r w:rsidRPr="00F57C42">
        <w:rPr>
          <w:rFonts w:asciiTheme="majorBidi" w:hAnsiTheme="majorBidi" w:cstheme="majorBidi"/>
          <w:sz w:val="20"/>
          <w:szCs w:val="20"/>
        </w:rPr>
        <w:t xml:space="preserve">ear of movement based on Tampa scale for kinesiophobia&gt;37; 5) </w:t>
      </w:r>
      <w:r w:rsidR="008A164B" w:rsidRPr="00F57C42">
        <w:rPr>
          <w:rFonts w:asciiTheme="majorBidi" w:hAnsiTheme="majorBidi" w:cstheme="majorBidi"/>
          <w:sz w:val="20"/>
          <w:szCs w:val="20"/>
        </w:rPr>
        <w:t>e</w:t>
      </w:r>
      <w:r w:rsidRPr="00F57C42">
        <w:rPr>
          <w:rFonts w:asciiTheme="majorBidi" w:hAnsiTheme="majorBidi" w:cstheme="majorBidi"/>
          <w:sz w:val="20"/>
          <w:szCs w:val="20"/>
        </w:rPr>
        <w:t xml:space="preserve">lementary level of education; 6) </w:t>
      </w:r>
      <w:r w:rsidR="008A164B" w:rsidRPr="00F57C42">
        <w:rPr>
          <w:rFonts w:asciiTheme="majorBidi" w:hAnsiTheme="majorBidi" w:cstheme="majorBidi"/>
          <w:sz w:val="20"/>
          <w:szCs w:val="20"/>
        </w:rPr>
        <w:t>n</w:t>
      </w:r>
      <w:r w:rsidRPr="00F57C42">
        <w:rPr>
          <w:rFonts w:asciiTheme="majorBidi" w:hAnsiTheme="majorBidi" w:cstheme="majorBidi"/>
          <w:sz w:val="20"/>
          <w:szCs w:val="20"/>
        </w:rPr>
        <w:t xml:space="preserve">ative Persian speaking. The most important exclusion criteria will be: 1) </w:t>
      </w:r>
      <w:r w:rsidR="008A164B" w:rsidRPr="00F57C42">
        <w:rPr>
          <w:rFonts w:asciiTheme="majorBidi" w:hAnsiTheme="majorBidi" w:cstheme="majorBidi"/>
          <w:sz w:val="20"/>
          <w:szCs w:val="20"/>
        </w:rPr>
        <w:t>a</w:t>
      </w:r>
      <w:r w:rsidRPr="00F57C42">
        <w:rPr>
          <w:rFonts w:asciiTheme="majorBidi" w:hAnsiTheme="majorBidi" w:cstheme="majorBidi"/>
          <w:sz w:val="20"/>
          <w:szCs w:val="20"/>
        </w:rPr>
        <w:t xml:space="preserve">ny evidence of e specific medical diagnosis including spondylolisthesis, fracture, tumor, or inflammation disease; 2) </w:t>
      </w:r>
      <w:r w:rsidR="008A164B" w:rsidRPr="00F57C42">
        <w:rPr>
          <w:rFonts w:asciiTheme="majorBidi" w:hAnsiTheme="majorBidi" w:cstheme="majorBidi"/>
          <w:sz w:val="20"/>
          <w:szCs w:val="20"/>
        </w:rPr>
        <w:t>r</w:t>
      </w:r>
      <w:r w:rsidRPr="00F57C42">
        <w:rPr>
          <w:rFonts w:asciiTheme="majorBidi" w:hAnsiTheme="majorBidi" w:cstheme="majorBidi"/>
          <w:sz w:val="20"/>
          <w:szCs w:val="20"/>
        </w:rPr>
        <w:t xml:space="preserve">heumatoid disease, fibromyalgia, neuropathy, Progressive neurological disease; 3) </w:t>
      </w:r>
      <w:r w:rsidR="008A164B" w:rsidRPr="00F57C42">
        <w:rPr>
          <w:rFonts w:asciiTheme="majorBidi" w:hAnsiTheme="majorBidi" w:cstheme="majorBidi"/>
          <w:sz w:val="20"/>
          <w:szCs w:val="20"/>
        </w:rPr>
        <w:t>h</w:t>
      </w:r>
      <w:r w:rsidRPr="00F57C42">
        <w:rPr>
          <w:rFonts w:asciiTheme="majorBidi" w:hAnsiTheme="majorBidi" w:cstheme="majorBidi"/>
          <w:sz w:val="20"/>
          <w:szCs w:val="20"/>
        </w:rPr>
        <w:t xml:space="preserve">istory of headache, dizziness, nausea, epilepsy, migraines, and mental disorders; 4) </w:t>
      </w:r>
      <w:r w:rsidR="008A164B" w:rsidRPr="00F57C42">
        <w:rPr>
          <w:rFonts w:asciiTheme="majorBidi" w:hAnsiTheme="majorBidi" w:cstheme="majorBidi"/>
          <w:sz w:val="20"/>
          <w:szCs w:val="20"/>
        </w:rPr>
        <w:t>h</w:t>
      </w:r>
      <w:r w:rsidRPr="00F57C42">
        <w:rPr>
          <w:rFonts w:asciiTheme="majorBidi" w:hAnsiTheme="majorBidi" w:cstheme="majorBidi"/>
          <w:sz w:val="20"/>
          <w:szCs w:val="20"/>
        </w:rPr>
        <w:t xml:space="preserve">istory of lumbar surgery in the past 3 years; 5) </w:t>
      </w:r>
      <w:r w:rsidR="008A164B" w:rsidRPr="00F57C42">
        <w:rPr>
          <w:rFonts w:asciiTheme="majorBidi" w:hAnsiTheme="majorBidi" w:cstheme="majorBidi"/>
          <w:sz w:val="20"/>
          <w:szCs w:val="20"/>
        </w:rPr>
        <w:t>b</w:t>
      </w:r>
      <w:r w:rsidRPr="00F57C42">
        <w:rPr>
          <w:rFonts w:asciiTheme="majorBidi" w:hAnsiTheme="majorBidi" w:cstheme="majorBidi"/>
          <w:sz w:val="20"/>
          <w:szCs w:val="20"/>
        </w:rPr>
        <w:t xml:space="preserve">eck's Anxiety Inventory&gt; 26; 6) </w:t>
      </w:r>
      <w:r w:rsidR="008A164B" w:rsidRPr="00F57C42">
        <w:rPr>
          <w:rFonts w:asciiTheme="majorBidi" w:hAnsiTheme="majorBidi" w:cstheme="majorBidi"/>
          <w:sz w:val="20"/>
          <w:szCs w:val="20"/>
        </w:rPr>
        <w:t>b</w:t>
      </w:r>
      <w:r w:rsidRPr="00F57C42">
        <w:rPr>
          <w:rFonts w:asciiTheme="majorBidi" w:hAnsiTheme="majorBidi" w:cstheme="majorBidi"/>
          <w:sz w:val="20"/>
          <w:szCs w:val="20"/>
        </w:rPr>
        <w:t xml:space="preserve">eck's Depression Inventory II&gt; 29; 7) </w:t>
      </w:r>
      <w:r w:rsidR="008A164B" w:rsidRPr="00F57C42">
        <w:rPr>
          <w:rFonts w:asciiTheme="majorBidi" w:hAnsiTheme="majorBidi" w:cstheme="majorBidi"/>
          <w:sz w:val="20"/>
          <w:szCs w:val="20"/>
        </w:rPr>
        <w:t>p</w:t>
      </w:r>
      <w:r w:rsidRPr="00F57C42">
        <w:rPr>
          <w:rFonts w:asciiTheme="majorBidi" w:hAnsiTheme="majorBidi" w:cstheme="majorBidi"/>
          <w:sz w:val="20"/>
          <w:szCs w:val="20"/>
        </w:rPr>
        <w:t xml:space="preserve">regnancy; 8) </w:t>
      </w:r>
      <w:r w:rsidR="008A164B" w:rsidRPr="00F57C42">
        <w:rPr>
          <w:rFonts w:asciiTheme="majorBidi" w:hAnsiTheme="majorBidi" w:cstheme="majorBidi"/>
          <w:sz w:val="20"/>
          <w:szCs w:val="20"/>
        </w:rPr>
        <w:t>h</w:t>
      </w:r>
      <w:r w:rsidRPr="00F57C42">
        <w:rPr>
          <w:rFonts w:asciiTheme="majorBidi" w:hAnsiTheme="majorBidi" w:cstheme="majorBidi"/>
          <w:sz w:val="20"/>
          <w:szCs w:val="20"/>
        </w:rPr>
        <w:t>aving other therapies during the present research</w:t>
      </w:r>
      <w:r w:rsidR="008A164B" w:rsidRPr="00F57C42">
        <w:rPr>
          <w:rFonts w:asciiTheme="majorBidi" w:hAnsiTheme="majorBidi" w:cstheme="majorBidi"/>
          <w:sz w:val="20"/>
          <w:szCs w:val="20"/>
        </w:rPr>
        <w:t>.</w:t>
      </w:r>
    </w:p>
    <w:p w14:paraId="12E877A8" w14:textId="77777777" w:rsidR="009F6034" w:rsidRPr="00F57C42" w:rsidRDefault="009F6034" w:rsidP="002A611F">
      <w:pPr>
        <w:bidi w:val="0"/>
        <w:spacing w:line="240" w:lineRule="auto"/>
        <w:ind w:firstLine="0"/>
        <w:jc w:val="lowKashida"/>
        <w:rPr>
          <w:rFonts w:asciiTheme="majorBidi" w:hAnsiTheme="majorBidi" w:cstheme="majorBidi"/>
          <w:sz w:val="20"/>
          <w:szCs w:val="20"/>
        </w:rPr>
      </w:pPr>
    </w:p>
    <w:p w14:paraId="7DD993FB" w14:textId="3D6DC00C" w:rsidR="000B60A9" w:rsidRPr="00F57C42" w:rsidRDefault="004E2BC0" w:rsidP="002A611F">
      <w:pPr>
        <w:bidi w:val="0"/>
        <w:spacing w:line="240" w:lineRule="auto"/>
        <w:ind w:left="-426" w:firstLine="0"/>
        <w:jc w:val="lowKashida"/>
        <w:rPr>
          <w:rFonts w:asciiTheme="majorBidi" w:hAnsiTheme="majorBidi" w:cstheme="majorBidi"/>
          <w:b/>
          <w:bCs/>
          <w:sz w:val="20"/>
          <w:szCs w:val="20"/>
        </w:rPr>
      </w:pPr>
      <w:r w:rsidRPr="00F57C42">
        <w:rPr>
          <w:rFonts w:asciiTheme="majorBidi" w:hAnsiTheme="majorBidi" w:cstheme="majorBidi"/>
          <w:b/>
          <w:bCs/>
          <w:sz w:val="20"/>
          <w:szCs w:val="20"/>
        </w:rPr>
        <w:t xml:space="preserve">       </w:t>
      </w:r>
      <w:r w:rsidR="000B60A9" w:rsidRPr="00F57C42">
        <w:rPr>
          <w:rFonts w:asciiTheme="majorBidi" w:hAnsiTheme="majorBidi" w:cstheme="majorBidi"/>
          <w:b/>
          <w:bCs/>
          <w:sz w:val="20"/>
          <w:szCs w:val="20"/>
        </w:rPr>
        <w:t>Baseline assessment and randomization</w:t>
      </w:r>
    </w:p>
    <w:p w14:paraId="24A1C36C" w14:textId="12CB3492" w:rsidR="008A164B" w:rsidRPr="00F57C42" w:rsidRDefault="000B60A9"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Pr>
        <w:t xml:space="preserve">After eligibility has been confirmed, patients will be informed about the study comparing two therapeutic treatment options. After obtaining written informed consent, baseline measurements will be performed. Participants will then be randomized to either active control or experimental group (1:1 ratio) using a stratified block allocation with stratification factors being gender (male or female) and with a block size of four. Randomization will be done at the Iran University Medical Sciences by an independent investigator using WinPepi (version 11.65). The randomization schedule will be known only to </w:t>
      </w:r>
      <w:r w:rsidR="00F74BF9" w:rsidRPr="00F57C42">
        <w:rPr>
          <w:rFonts w:asciiTheme="majorBidi" w:hAnsiTheme="majorBidi" w:cstheme="majorBidi"/>
          <w:sz w:val="20"/>
          <w:szCs w:val="20"/>
        </w:rPr>
        <w:t>one</w:t>
      </w:r>
      <w:r w:rsidRPr="00F57C42">
        <w:rPr>
          <w:rFonts w:asciiTheme="majorBidi" w:hAnsiTheme="majorBidi" w:cstheme="majorBidi"/>
          <w:sz w:val="20"/>
          <w:szCs w:val="20"/>
        </w:rPr>
        <w:t xml:space="preserve"> investigator who is not involved in recruiting participants. The randomization will be concealed from patients and the other investigators involved in patient assessments and analyses</w:t>
      </w:r>
      <w:r w:rsidR="008A164B" w:rsidRPr="00F57C42">
        <w:rPr>
          <w:rFonts w:asciiTheme="majorBidi" w:hAnsiTheme="majorBidi" w:cstheme="majorBidi"/>
          <w:sz w:val="20"/>
          <w:szCs w:val="20"/>
        </w:rPr>
        <w:t>.</w:t>
      </w:r>
    </w:p>
    <w:p w14:paraId="1EC8E80E" w14:textId="571A3CF7" w:rsidR="000B60A9" w:rsidRPr="00F57C42" w:rsidRDefault="000B60A9" w:rsidP="002A611F">
      <w:pPr>
        <w:bidi w:val="0"/>
        <w:spacing w:line="240" w:lineRule="auto"/>
        <w:ind w:firstLine="0"/>
        <w:jc w:val="lowKashida"/>
        <w:rPr>
          <w:rFonts w:asciiTheme="majorBidi" w:hAnsiTheme="majorBidi" w:cstheme="majorBidi"/>
          <w:b/>
          <w:bCs/>
          <w:sz w:val="20"/>
          <w:szCs w:val="20"/>
        </w:rPr>
      </w:pPr>
      <w:r w:rsidRPr="00F57C42">
        <w:rPr>
          <w:rFonts w:asciiTheme="majorBidi" w:hAnsiTheme="majorBidi" w:cstheme="majorBidi"/>
          <w:b/>
          <w:bCs/>
          <w:sz w:val="20"/>
          <w:szCs w:val="20"/>
        </w:rPr>
        <w:t>Blindin</w:t>
      </w:r>
      <w:r w:rsidR="008A164B" w:rsidRPr="00F57C42">
        <w:rPr>
          <w:rFonts w:asciiTheme="majorBidi" w:hAnsiTheme="majorBidi" w:cstheme="majorBidi"/>
          <w:b/>
          <w:bCs/>
          <w:sz w:val="20"/>
          <w:szCs w:val="20"/>
        </w:rPr>
        <w:t>g</w:t>
      </w:r>
    </w:p>
    <w:p w14:paraId="76CAF1E6" w14:textId="36B45BA1" w:rsidR="00F207DF" w:rsidRPr="00F57C42" w:rsidRDefault="000B60A9"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Pr>
        <w:t xml:space="preserve">The study </w:t>
      </w:r>
      <w:r w:rsidR="008A164B" w:rsidRPr="00F57C42">
        <w:rPr>
          <w:rFonts w:asciiTheme="majorBidi" w:hAnsiTheme="majorBidi" w:cstheme="majorBidi"/>
          <w:sz w:val="20"/>
          <w:szCs w:val="20"/>
        </w:rPr>
        <w:t>will be</w:t>
      </w:r>
      <w:r w:rsidRPr="00F57C42">
        <w:rPr>
          <w:rFonts w:asciiTheme="majorBidi" w:hAnsiTheme="majorBidi" w:cstheme="majorBidi"/>
          <w:sz w:val="20"/>
          <w:szCs w:val="20"/>
        </w:rPr>
        <w:t xml:space="preserve"> a triple-blind randomized controlled trial. The patients, investigator, and outcomes assessor will be blind to the treatment groups. To keep patients unaware of any expected treatment group benefit, patients will be informed that the effect of </w:t>
      </w:r>
      <w:r w:rsidR="00F74BF9" w:rsidRPr="00F57C42">
        <w:rPr>
          <w:rFonts w:asciiTheme="majorBidi" w:hAnsiTheme="majorBidi" w:cstheme="majorBidi"/>
          <w:sz w:val="20"/>
          <w:szCs w:val="20"/>
        </w:rPr>
        <w:t>two</w:t>
      </w:r>
      <w:r w:rsidRPr="00F57C42">
        <w:rPr>
          <w:rFonts w:asciiTheme="majorBidi" w:hAnsiTheme="majorBidi" w:cstheme="majorBidi"/>
          <w:sz w:val="20"/>
          <w:szCs w:val="20"/>
        </w:rPr>
        <w:t xml:space="preserve"> well-established therapies is to be evaluated. An independent and blinded assessor will perform the baseline and follow-up assessments. The researcher who will perform the statistical analyses will not be involved in taking the measurements. The treating physiotherapists will be blinded to the results of the measurements and questionnaires</w:t>
      </w:r>
      <w:r w:rsidR="008A164B" w:rsidRPr="00F57C42">
        <w:rPr>
          <w:rFonts w:asciiTheme="majorBidi" w:hAnsiTheme="majorBidi" w:cstheme="majorBidi"/>
          <w:sz w:val="20"/>
          <w:szCs w:val="20"/>
        </w:rPr>
        <w:t>.</w:t>
      </w:r>
    </w:p>
    <w:p w14:paraId="3A20BE50" w14:textId="09E023D2" w:rsidR="008A164B" w:rsidRPr="00F57C42" w:rsidRDefault="000B60A9"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b/>
          <w:bCs/>
          <w:sz w:val="20"/>
          <w:szCs w:val="20"/>
        </w:rPr>
        <w:lastRenderedPageBreak/>
        <w:t>Outcome measures</w:t>
      </w:r>
    </w:p>
    <w:p w14:paraId="31A6A71B" w14:textId="3B792019" w:rsidR="000B60A9" w:rsidRPr="00F57C42" w:rsidRDefault="000B60A9" w:rsidP="002A611F">
      <w:pPr>
        <w:bidi w:val="0"/>
        <w:spacing w:line="240" w:lineRule="auto"/>
        <w:ind w:firstLine="0"/>
        <w:jc w:val="lowKashida"/>
        <w:rPr>
          <w:rFonts w:asciiTheme="majorBidi" w:hAnsiTheme="majorBidi" w:cstheme="majorBidi"/>
          <w:b/>
          <w:bCs/>
          <w:sz w:val="20"/>
          <w:szCs w:val="20"/>
        </w:rPr>
      </w:pPr>
      <w:r w:rsidRPr="00F57C42">
        <w:rPr>
          <w:rFonts w:asciiTheme="majorBidi" w:hAnsiTheme="majorBidi" w:cstheme="majorBidi"/>
          <w:b/>
          <w:bCs/>
          <w:sz w:val="20"/>
          <w:szCs w:val="20"/>
        </w:rPr>
        <w:t>Primary outcome</w:t>
      </w:r>
      <w:r w:rsidR="008A164B" w:rsidRPr="00F57C42">
        <w:rPr>
          <w:rFonts w:asciiTheme="majorBidi" w:hAnsiTheme="majorBidi" w:cstheme="majorBidi"/>
          <w:b/>
          <w:bCs/>
          <w:sz w:val="20"/>
          <w:szCs w:val="20"/>
        </w:rPr>
        <w:t>:</w:t>
      </w:r>
    </w:p>
    <w:p w14:paraId="61657B97" w14:textId="77777777" w:rsidR="000B60A9" w:rsidRPr="00F57C42" w:rsidRDefault="000B60A9"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Pr>
        <w:t>The pain will be assessed through a self-reported questionnaire. This questionnaire will be used for pain assessment at baseline, post-treatment, and 1 and 4-months follow-up</w:t>
      </w:r>
      <w:r w:rsidRPr="00F57C42">
        <w:rPr>
          <w:rFonts w:asciiTheme="majorBidi" w:hAnsiTheme="majorBidi" w:cstheme="majorBidi"/>
          <w:sz w:val="20"/>
          <w:szCs w:val="20"/>
          <w:rtl/>
        </w:rPr>
        <w:t>:</w:t>
      </w:r>
    </w:p>
    <w:p w14:paraId="0D434652" w14:textId="0D2968AA" w:rsidR="000B60A9" w:rsidRPr="00F57C42" w:rsidRDefault="008A164B" w:rsidP="002A611F">
      <w:pPr>
        <w:bidi w:val="0"/>
        <w:spacing w:line="240" w:lineRule="auto"/>
        <w:ind w:left="720" w:firstLine="0"/>
        <w:jc w:val="lowKashida"/>
        <w:rPr>
          <w:rFonts w:asciiTheme="majorBidi" w:hAnsiTheme="majorBidi" w:cstheme="majorBidi"/>
          <w:sz w:val="20"/>
          <w:szCs w:val="20"/>
        </w:rPr>
      </w:pPr>
      <w:r w:rsidRPr="00F57C42">
        <w:rPr>
          <w:rFonts w:asciiTheme="majorBidi" w:hAnsiTheme="majorBidi" w:cstheme="majorBidi"/>
          <w:sz w:val="20"/>
          <w:szCs w:val="20"/>
        </w:rPr>
        <w:t xml:space="preserve">- </w:t>
      </w:r>
      <w:r w:rsidR="000B60A9" w:rsidRPr="00F57C42">
        <w:rPr>
          <w:rFonts w:asciiTheme="majorBidi" w:hAnsiTheme="majorBidi" w:cstheme="majorBidi"/>
          <w:sz w:val="20"/>
          <w:szCs w:val="20"/>
        </w:rPr>
        <w:t>A Numerical Rating Scale (NRS) for pain ranging from 0 "no</w:t>
      </w:r>
      <w:r w:rsidRPr="00F57C42">
        <w:rPr>
          <w:rFonts w:asciiTheme="majorBidi" w:hAnsiTheme="majorBidi" w:cstheme="majorBidi"/>
          <w:sz w:val="20"/>
          <w:szCs w:val="20"/>
        </w:rPr>
        <w:t xml:space="preserve"> </w:t>
      </w:r>
      <w:r w:rsidR="000B60A9" w:rsidRPr="00F57C42">
        <w:rPr>
          <w:rFonts w:asciiTheme="majorBidi" w:hAnsiTheme="majorBidi" w:cstheme="majorBidi"/>
          <w:sz w:val="20"/>
          <w:szCs w:val="20"/>
        </w:rPr>
        <w:t>pain at all" to 10 "worst imaginable pain" ("How would you rate your low back pain, on average, over the last three days?")</w:t>
      </w:r>
    </w:p>
    <w:p w14:paraId="68ED71EE" w14:textId="30D13C72" w:rsidR="000B60A9" w:rsidRPr="00F57C42" w:rsidRDefault="000B60A9" w:rsidP="002A611F">
      <w:pPr>
        <w:bidi w:val="0"/>
        <w:spacing w:line="240" w:lineRule="auto"/>
        <w:ind w:firstLine="0"/>
        <w:jc w:val="lowKashida"/>
        <w:rPr>
          <w:rFonts w:asciiTheme="majorBidi" w:hAnsiTheme="majorBidi" w:cstheme="majorBidi"/>
          <w:b/>
          <w:bCs/>
          <w:sz w:val="20"/>
          <w:szCs w:val="20"/>
        </w:rPr>
      </w:pPr>
      <w:r w:rsidRPr="00F57C42">
        <w:rPr>
          <w:rFonts w:asciiTheme="majorBidi" w:hAnsiTheme="majorBidi" w:cstheme="majorBidi"/>
          <w:b/>
          <w:bCs/>
          <w:sz w:val="20"/>
          <w:szCs w:val="20"/>
        </w:rPr>
        <w:t>Secondary outcomes</w:t>
      </w:r>
      <w:r w:rsidR="008A164B" w:rsidRPr="00F57C42">
        <w:rPr>
          <w:rFonts w:asciiTheme="majorBidi" w:hAnsiTheme="majorBidi" w:cstheme="majorBidi"/>
          <w:b/>
          <w:bCs/>
          <w:sz w:val="20"/>
          <w:szCs w:val="20"/>
        </w:rPr>
        <w:t>:</w:t>
      </w:r>
    </w:p>
    <w:p w14:paraId="7838B5DD" w14:textId="08A0E8CD" w:rsidR="000B60A9" w:rsidRPr="00F57C42" w:rsidRDefault="000B60A9" w:rsidP="002A611F">
      <w:pPr>
        <w:bidi w:val="0"/>
        <w:spacing w:line="240" w:lineRule="auto"/>
        <w:ind w:firstLine="0"/>
        <w:jc w:val="lowKashida"/>
        <w:rPr>
          <w:rFonts w:asciiTheme="majorBidi" w:hAnsiTheme="majorBidi" w:cstheme="majorBidi"/>
          <w:i/>
          <w:iCs/>
          <w:sz w:val="20"/>
          <w:szCs w:val="20"/>
        </w:rPr>
      </w:pPr>
      <w:r w:rsidRPr="00F57C42">
        <w:rPr>
          <w:rFonts w:asciiTheme="majorBidi" w:hAnsiTheme="majorBidi" w:cstheme="majorBidi"/>
          <w:i/>
          <w:iCs/>
          <w:sz w:val="20"/>
          <w:szCs w:val="20"/>
        </w:rPr>
        <w:t>Psychosocial correlates</w:t>
      </w:r>
      <w:r w:rsidR="009714A3" w:rsidRPr="00F57C42">
        <w:rPr>
          <w:rFonts w:asciiTheme="majorBidi" w:hAnsiTheme="majorBidi" w:cstheme="majorBidi"/>
          <w:i/>
          <w:iCs/>
          <w:sz w:val="20"/>
          <w:szCs w:val="20"/>
        </w:rPr>
        <w:t xml:space="preserve"> </w:t>
      </w:r>
    </w:p>
    <w:p w14:paraId="18330872" w14:textId="77777777" w:rsidR="008A164B" w:rsidRPr="00F57C42" w:rsidRDefault="000B60A9"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Pr>
        <w:t>Patients will complete some questionnaires at baseline, after 12 treatment sessions, and at 1- and 4-month follow-ups. The following standardized and reliable questionnaires (Persian version) will be used to measure psychological factors that may interfere with pain</w:t>
      </w:r>
      <w:r w:rsidR="008A164B" w:rsidRPr="00F57C42">
        <w:rPr>
          <w:rFonts w:asciiTheme="majorBidi" w:hAnsiTheme="majorBidi" w:cstheme="majorBidi"/>
          <w:sz w:val="20"/>
          <w:szCs w:val="20"/>
        </w:rPr>
        <w:t>:</w:t>
      </w:r>
    </w:p>
    <w:p w14:paraId="1D315620" w14:textId="2755E11C" w:rsidR="000B60A9" w:rsidRPr="00F57C42" w:rsidRDefault="008A164B" w:rsidP="002A611F">
      <w:pPr>
        <w:bidi w:val="0"/>
        <w:spacing w:line="240" w:lineRule="auto"/>
        <w:ind w:left="720" w:firstLine="0"/>
        <w:jc w:val="lowKashida"/>
        <w:rPr>
          <w:rFonts w:asciiTheme="majorBidi" w:hAnsiTheme="majorBidi" w:cstheme="majorBidi"/>
          <w:sz w:val="20"/>
          <w:szCs w:val="20"/>
        </w:rPr>
      </w:pPr>
      <w:r w:rsidRPr="00F57C42">
        <w:rPr>
          <w:rFonts w:asciiTheme="majorBidi" w:hAnsiTheme="majorBidi" w:cstheme="majorBidi"/>
          <w:sz w:val="20"/>
          <w:szCs w:val="20"/>
        </w:rPr>
        <w:t xml:space="preserve">- </w:t>
      </w:r>
      <w:r w:rsidR="000B60A9" w:rsidRPr="00F57C42">
        <w:rPr>
          <w:rFonts w:asciiTheme="majorBidi" w:hAnsiTheme="majorBidi" w:cstheme="majorBidi"/>
          <w:sz w:val="20"/>
          <w:szCs w:val="20"/>
        </w:rPr>
        <w:t xml:space="preserve">Self-reported pain Catastrophizing based on the Pain Catastrophizing Scale. Pain Catastrophizing Scale (PCS) will be included to assess catastrophic thinking about pain. It consists of 13 items describing different thoughts and feelings that individuals may have when experiencing pain. Items are scored on a 5-point scale, 0 "Not at all" to </w:t>
      </w:r>
      <w:r w:rsidR="00F74BF9" w:rsidRPr="00F57C42">
        <w:rPr>
          <w:rFonts w:asciiTheme="majorBidi" w:hAnsiTheme="majorBidi" w:cstheme="majorBidi"/>
          <w:sz w:val="20"/>
          <w:szCs w:val="20"/>
        </w:rPr>
        <w:t>four</w:t>
      </w:r>
      <w:r w:rsidR="000B60A9" w:rsidRPr="00F57C42">
        <w:rPr>
          <w:rFonts w:asciiTheme="majorBidi" w:hAnsiTheme="majorBidi" w:cstheme="majorBidi"/>
          <w:sz w:val="20"/>
          <w:szCs w:val="20"/>
        </w:rPr>
        <w:t xml:space="preserve"> "all the time". A general score and scores on </w:t>
      </w:r>
      <w:r w:rsidR="00F74BF9" w:rsidRPr="00F57C42">
        <w:rPr>
          <w:rFonts w:asciiTheme="majorBidi" w:hAnsiTheme="majorBidi" w:cstheme="majorBidi"/>
          <w:sz w:val="20"/>
          <w:szCs w:val="20"/>
        </w:rPr>
        <w:t>three</w:t>
      </w:r>
      <w:r w:rsidR="000B60A9" w:rsidRPr="00F57C42">
        <w:rPr>
          <w:rFonts w:asciiTheme="majorBidi" w:hAnsiTheme="majorBidi" w:cstheme="majorBidi"/>
          <w:sz w:val="20"/>
          <w:szCs w:val="20"/>
        </w:rPr>
        <w:t xml:space="preserve"> subscales (i.e., helplessness, magnification, and rumination) will be obtained; higher scores indicate more severe catastrophic thoughts about pain</w:t>
      </w:r>
      <w:r w:rsidRPr="00F57C42">
        <w:rPr>
          <w:rFonts w:asciiTheme="majorBidi" w:hAnsiTheme="majorBidi" w:cstheme="majorBidi"/>
          <w:sz w:val="20"/>
          <w:szCs w:val="20"/>
        </w:rPr>
        <w:t>.</w:t>
      </w:r>
    </w:p>
    <w:p w14:paraId="1DD1E4AD" w14:textId="77777777" w:rsidR="009714A3" w:rsidRPr="00F57C42" w:rsidRDefault="008A164B" w:rsidP="002A611F">
      <w:pPr>
        <w:bidi w:val="0"/>
        <w:spacing w:line="240" w:lineRule="auto"/>
        <w:ind w:left="720" w:firstLine="0"/>
        <w:jc w:val="lowKashida"/>
        <w:rPr>
          <w:rFonts w:asciiTheme="majorBidi" w:hAnsiTheme="majorBidi" w:cstheme="majorBidi"/>
          <w:sz w:val="20"/>
          <w:szCs w:val="20"/>
        </w:rPr>
      </w:pPr>
      <w:r w:rsidRPr="00F57C42">
        <w:rPr>
          <w:rFonts w:asciiTheme="majorBidi" w:hAnsiTheme="majorBidi" w:cstheme="majorBidi"/>
          <w:sz w:val="20"/>
          <w:szCs w:val="20"/>
        </w:rPr>
        <w:t xml:space="preserve">- </w:t>
      </w:r>
      <w:r w:rsidR="000B60A9" w:rsidRPr="00F57C42">
        <w:rPr>
          <w:rFonts w:asciiTheme="majorBidi" w:hAnsiTheme="majorBidi" w:cstheme="majorBidi"/>
          <w:sz w:val="20"/>
          <w:szCs w:val="20"/>
        </w:rPr>
        <w:t>Self-reported kinesiophobia based on the Tampa scale of kinesiophobia. The Tampa Scale for Kinesiophobia (TSK) is a 17-item questionnaire that will be used to measure the fear of(re) injury due to movement. Scores range from 17 to 68, with scores ≤ 37 suggesting low fear of movement and scores &gt; 37 indicating high fear of movement. The TSK-Persian version that will be used in this study is shown reliable and valid</w:t>
      </w:r>
      <w:r w:rsidRPr="00F57C42">
        <w:rPr>
          <w:rFonts w:asciiTheme="majorBidi" w:hAnsiTheme="majorBidi" w:cstheme="majorBidi"/>
          <w:sz w:val="20"/>
          <w:szCs w:val="20"/>
        </w:rPr>
        <w:t>.</w:t>
      </w:r>
    </w:p>
    <w:p w14:paraId="4C9E2EB8" w14:textId="77777777" w:rsidR="009714A3" w:rsidRPr="00F57C42" w:rsidRDefault="009714A3" w:rsidP="002A611F">
      <w:pPr>
        <w:bidi w:val="0"/>
        <w:spacing w:line="240" w:lineRule="auto"/>
        <w:ind w:left="720" w:firstLine="0"/>
        <w:jc w:val="lowKashida"/>
        <w:rPr>
          <w:rFonts w:asciiTheme="majorBidi" w:hAnsiTheme="majorBidi" w:cstheme="majorBidi"/>
          <w:sz w:val="20"/>
          <w:szCs w:val="20"/>
        </w:rPr>
      </w:pPr>
      <w:r w:rsidRPr="00F57C42">
        <w:rPr>
          <w:rFonts w:asciiTheme="majorBidi" w:hAnsiTheme="majorBidi" w:cstheme="majorBidi"/>
          <w:sz w:val="20"/>
          <w:szCs w:val="20"/>
        </w:rPr>
        <w:t xml:space="preserve">- </w:t>
      </w:r>
      <w:r w:rsidR="000B60A9" w:rsidRPr="00F57C42">
        <w:rPr>
          <w:rFonts w:asciiTheme="majorBidi" w:hAnsiTheme="majorBidi" w:cstheme="majorBidi"/>
          <w:sz w:val="20"/>
          <w:szCs w:val="20"/>
        </w:rPr>
        <w:t xml:space="preserve">Self-reported Fear Avoidance Believes based on Fear Avoidance Believes questionnaire. Fear Avoidance Believes questionnaire (FABQ) is a 16-item self-reporting questionnaire evaluating patients' </w:t>
      </w:r>
      <w:bookmarkStart w:id="1" w:name="_Hlk105532513"/>
      <w:r w:rsidR="000B60A9" w:rsidRPr="00F57C42">
        <w:rPr>
          <w:rFonts w:asciiTheme="majorBidi" w:hAnsiTheme="majorBidi" w:cstheme="majorBidi"/>
          <w:sz w:val="20"/>
          <w:szCs w:val="20"/>
        </w:rPr>
        <w:t>attitudes and beliefs toward the effect of physical activity and work on their pain</w:t>
      </w:r>
      <w:bookmarkEnd w:id="1"/>
      <w:r w:rsidR="000B60A9" w:rsidRPr="00F57C42">
        <w:rPr>
          <w:rFonts w:asciiTheme="majorBidi" w:hAnsiTheme="majorBidi" w:cstheme="majorBidi"/>
          <w:sz w:val="20"/>
          <w:szCs w:val="20"/>
        </w:rPr>
        <w:t xml:space="preserve">. The FABQ is divided into two subscales which are designed to assess beliefs about work and physical activity. The agreement of patients with each item will be scored by a 7-point Likert scale, ranging from 0 (completely disagree) to </w:t>
      </w:r>
      <w:r w:rsidR="00F74BF9" w:rsidRPr="00F57C42">
        <w:rPr>
          <w:rFonts w:asciiTheme="majorBidi" w:hAnsiTheme="majorBidi" w:cstheme="majorBidi"/>
          <w:sz w:val="20"/>
          <w:szCs w:val="20"/>
        </w:rPr>
        <w:t>six</w:t>
      </w:r>
      <w:r w:rsidR="000B60A9" w:rsidRPr="00F57C42">
        <w:rPr>
          <w:rFonts w:asciiTheme="majorBidi" w:hAnsiTheme="majorBidi" w:cstheme="majorBidi"/>
          <w:sz w:val="20"/>
          <w:szCs w:val="20"/>
        </w:rPr>
        <w:t xml:space="preserve"> (completely agree). Higher FABQ scores indicate higher fear-avoidance beliefs</w:t>
      </w:r>
      <w:r w:rsidR="008A164B" w:rsidRPr="00F57C42">
        <w:rPr>
          <w:rFonts w:asciiTheme="majorBidi" w:hAnsiTheme="majorBidi" w:cstheme="majorBidi"/>
          <w:sz w:val="20"/>
          <w:szCs w:val="20"/>
        </w:rPr>
        <w:t>.</w:t>
      </w:r>
    </w:p>
    <w:p w14:paraId="4516C678" w14:textId="200FA5F0" w:rsidR="009714A3" w:rsidRPr="00F57C42" w:rsidRDefault="000B60A9" w:rsidP="002A611F">
      <w:pPr>
        <w:bidi w:val="0"/>
        <w:spacing w:line="240" w:lineRule="auto"/>
        <w:ind w:firstLine="0"/>
        <w:jc w:val="lowKashida"/>
        <w:rPr>
          <w:rFonts w:asciiTheme="majorBidi" w:hAnsiTheme="majorBidi" w:cstheme="majorBidi"/>
          <w:i/>
          <w:iCs/>
          <w:sz w:val="20"/>
          <w:szCs w:val="20"/>
        </w:rPr>
      </w:pPr>
      <w:r w:rsidRPr="00F57C42">
        <w:rPr>
          <w:rFonts w:asciiTheme="majorBidi" w:hAnsiTheme="majorBidi" w:cstheme="majorBidi"/>
          <w:i/>
          <w:iCs/>
          <w:sz w:val="20"/>
          <w:szCs w:val="20"/>
        </w:rPr>
        <w:t>Quality of Life</w:t>
      </w:r>
    </w:p>
    <w:p w14:paraId="023BAB81" w14:textId="3285C53B" w:rsidR="000B60A9" w:rsidRPr="00F57C42" w:rsidRDefault="009714A3" w:rsidP="002A611F">
      <w:pPr>
        <w:bidi w:val="0"/>
        <w:spacing w:line="240" w:lineRule="auto"/>
        <w:ind w:left="720" w:firstLine="0"/>
        <w:jc w:val="lowKashida"/>
        <w:rPr>
          <w:rFonts w:asciiTheme="majorBidi" w:hAnsiTheme="majorBidi" w:cstheme="majorBidi"/>
          <w:sz w:val="20"/>
          <w:szCs w:val="20"/>
        </w:rPr>
      </w:pPr>
      <w:r w:rsidRPr="00F57C42">
        <w:rPr>
          <w:rFonts w:asciiTheme="majorBidi" w:hAnsiTheme="majorBidi" w:cstheme="majorBidi"/>
          <w:sz w:val="20"/>
          <w:szCs w:val="20"/>
        </w:rPr>
        <w:t xml:space="preserve">- </w:t>
      </w:r>
      <w:r w:rsidR="000B60A9" w:rsidRPr="00F57C42">
        <w:rPr>
          <w:rFonts w:asciiTheme="majorBidi" w:hAnsiTheme="majorBidi" w:cstheme="majorBidi"/>
          <w:sz w:val="20"/>
          <w:szCs w:val="20"/>
        </w:rPr>
        <w:t xml:space="preserve">The 36 Health Status Survey (SF-36) will be used to assess functional status and well-being or quality of life. The SF-36 contains </w:t>
      </w:r>
      <w:r w:rsidRPr="00F57C42">
        <w:rPr>
          <w:rFonts w:asciiTheme="majorBidi" w:hAnsiTheme="majorBidi" w:cstheme="majorBidi"/>
          <w:sz w:val="20"/>
          <w:szCs w:val="20"/>
        </w:rPr>
        <w:t>eight</w:t>
      </w:r>
      <w:r w:rsidR="000B60A9" w:rsidRPr="00F57C42">
        <w:rPr>
          <w:rFonts w:asciiTheme="majorBidi" w:hAnsiTheme="majorBidi" w:cstheme="majorBidi"/>
          <w:sz w:val="20"/>
          <w:szCs w:val="20"/>
        </w:rPr>
        <w:t xml:space="preserve"> dimensions (physical functioning, social functioning, physical role, emotional role, mental health, vitality, bodily pain, and general health perceptions). The overall value ranges from 0 to 100, with improvement as scores increase. The psychometric properties of the SF-36 are well-characterized in a wide variety of patient populations</w:t>
      </w:r>
      <w:r w:rsidR="000B60A9" w:rsidRPr="00F57C42">
        <w:rPr>
          <w:rFonts w:asciiTheme="majorBidi" w:hAnsiTheme="majorBidi" w:cstheme="majorBidi"/>
          <w:sz w:val="20"/>
          <w:szCs w:val="20"/>
          <w:rtl/>
        </w:rPr>
        <w:t>.</w:t>
      </w:r>
    </w:p>
    <w:p w14:paraId="462F211F" w14:textId="47E93F5B" w:rsidR="000B60A9" w:rsidRPr="00F57C42" w:rsidRDefault="009714A3" w:rsidP="002A611F">
      <w:pPr>
        <w:bidi w:val="0"/>
        <w:spacing w:line="240" w:lineRule="auto"/>
        <w:ind w:firstLine="0"/>
        <w:jc w:val="lowKashida"/>
        <w:rPr>
          <w:rFonts w:asciiTheme="majorBidi" w:hAnsiTheme="majorBidi" w:cstheme="majorBidi"/>
          <w:i/>
          <w:iCs/>
          <w:sz w:val="20"/>
          <w:szCs w:val="20"/>
        </w:rPr>
      </w:pPr>
      <w:r w:rsidRPr="00F57C42">
        <w:rPr>
          <w:rFonts w:asciiTheme="majorBidi" w:hAnsiTheme="majorBidi" w:cstheme="majorBidi"/>
          <w:i/>
          <w:iCs/>
          <w:sz w:val="20"/>
          <w:szCs w:val="20"/>
        </w:rPr>
        <w:t xml:space="preserve"> </w:t>
      </w:r>
      <w:r w:rsidR="000B60A9" w:rsidRPr="00F57C42">
        <w:rPr>
          <w:rFonts w:asciiTheme="majorBidi" w:hAnsiTheme="majorBidi" w:cstheme="majorBidi"/>
          <w:i/>
          <w:iCs/>
          <w:sz w:val="20"/>
          <w:szCs w:val="20"/>
        </w:rPr>
        <w:t>Disability</w:t>
      </w:r>
    </w:p>
    <w:p w14:paraId="19167104" w14:textId="19040823" w:rsidR="000B60A9" w:rsidRPr="00F57C42" w:rsidRDefault="009714A3" w:rsidP="002A611F">
      <w:pPr>
        <w:bidi w:val="0"/>
        <w:spacing w:line="240" w:lineRule="auto"/>
        <w:ind w:left="720" w:firstLine="0"/>
        <w:jc w:val="lowKashida"/>
        <w:rPr>
          <w:rFonts w:asciiTheme="majorBidi" w:hAnsiTheme="majorBidi" w:cstheme="majorBidi"/>
          <w:sz w:val="20"/>
          <w:szCs w:val="20"/>
        </w:rPr>
      </w:pPr>
      <w:r w:rsidRPr="00F57C42">
        <w:rPr>
          <w:rFonts w:asciiTheme="majorBidi" w:hAnsiTheme="majorBidi" w:cstheme="majorBidi"/>
          <w:sz w:val="20"/>
          <w:szCs w:val="20"/>
        </w:rPr>
        <w:t xml:space="preserve">- </w:t>
      </w:r>
      <w:r w:rsidR="000B60A9" w:rsidRPr="00F57C42">
        <w:rPr>
          <w:rFonts w:asciiTheme="majorBidi" w:hAnsiTheme="majorBidi" w:cstheme="majorBidi"/>
          <w:sz w:val="20"/>
          <w:szCs w:val="20"/>
        </w:rPr>
        <w:t>Self-reported disability based on the Oswestry Disability Index Questionnaire. The Oswestry Disability Index is currently considered for measuring the degree of disability in patients with low back pain. The questionnaire contains ten topics concerning the intensity of pain, lifting, ability to care for oneself, ability to walk, ability to sit, sexual function, ability to stand, social life, sleep quality, and ability to travel. Each question is scored on a scale of 0-5 with the first statement being zero and indicating the least amount of disability and the last statement is scored 5 indicating the most severe disability. The scores for all questions answered are summed and a higher score indicates greater disability</w:t>
      </w:r>
      <w:r w:rsidR="008A164B" w:rsidRPr="00F57C42">
        <w:rPr>
          <w:rFonts w:asciiTheme="majorBidi" w:hAnsiTheme="majorBidi" w:cstheme="majorBidi"/>
          <w:sz w:val="20"/>
          <w:szCs w:val="20"/>
        </w:rPr>
        <w:t>.</w:t>
      </w:r>
    </w:p>
    <w:p w14:paraId="0CFA6D44" w14:textId="079C016F" w:rsidR="000B60A9" w:rsidRPr="00F57C42" w:rsidRDefault="000B60A9" w:rsidP="002A611F">
      <w:pPr>
        <w:bidi w:val="0"/>
        <w:spacing w:line="240" w:lineRule="auto"/>
        <w:ind w:firstLine="0"/>
        <w:jc w:val="lowKashida"/>
        <w:rPr>
          <w:rFonts w:asciiTheme="majorBidi" w:hAnsiTheme="majorBidi" w:cstheme="majorBidi"/>
          <w:i/>
          <w:iCs/>
          <w:sz w:val="20"/>
          <w:szCs w:val="20"/>
        </w:rPr>
      </w:pPr>
      <w:r w:rsidRPr="00F57C42">
        <w:rPr>
          <w:rFonts w:asciiTheme="majorBidi" w:hAnsiTheme="majorBidi" w:cstheme="majorBidi"/>
          <w:i/>
          <w:iCs/>
          <w:sz w:val="20"/>
          <w:szCs w:val="20"/>
        </w:rPr>
        <w:t>Forward flexion range of motion (ROM</w:t>
      </w:r>
      <w:r w:rsidR="008A164B" w:rsidRPr="00F57C42">
        <w:rPr>
          <w:rFonts w:asciiTheme="majorBidi" w:hAnsiTheme="majorBidi" w:cstheme="majorBidi"/>
          <w:i/>
          <w:iCs/>
          <w:sz w:val="20"/>
          <w:szCs w:val="20"/>
        </w:rPr>
        <w:t>)</w:t>
      </w:r>
    </w:p>
    <w:p w14:paraId="667D20F0" w14:textId="77777777" w:rsidR="009714A3" w:rsidRPr="00F57C42" w:rsidRDefault="000B60A9" w:rsidP="002A611F">
      <w:pPr>
        <w:bidi w:val="0"/>
        <w:spacing w:line="240" w:lineRule="auto"/>
        <w:ind w:left="720" w:firstLine="0"/>
        <w:jc w:val="lowKashida"/>
        <w:rPr>
          <w:rFonts w:asciiTheme="majorBidi" w:hAnsiTheme="majorBidi" w:cstheme="majorBidi"/>
          <w:sz w:val="20"/>
          <w:szCs w:val="20"/>
        </w:rPr>
      </w:pPr>
      <w:r w:rsidRPr="00F57C42">
        <w:rPr>
          <w:rFonts w:asciiTheme="majorBidi" w:hAnsiTheme="majorBidi" w:cstheme="majorBidi"/>
          <w:sz w:val="20"/>
          <w:szCs w:val="20"/>
        </w:rPr>
        <w:t>Forward flexion ROM will be measured by the third finger to ground distance by a meter</w:t>
      </w:r>
      <w:r w:rsidRPr="00F57C42">
        <w:rPr>
          <w:rFonts w:asciiTheme="majorBidi" w:hAnsiTheme="majorBidi" w:cstheme="majorBidi"/>
          <w:sz w:val="20"/>
          <w:szCs w:val="20"/>
          <w:rtl/>
        </w:rPr>
        <w:t>.</w:t>
      </w:r>
    </w:p>
    <w:p w14:paraId="431BF3C2" w14:textId="06EFAB16" w:rsidR="009714A3" w:rsidRPr="00F57C42" w:rsidRDefault="000B60A9" w:rsidP="002A611F">
      <w:pPr>
        <w:bidi w:val="0"/>
        <w:spacing w:line="240" w:lineRule="auto"/>
        <w:ind w:firstLine="0"/>
        <w:jc w:val="lowKashida"/>
        <w:rPr>
          <w:rFonts w:asciiTheme="majorBidi" w:hAnsiTheme="majorBidi" w:cstheme="majorBidi"/>
          <w:i/>
          <w:iCs/>
          <w:sz w:val="20"/>
          <w:szCs w:val="20"/>
        </w:rPr>
      </w:pPr>
      <w:r w:rsidRPr="00F57C42">
        <w:rPr>
          <w:rFonts w:asciiTheme="majorBidi" w:hAnsiTheme="majorBidi" w:cstheme="majorBidi"/>
          <w:i/>
          <w:iCs/>
          <w:sz w:val="20"/>
          <w:szCs w:val="20"/>
        </w:rPr>
        <w:t>Brain function</w:t>
      </w:r>
    </w:p>
    <w:p w14:paraId="25C26913" w14:textId="17960100" w:rsidR="000B60A9" w:rsidRPr="00F57C42" w:rsidRDefault="000B60A9" w:rsidP="002A611F">
      <w:pPr>
        <w:bidi w:val="0"/>
        <w:spacing w:line="240" w:lineRule="auto"/>
        <w:ind w:left="567" w:firstLine="0"/>
        <w:jc w:val="lowKashida"/>
        <w:rPr>
          <w:rFonts w:asciiTheme="majorBidi" w:hAnsiTheme="majorBidi" w:cstheme="majorBidi"/>
          <w:sz w:val="20"/>
          <w:szCs w:val="20"/>
        </w:rPr>
      </w:pPr>
      <w:r w:rsidRPr="00F57C42">
        <w:rPr>
          <w:rFonts w:asciiTheme="majorBidi" w:hAnsiTheme="majorBidi" w:cstheme="majorBidi"/>
          <w:sz w:val="20"/>
          <w:szCs w:val="20"/>
        </w:rPr>
        <w:t xml:space="preserve">Thalamocortical Dysrhythmia (TCD) is an abnormal oscillatory change that is seen in the frequencies EEG spectrum in the somatosensory cortex and the thalamocortical loop in EEG. In this study, EEG will be recorded </w:t>
      </w:r>
      <w:r w:rsidRPr="00F57C42">
        <w:rPr>
          <w:rFonts w:asciiTheme="majorBidi" w:hAnsiTheme="majorBidi" w:cstheme="majorBidi"/>
          <w:sz w:val="20"/>
          <w:szCs w:val="20"/>
        </w:rPr>
        <w:lastRenderedPageBreak/>
        <w:t xml:space="preserve">(bandwidth is 0-0 70 Hz, the pass filter is 60-0.05 Hz, the impedance is less than 20 kHz and the sampling rate is 512 Hz) with 64 channel </w:t>
      </w:r>
      <w:r w:rsidR="009F6034" w:rsidRPr="00F57C42">
        <w:rPr>
          <w:rFonts w:asciiTheme="majorBidi" w:hAnsiTheme="majorBidi" w:cstheme="majorBidi"/>
          <w:sz w:val="20"/>
          <w:szCs w:val="20"/>
        </w:rPr>
        <w:t>amplifier</w:t>
      </w:r>
      <w:r w:rsidRPr="00F57C42">
        <w:rPr>
          <w:rFonts w:asciiTheme="majorBidi" w:hAnsiTheme="majorBidi" w:cstheme="majorBidi"/>
          <w:sz w:val="20"/>
          <w:szCs w:val="20"/>
        </w:rPr>
        <w:t xml:space="preserve"> (EB Neuro, Italy) according to the international 10/20 system, from 1</w:t>
      </w:r>
      <w:r w:rsidR="009714A3" w:rsidRPr="00F57C42">
        <w:rPr>
          <w:rFonts w:asciiTheme="majorBidi" w:hAnsiTheme="majorBidi" w:cstheme="majorBidi"/>
          <w:sz w:val="20"/>
          <w:szCs w:val="20"/>
        </w:rPr>
        <w:t>9</w:t>
      </w:r>
      <w:r w:rsidRPr="00F57C42">
        <w:rPr>
          <w:rFonts w:asciiTheme="majorBidi" w:hAnsiTheme="majorBidi" w:cstheme="majorBidi"/>
          <w:sz w:val="20"/>
          <w:szCs w:val="20"/>
        </w:rPr>
        <w:t xml:space="preserve"> Ag/AgCl surface electrodes and a diameter of 8 mm electrode sites distributed throughout the whole head of the participants. The 1</w:t>
      </w:r>
      <w:r w:rsidR="008A164B" w:rsidRPr="00F57C42">
        <w:rPr>
          <w:rFonts w:asciiTheme="majorBidi" w:hAnsiTheme="majorBidi" w:cstheme="majorBidi"/>
          <w:sz w:val="20"/>
          <w:szCs w:val="20"/>
        </w:rPr>
        <w:t>9</w:t>
      </w:r>
      <w:r w:rsidRPr="00F57C42">
        <w:rPr>
          <w:rFonts w:asciiTheme="majorBidi" w:hAnsiTheme="majorBidi" w:cstheme="majorBidi"/>
          <w:sz w:val="20"/>
          <w:szCs w:val="20"/>
        </w:rPr>
        <w:t xml:space="preserve"> electrodes will be placed </w:t>
      </w:r>
      <w:r w:rsidR="009F6034" w:rsidRPr="00F57C42">
        <w:rPr>
          <w:rFonts w:asciiTheme="majorBidi" w:hAnsiTheme="majorBidi" w:cstheme="majorBidi"/>
          <w:sz w:val="20"/>
          <w:szCs w:val="20"/>
        </w:rPr>
        <w:t>in Fp</w:t>
      </w:r>
      <w:r w:rsidRPr="00F57C42">
        <w:rPr>
          <w:rFonts w:asciiTheme="majorBidi" w:hAnsiTheme="majorBidi" w:cstheme="majorBidi"/>
          <w:sz w:val="20"/>
          <w:szCs w:val="20"/>
        </w:rPr>
        <w:t>1, Fp2, F7, F3, Fz, F4, F8,</w:t>
      </w:r>
      <w:r w:rsidR="00F74BF9" w:rsidRPr="00F57C42">
        <w:rPr>
          <w:rFonts w:asciiTheme="majorBidi" w:hAnsiTheme="majorBidi" w:cstheme="majorBidi"/>
          <w:sz w:val="20"/>
          <w:szCs w:val="20"/>
        </w:rPr>
        <w:t xml:space="preserve"> </w:t>
      </w:r>
      <w:r w:rsidR="008A164B" w:rsidRPr="00F57C42">
        <w:rPr>
          <w:rFonts w:asciiTheme="majorBidi" w:hAnsiTheme="majorBidi" w:cstheme="majorBidi"/>
          <w:sz w:val="20"/>
          <w:szCs w:val="20"/>
        </w:rPr>
        <w:t>T3,</w:t>
      </w:r>
      <w:r w:rsidRPr="00F57C42">
        <w:rPr>
          <w:rFonts w:asciiTheme="majorBidi" w:hAnsiTheme="majorBidi" w:cstheme="majorBidi"/>
          <w:sz w:val="20"/>
          <w:szCs w:val="20"/>
        </w:rPr>
        <w:t xml:space="preserve"> C3, Cz, C4,</w:t>
      </w:r>
      <w:r w:rsidR="008A164B" w:rsidRPr="00F57C42">
        <w:rPr>
          <w:rFonts w:asciiTheme="majorBidi" w:hAnsiTheme="majorBidi" w:cstheme="majorBidi"/>
          <w:sz w:val="20"/>
          <w:szCs w:val="20"/>
        </w:rPr>
        <w:t xml:space="preserve"> T4, T5,</w:t>
      </w:r>
      <w:r w:rsidRPr="00F57C42">
        <w:rPr>
          <w:rFonts w:asciiTheme="majorBidi" w:hAnsiTheme="majorBidi" w:cstheme="majorBidi"/>
          <w:sz w:val="20"/>
          <w:szCs w:val="20"/>
        </w:rPr>
        <w:t xml:space="preserve"> P3, Pz, P4,</w:t>
      </w:r>
      <w:r w:rsidR="008A164B" w:rsidRPr="00F57C42">
        <w:rPr>
          <w:rFonts w:asciiTheme="majorBidi" w:hAnsiTheme="majorBidi" w:cstheme="majorBidi"/>
          <w:sz w:val="20"/>
          <w:szCs w:val="20"/>
        </w:rPr>
        <w:t xml:space="preserve"> T6,</w:t>
      </w:r>
      <w:r w:rsidRPr="00F57C42">
        <w:rPr>
          <w:rFonts w:asciiTheme="majorBidi" w:hAnsiTheme="majorBidi" w:cstheme="majorBidi"/>
          <w:sz w:val="20"/>
          <w:szCs w:val="20"/>
        </w:rPr>
        <w:t xml:space="preserve"> </w:t>
      </w:r>
      <w:r w:rsidR="008A164B" w:rsidRPr="00F57C42">
        <w:rPr>
          <w:rFonts w:asciiTheme="majorBidi" w:hAnsiTheme="majorBidi" w:cstheme="majorBidi"/>
          <w:sz w:val="20"/>
          <w:szCs w:val="20"/>
        </w:rPr>
        <w:t>O</w:t>
      </w:r>
      <w:r w:rsidRPr="00F57C42">
        <w:rPr>
          <w:rFonts w:asciiTheme="majorBidi" w:hAnsiTheme="majorBidi" w:cstheme="majorBidi"/>
          <w:sz w:val="20"/>
          <w:szCs w:val="20"/>
        </w:rPr>
        <w:t xml:space="preserve">1, and </w:t>
      </w:r>
      <w:r w:rsidR="00A64B55" w:rsidRPr="00F57C42">
        <w:rPr>
          <w:rFonts w:asciiTheme="majorBidi" w:hAnsiTheme="majorBidi" w:cstheme="majorBidi"/>
          <w:sz w:val="20"/>
          <w:szCs w:val="20"/>
        </w:rPr>
        <w:t>O</w:t>
      </w:r>
      <w:r w:rsidRPr="00F57C42">
        <w:rPr>
          <w:rFonts w:asciiTheme="majorBidi" w:hAnsiTheme="majorBidi" w:cstheme="majorBidi"/>
          <w:sz w:val="20"/>
          <w:szCs w:val="20"/>
        </w:rPr>
        <w:t xml:space="preserve">2. TCD will be performed in the above areas in the frequency range of delta, theta, alpha, beta, and gamma, and the relative and absolute power levels of each will be evaluated. </w:t>
      </w:r>
      <w:r w:rsidR="0065372C" w:rsidRPr="00F57C42">
        <w:rPr>
          <w:rFonts w:asciiTheme="majorBidi" w:hAnsiTheme="majorBidi" w:cstheme="majorBidi"/>
          <w:sz w:val="20"/>
          <w:szCs w:val="20"/>
        </w:rPr>
        <w:t>R</w:t>
      </w:r>
      <w:r w:rsidRPr="00F57C42">
        <w:rPr>
          <w:rFonts w:asciiTheme="majorBidi" w:hAnsiTheme="majorBidi" w:cstheme="majorBidi"/>
          <w:sz w:val="20"/>
          <w:szCs w:val="20"/>
        </w:rPr>
        <w:t>eference electrode</w:t>
      </w:r>
      <w:r w:rsidR="0065372C" w:rsidRPr="00F57C42">
        <w:rPr>
          <w:rFonts w:asciiTheme="majorBidi" w:hAnsiTheme="majorBidi" w:cstheme="majorBidi"/>
          <w:sz w:val="20"/>
          <w:szCs w:val="20"/>
        </w:rPr>
        <w:t>s</w:t>
      </w:r>
      <w:r w:rsidRPr="00F57C42">
        <w:rPr>
          <w:rFonts w:asciiTheme="majorBidi" w:hAnsiTheme="majorBidi" w:cstheme="majorBidi"/>
          <w:sz w:val="20"/>
          <w:szCs w:val="20"/>
        </w:rPr>
        <w:t xml:space="preserve"> </w:t>
      </w:r>
      <w:r w:rsidR="0065372C" w:rsidRPr="00F57C42">
        <w:rPr>
          <w:rFonts w:asciiTheme="majorBidi" w:hAnsiTheme="majorBidi" w:cstheme="majorBidi"/>
          <w:sz w:val="20"/>
          <w:szCs w:val="20"/>
        </w:rPr>
        <w:t>will be</w:t>
      </w:r>
      <w:r w:rsidRPr="00F57C42">
        <w:rPr>
          <w:rFonts w:asciiTheme="majorBidi" w:hAnsiTheme="majorBidi" w:cstheme="majorBidi"/>
          <w:sz w:val="20"/>
          <w:szCs w:val="20"/>
        </w:rPr>
        <w:t xml:space="preserve"> placed on the mastoid process</w:t>
      </w:r>
      <w:r w:rsidR="0065372C" w:rsidRPr="00F57C42">
        <w:rPr>
          <w:rFonts w:asciiTheme="majorBidi" w:hAnsiTheme="majorBidi" w:cstheme="majorBidi"/>
          <w:sz w:val="20"/>
          <w:szCs w:val="20"/>
        </w:rPr>
        <w:t xml:space="preserve">es (A1 and A2) </w:t>
      </w:r>
      <w:r w:rsidRPr="00F57C42">
        <w:rPr>
          <w:rFonts w:asciiTheme="majorBidi" w:hAnsiTheme="majorBidi" w:cstheme="majorBidi"/>
          <w:sz w:val="20"/>
          <w:szCs w:val="20"/>
        </w:rPr>
        <w:t xml:space="preserve">and a ground electrode </w:t>
      </w:r>
      <w:r w:rsidR="0065372C" w:rsidRPr="00F57C42">
        <w:rPr>
          <w:rFonts w:asciiTheme="majorBidi" w:hAnsiTheme="majorBidi" w:cstheme="majorBidi"/>
          <w:sz w:val="20"/>
          <w:szCs w:val="20"/>
        </w:rPr>
        <w:t>will be</w:t>
      </w:r>
      <w:r w:rsidRPr="00F57C42">
        <w:rPr>
          <w:rFonts w:asciiTheme="majorBidi" w:hAnsiTheme="majorBidi" w:cstheme="majorBidi"/>
          <w:sz w:val="20"/>
          <w:szCs w:val="20"/>
        </w:rPr>
        <w:t xml:space="preserve"> placed on the Fpz region. To record vertical and horizontal electrooculogram, a pair of electrodes above and below the right eye and another pair are placed on either side of each eye. With the electrooculogram and the </w:t>
      </w:r>
      <w:r w:rsidR="00A64B55" w:rsidRPr="00F57C42">
        <w:rPr>
          <w:rFonts w:asciiTheme="majorBidi" w:hAnsiTheme="majorBidi" w:cstheme="majorBidi"/>
          <w:sz w:val="20"/>
          <w:szCs w:val="20"/>
        </w:rPr>
        <w:t>O</w:t>
      </w:r>
      <w:r w:rsidRPr="00F57C42">
        <w:rPr>
          <w:rFonts w:asciiTheme="majorBidi" w:hAnsiTheme="majorBidi" w:cstheme="majorBidi"/>
          <w:sz w:val="20"/>
          <w:szCs w:val="20"/>
        </w:rPr>
        <w:t xml:space="preserve">1 and </w:t>
      </w:r>
      <w:r w:rsidR="00A64B55" w:rsidRPr="00F57C42">
        <w:rPr>
          <w:rFonts w:asciiTheme="majorBidi" w:hAnsiTheme="majorBidi" w:cstheme="majorBidi"/>
          <w:sz w:val="20"/>
          <w:szCs w:val="20"/>
        </w:rPr>
        <w:t>O</w:t>
      </w:r>
      <w:r w:rsidRPr="00F57C42">
        <w:rPr>
          <w:rFonts w:asciiTheme="majorBidi" w:hAnsiTheme="majorBidi" w:cstheme="majorBidi"/>
          <w:sz w:val="20"/>
          <w:szCs w:val="20"/>
        </w:rPr>
        <w:t>2 electrodes, blinking and eye movement artifacts are controlled.</w:t>
      </w:r>
      <w:r w:rsidR="0065372C" w:rsidRPr="00F57C42">
        <w:rPr>
          <w:rFonts w:asciiTheme="majorBidi" w:hAnsiTheme="majorBidi" w:cstheme="majorBidi"/>
          <w:sz w:val="20"/>
          <w:szCs w:val="20"/>
        </w:rPr>
        <w:t xml:space="preserve"> </w:t>
      </w:r>
      <w:r w:rsidR="0065372C" w:rsidRPr="00F57C42">
        <w:rPr>
          <w:rFonts w:asciiTheme="majorBidi" w:hAnsiTheme="majorBidi" w:cstheme="majorBidi"/>
          <w:color w:val="000000"/>
          <w:sz w:val="20"/>
          <w:szCs w:val="20"/>
        </w:rPr>
        <w:t xml:space="preserve">Measurements took place between 9 and 12 am to avoid sleepiness. All participants had to abstain from caffeine on the day of the test. The EEG assessment took place in a sound and electromagnetically attenuated chamber. EEG will be recorded under two conditions: an eyes-open resting state and lumbar forward flexion. For the open-eye condition, participants will sit comfortably in a chair. They should avoid excessive body and eye movements and relax their minds for 3 minutes. For the lumbar forward flexion condition, the participants will stand with their legs wide at shoulder width and their hands cross on their shoulders for 5 seconds. Then they will forward flexed for 5 seconds. After that, they will remain in the forward flexion position for 5 seconds. Next, they will return to their starting position in 5 seconds. The whole test lasted 20 seconds. </w:t>
      </w:r>
      <w:r w:rsidRPr="00F57C42">
        <w:rPr>
          <w:rFonts w:asciiTheme="majorBidi" w:hAnsiTheme="majorBidi" w:cstheme="majorBidi"/>
          <w:sz w:val="20"/>
          <w:szCs w:val="20"/>
        </w:rPr>
        <w:t xml:space="preserve"> </w:t>
      </w:r>
    </w:p>
    <w:p w14:paraId="2E45D618" w14:textId="77777777" w:rsidR="000B60A9" w:rsidRPr="00F57C42" w:rsidRDefault="000B60A9" w:rsidP="002A611F">
      <w:pPr>
        <w:bidi w:val="0"/>
        <w:spacing w:line="240" w:lineRule="auto"/>
        <w:ind w:firstLine="0"/>
        <w:jc w:val="lowKashida"/>
        <w:rPr>
          <w:rFonts w:asciiTheme="majorBidi" w:hAnsiTheme="majorBidi" w:cstheme="majorBidi"/>
          <w:b/>
          <w:bCs/>
          <w:sz w:val="20"/>
          <w:szCs w:val="20"/>
        </w:rPr>
      </w:pPr>
      <w:r w:rsidRPr="00F57C42">
        <w:rPr>
          <w:rFonts w:asciiTheme="majorBidi" w:hAnsiTheme="majorBidi" w:cstheme="majorBidi"/>
          <w:b/>
          <w:bCs/>
          <w:sz w:val="20"/>
          <w:szCs w:val="20"/>
        </w:rPr>
        <w:t>Interventions</w:t>
      </w:r>
    </w:p>
    <w:p w14:paraId="4833288A" w14:textId="55AC6C58" w:rsidR="000B60A9" w:rsidRPr="00F57C42" w:rsidRDefault="000B60A9"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Pr>
        <w:t>Within 6-weeks, patients in each group will receive 12 treatment sessions from their trained physiotherapists</w:t>
      </w:r>
      <w:r w:rsidR="0065372C" w:rsidRPr="00F57C42">
        <w:rPr>
          <w:rFonts w:asciiTheme="majorBidi" w:hAnsiTheme="majorBidi" w:cstheme="majorBidi"/>
          <w:sz w:val="20"/>
          <w:szCs w:val="20"/>
        </w:rPr>
        <w:t>.</w:t>
      </w:r>
    </w:p>
    <w:p w14:paraId="6DA71D75" w14:textId="52C53DDD" w:rsidR="000B60A9" w:rsidRPr="00F57C42" w:rsidRDefault="000B60A9" w:rsidP="002A611F">
      <w:pPr>
        <w:bidi w:val="0"/>
        <w:spacing w:line="240" w:lineRule="auto"/>
        <w:ind w:firstLine="0"/>
        <w:jc w:val="lowKashida"/>
        <w:rPr>
          <w:rFonts w:asciiTheme="majorBidi" w:hAnsiTheme="majorBidi" w:cstheme="majorBidi"/>
          <w:b/>
          <w:bCs/>
          <w:sz w:val="20"/>
          <w:szCs w:val="20"/>
        </w:rPr>
      </w:pPr>
      <w:r w:rsidRPr="00F57C42">
        <w:rPr>
          <w:rFonts w:asciiTheme="majorBidi" w:hAnsiTheme="majorBidi" w:cstheme="majorBidi"/>
          <w:b/>
          <w:bCs/>
          <w:sz w:val="20"/>
          <w:szCs w:val="20"/>
        </w:rPr>
        <w:t>Experimental group</w:t>
      </w:r>
    </w:p>
    <w:p w14:paraId="6E8B56FD" w14:textId="44A76C27" w:rsidR="0065372C" w:rsidRPr="00F57C42" w:rsidRDefault="000B60A9"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Pr>
        <w:t xml:space="preserve">Patients in the experimental group will receive multidimensional treatment including psychoeducation based on cognitive behavioral therapy (CBT), lifestyle education, graded exposure, postural correction exercise, Lifestyle change, and electrotherapy. Patients will participate in three 30 minutes sessions of pain psychoeducation. The content, format, and pictures of the psychoeducation sessions are based on the book ‘Explain Pain’. We will present the educational information verbally (explanation by the therapist) and visually (summaries, pictures, metaphors, and diagrams on computer and paper). The education covers the physiology of the nervous system in general and of the pain system in particular. Topics addressed during the educational sessions will include the characteristics of acute versus chronic pain; how pain becomes chronic; pain behavior; etc. During these sessions, patients can ask questions and receive a booklet about the summary of the sessions. Furthermore, the patient is asked to write which activities could worsen complaints and cause damage according to the patient. The next nine-session </w:t>
      </w:r>
      <w:r w:rsidR="00E95439" w:rsidRPr="00F57C42">
        <w:rPr>
          <w:rFonts w:asciiTheme="majorBidi" w:hAnsiTheme="majorBidi" w:cstheme="majorBidi"/>
          <w:sz w:val="20"/>
          <w:szCs w:val="20"/>
        </w:rPr>
        <w:t>listed below</w:t>
      </w:r>
      <w:r w:rsidR="00A40248" w:rsidRPr="00F57C42">
        <w:rPr>
          <w:rFonts w:asciiTheme="majorBidi" w:hAnsiTheme="majorBidi" w:cstheme="majorBidi"/>
          <w:sz w:val="20"/>
          <w:szCs w:val="20"/>
        </w:rPr>
        <w:t>:</w:t>
      </w:r>
    </w:p>
    <w:p w14:paraId="0B90233A" w14:textId="79B33408" w:rsidR="00FC5187" w:rsidRPr="00F57C42" w:rsidRDefault="000B60A9"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Pr>
        <w:t>1) Anxiety management: The goal of this session is to identify signs and symptoms of anxiety and to learn coping skills to improve the individual’s functioning in the area of anxiety.</w:t>
      </w:r>
    </w:p>
    <w:p w14:paraId="7F727A2B" w14:textId="75F1B922" w:rsidR="00A40248" w:rsidRPr="00F57C42" w:rsidRDefault="000B60A9"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Pr>
        <w:t xml:space="preserve"> 2)  Interpersonal conflict management: The goal of this session is to have individuals learn how to manage conflict more effectively and increase effective skill use in relationships</w:t>
      </w:r>
      <w:r w:rsidR="0065372C" w:rsidRPr="00F57C42">
        <w:rPr>
          <w:rFonts w:asciiTheme="majorBidi" w:hAnsiTheme="majorBidi" w:cstheme="majorBidi"/>
          <w:sz w:val="20"/>
          <w:szCs w:val="20"/>
        </w:rPr>
        <w:t>.</w:t>
      </w:r>
    </w:p>
    <w:p w14:paraId="161460DA" w14:textId="135A31E0" w:rsidR="000B60A9" w:rsidRPr="00F57C42" w:rsidRDefault="000B60A9" w:rsidP="002A611F">
      <w:pPr>
        <w:bidi w:val="0"/>
        <w:spacing w:line="240" w:lineRule="auto"/>
        <w:ind w:right="-519" w:firstLine="0"/>
        <w:jc w:val="lowKashida"/>
        <w:rPr>
          <w:rFonts w:asciiTheme="majorBidi" w:hAnsiTheme="majorBidi" w:cstheme="majorBidi"/>
          <w:sz w:val="20"/>
          <w:szCs w:val="20"/>
        </w:rPr>
      </w:pPr>
      <w:r w:rsidRPr="00F57C42">
        <w:rPr>
          <w:rFonts w:asciiTheme="majorBidi" w:hAnsiTheme="majorBidi" w:cstheme="majorBidi"/>
          <w:sz w:val="20"/>
          <w:szCs w:val="20"/>
          <w:rtl/>
        </w:rPr>
        <w:t xml:space="preserve"> </w:t>
      </w:r>
      <w:r w:rsidR="0065372C" w:rsidRPr="00F57C42">
        <w:rPr>
          <w:rFonts w:asciiTheme="majorBidi" w:hAnsiTheme="majorBidi" w:cstheme="majorBidi"/>
          <w:sz w:val="20"/>
          <w:szCs w:val="20"/>
        </w:rPr>
        <w:t xml:space="preserve">3) </w:t>
      </w:r>
      <w:r w:rsidRPr="00F57C42">
        <w:rPr>
          <w:rFonts w:asciiTheme="majorBidi" w:hAnsiTheme="majorBidi" w:cstheme="majorBidi"/>
          <w:sz w:val="20"/>
          <w:szCs w:val="20"/>
        </w:rPr>
        <w:t>Problem-solving training: The goal of this session is to promote problem-solving strategies in complex situations and with others</w:t>
      </w:r>
      <w:r w:rsidR="0065372C" w:rsidRPr="00F57C42">
        <w:rPr>
          <w:rFonts w:asciiTheme="majorBidi" w:hAnsiTheme="majorBidi" w:cstheme="majorBidi"/>
          <w:sz w:val="20"/>
          <w:szCs w:val="20"/>
        </w:rPr>
        <w:t>.</w:t>
      </w:r>
    </w:p>
    <w:p w14:paraId="26D437B4" w14:textId="1B51CCBE" w:rsidR="000B60A9" w:rsidRPr="00F57C42" w:rsidRDefault="0065372C"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Pr>
        <w:t xml:space="preserve">4) </w:t>
      </w:r>
      <w:r w:rsidR="000B60A9" w:rsidRPr="00F57C42">
        <w:rPr>
          <w:rFonts w:asciiTheme="majorBidi" w:hAnsiTheme="majorBidi" w:cstheme="majorBidi"/>
          <w:sz w:val="20"/>
          <w:szCs w:val="20"/>
        </w:rPr>
        <w:t>Coping strategy training: The goal of this session is to deliver insight and information about coping strategies for chronic pain and to learn coping skills for improving patient functioning in the areas of common defense mechanisms</w:t>
      </w:r>
      <w:r w:rsidRPr="00F57C42">
        <w:rPr>
          <w:rFonts w:asciiTheme="majorBidi" w:hAnsiTheme="majorBidi" w:cstheme="majorBidi"/>
          <w:sz w:val="20"/>
          <w:szCs w:val="20"/>
        </w:rPr>
        <w:t>.</w:t>
      </w:r>
    </w:p>
    <w:p w14:paraId="1CF9617B" w14:textId="7252F67E" w:rsidR="00F207DF" w:rsidRPr="00F57C42" w:rsidRDefault="000B60A9"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tl/>
        </w:rPr>
        <w:t xml:space="preserve"> </w:t>
      </w:r>
      <w:r w:rsidR="0065372C" w:rsidRPr="00F57C42">
        <w:rPr>
          <w:rFonts w:asciiTheme="majorBidi" w:hAnsiTheme="majorBidi" w:cstheme="majorBidi"/>
          <w:sz w:val="20"/>
          <w:szCs w:val="20"/>
        </w:rPr>
        <w:t xml:space="preserve">5) </w:t>
      </w:r>
      <w:r w:rsidRPr="00F57C42">
        <w:rPr>
          <w:rFonts w:asciiTheme="majorBidi" w:hAnsiTheme="majorBidi" w:cstheme="majorBidi"/>
          <w:sz w:val="20"/>
          <w:szCs w:val="20"/>
        </w:rPr>
        <w:t>Pain flare-ups management: This session is run to identify triggering events and typical reactions and promote coping skills with the fear and avoidance conditioning</w:t>
      </w:r>
      <w:r w:rsidR="0065372C" w:rsidRPr="00F57C42">
        <w:rPr>
          <w:rFonts w:asciiTheme="majorBidi" w:hAnsiTheme="majorBidi" w:cstheme="majorBidi"/>
          <w:sz w:val="20"/>
          <w:szCs w:val="20"/>
        </w:rPr>
        <w:t>.</w:t>
      </w:r>
    </w:p>
    <w:p w14:paraId="462C7898" w14:textId="58282B3E" w:rsidR="002D0728" w:rsidRPr="00F57C42" w:rsidRDefault="000B60A9"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tl/>
        </w:rPr>
        <w:t xml:space="preserve"> </w:t>
      </w:r>
      <w:r w:rsidR="0065372C" w:rsidRPr="00F57C42">
        <w:rPr>
          <w:rFonts w:asciiTheme="majorBidi" w:hAnsiTheme="majorBidi" w:cstheme="majorBidi"/>
          <w:sz w:val="20"/>
          <w:szCs w:val="20"/>
        </w:rPr>
        <w:t xml:space="preserve">6) </w:t>
      </w:r>
      <w:r w:rsidRPr="00F57C42">
        <w:rPr>
          <w:rFonts w:asciiTheme="majorBidi" w:hAnsiTheme="majorBidi" w:cstheme="majorBidi"/>
          <w:sz w:val="20"/>
          <w:szCs w:val="20"/>
        </w:rPr>
        <w:t>Medication abuse management: This session is held to learn coping skills to improve the individual’s functioning in accepting reality and learn coping skills to improve the individual’s functioning in chemical abuse</w:t>
      </w:r>
      <w:r w:rsidR="0065372C" w:rsidRPr="00F57C42">
        <w:rPr>
          <w:rFonts w:asciiTheme="majorBidi" w:hAnsiTheme="majorBidi" w:cstheme="majorBidi"/>
          <w:sz w:val="20"/>
          <w:szCs w:val="20"/>
        </w:rPr>
        <w:t>.</w:t>
      </w:r>
    </w:p>
    <w:p w14:paraId="09969E40" w14:textId="77777777" w:rsidR="00AD7ED9" w:rsidRPr="00F57C42" w:rsidRDefault="000B60A9"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tl/>
        </w:rPr>
        <w:t xml:space="preserve"> </w:t>
      </w:r>
      <w:r w:rsidR="0065372C" w:rsidRPr="00F57C42">
        <w:rPr>
          <w:rFonts w:asciiTheme="majorBidi" w:hAnsiTheme="majorBidi" w:cstheme="majorBidi"/>
          <w:sz w:val="20"/>
          <w:szCs w:val="20"/>
        </w:rPr>
        <w:t xml:space="preserve">7) </w:t>
      </w:r>
      <w:r w:rsidRPr="00F57C42">
        <w:rPr>
          <w:rFonts w:asciiTheme="majorBidi" w:hAnsiTheme="majorBidi" w:cstheme="majorBidi"/>
          <w:sz w:val="20"/>
          <w:szCs w:val="20"/>
        </w:rPr>
        <w:t>Enhancing one’s ability to cope with labeling and stigma: The goal of this session is to give insight and understanding into the effects of stigma and learn coping skills to improve the individual’s ability to cope effectively with stigma</w:t>
      </w:r>
      <w:r w:rsidR="003629D1" w:rsidRPr="00F57C42">
        <w:rPr>
          <w:rFonts w:asciiTheme="majorBidi" w:hAnsiTheme="majorBidi" w:cstheme="majorBidi"/>
          <w:sz w:val="20"/>
          <w:szCs w:val="20"/>
        </w:rPr>
        <w:t>.</w:t>
      </w:r>
    </w:p>
    <w:p w14:paraId="1FA9EE01" w14:textId="160B608B" w:rsidR="00FC5187" w:rsidRPr="00F57C42" w:rsidRDefault="000B60A9"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Pr>
        <w:t>9)  Training relaxation techniques.</w:t>
      </w:r>
    </w:p>
    <w:p w14:paraId="1BE46FCE" w14:textId="164D61F2" w:rsidR="000B60A9" w:rsidRPr="00F57C42" w:rsidRDefault="000B60A9"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Pr>
        <w:t xml:space="preserve">Patients will also receive recommendations for lifestyle modifications, such as encouraging active living and a gradual increase in activity levels, improving the work environment, and training on how to perform daily and work activities </w:t>
      </w:r>
      <w:r w:rsidRPr="00F57C42">
        <w:rPr>
          <w:rFonts w:asciiTheme="majorBidi" w:hAnsiTheme="majorBidi" w:cstheme="majorBidi"/>
          <w:sz w:val="20"/>
          <w:szCs w:val="20"/>
        </w:rPr>
        <w:lastRenderedPageBreak/>
        <w:t>correctly.</w:t>
      </w:r>
      <w:r w:rsidR="00B73056" w:rsidRPr="00F57C42">
        <w:rPr>
          <w:rFonts w:asciiTheme="majorBidi" w:hAnsiTheme="majorBidi" w:cstheme="majorBidi"/>
          <w:sz w:val="20"/>
          <w:szCs w:val="20"/>
        </w:rPr>
        <w:t xml:space="preserve"> </w:t>
      </w:r>
      <w:r w:rsidRPr="00F57C42">
        <w:rPr>
          <w:rFonts w:asciiTheme="majorBidi" w:hAnsiTheme="majorBidi" w:cstheme="majorBidi"/>
          <w:sz w:val="20"/>
          <w:szCs w:val="20"/>
        </w:rPr>
        <w:t>Other treatments include postural correction and training of the necessary exercises, as well as the gradual initiation of movements and activities that the patient is afraid of. By asking the patient to perform hierarchical activities that he or she fears. The first step is to identify the movements that the patient is afraid of. The exercise begins with a movement that the patient has the least fear of, and that movement begins with the simplest state and the lowest level with the patient least feared, and gradually becomes more difficult. All of these are taught to the patient in each practice session. The patient will also be asked to repeat the practice of each session at home once a day. Electrotherapy, including 20 minutes of skin electrical nerve stimulation (TENS) at 100 Hz in the lumbar region where the patient reports the most pain. The intensity of TENS is regulated by the patient. Surface heat will be placed in the lumbar area by Hot Pack at the same time as TENS. Ultrasound with a frequency of 1 MHz and intensity of 1.2 W/cm2 will be performed using a 5 cm square applicator on the paravertebral muscle where the patient reports the most pain, for 5 minutes. The treatment in this group is twelve sessions and will be performed twice a week</w:t>
      </w:r>
      <w:r w:rsidR="0065372C" w:rsidRPr="00F57C42">
        <w:rPr>
          <w:rFonts w:asciiTheme="majorBidi" w:hAnsiTheme="majorBidi" w:cstheme="majorBidi"/>
          <w:sz w:val="20"/>
          <w:szCs w:val="20"/>
        </w:rPr>
        <w:t>.</w:t>
      </w:r>
    </w:p>
    <w:p w14:paraId="25A1FC18" w14:textId="77777777" w:rsidR="000B60A9" w:rsidRPr="00F57C42" w:rsidRDefault="000B60A9" w:rsidP="002A611F">
      <w:pPr>
        <w:bidi w:val="0"/>
        <w:spacing w:line="240" w:lineRule="auto"/>
        <w:ind w:firstLine="0"/>
        <w:jc w:val="lowKashida"/>
        <w:rPr>
          <w:rFonts w:asciiTheme="majorBidi" w:hAnsiTheme="majorBidi" w:cstheme="majorBidi"/>
          <w:b/>
          <w:bCs/>
          <w:sz w:val="20"/>
          <w:szCs w:val="20"/>
        </w:rPr>
      </w:pPr>
      <w:r w:rsidRPr="00F57C42">
        <w:rPr>
          <w:rFonts w:asciiTheme="majorBidi" w:hAnsiTheme="majorBidi" w:cstheme="majorBidi"/>
          <w:b/>
          <w:bCs/>
          <w:sz w:val="20"/>
          <w:szCs w:val="20"/>
        </w:rPr>
        <w:t>Active control group</w:t>
      </w:r>
    </w:p>
    <w:p w14:paraId="5250D86B" w14:textId="46ECF846" w:rsidR="000B60A9" w:rsidRPr="00F57C42" w:rsidRDefault="000B60A9"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tl/>
        </w:rPr>
        <w:t xml:space="preserve"> </w:t>
      </w:r>
      <w:r w:rsidRPr="00F57C42">
        <w:rPr>
          <w:rFonts w:asciiTheme="majorBidi" w:hAnsiTheme="majorBidi" w:cstheme="majorBidi"/>
          <w:sz w:val="20"/>
          <w:szCs w:val="20"/>
        </w:rPr>
        <w:t>For patients in the active control group, treatment will include electrotherapy, education, and trunk general exercises. Education in this group includes an explanation of the basic biomechanical anatomy of the spine, common causes of spinal pain, pain processing, ergonomic advice on how to perform daily activities, and postures (such as sitting, standing, and moving objects, etc.) and training for postural correction exercises. General trunk exercise will focus on abdominal and paraspinal muscles to improve blood flow, mobility, strength, and endurance in each session, and the patient will be asked to perform exercises in each session</w:t>
      </w:r>
      <w:r w:rsidR="00A64B55" w:rsidRPr="00F57C42">
        <w:rPr>
          <w:rFonts w:asciiTheme="majorBidi" w:hAnsiTheme="majorBidi" w:cstheme="majorBidi"/>
          <w:sz w:val="20"/>
          <w:szCs w:val="20"/>
        </w:rPr>
        <w:t xml:space="preserve"> (appendix 1)</w:t>
      </w:r>
      <w:r w:rsidRPr="00F57C42">
        <w:rPr>
          <w:rFonts w:asciiTheme="majorBidi" w:hAnsiTheme="majorBidi" w:cstheme="majorBidi"/>
          <w:sz w:val="20"/>
          <w:szCs w:val="20"/>
        </w:rPr>
        <w:t>. The intensity and type of exercise will progress toward functional training. The patient is also asked to do exercise at home once a day. Electrotherapy, including 20 minutes of skin electrical nerve stimulation (TENS) at 100 Hz in the lumbar region where the patient reports the most pain. The intensity of TENS is regulated by the patient. Surface heat will be placed in the lumbar area by Hot Pack at the same time as TENS. Ultrasound with a frequency of 1 MHz and intensity of 1.2 W/cm2 will be performed using a 5 cm square applicator on the paravertebral muscle where the patient reports the most pain, for 5 minutes. The treatment in this group is twelve sessions and will be performed twice a week</w:t>
      </w:r>
      <w:r w:rsidR="00A64B55" w:rsidRPr="00F57C42">
        <w:rPr>
          <w:rFonts w:asciiTheme="majorBidi" w:hAnsiTheme="majorBidi" w:cstheme="majorBidi"/>
          <w:sz w:val="20"/>
          <w:szCs w:val="20"/>
        </w:rPr>
        <w:t>.</w:t>
      </w:r>
    </w:p>
    <w:p w14:paraId="028B6774" w14:textId="77777777" w:rsidR="000B60A9" w:rsidRPr="00F57C42" w:rsidRDefault="000B60A9" w:rsidP="002A611F">
      <w:pPr>
        <w:bidi w:val="0"/>
        <w:spacing w:line="240" w:lineRule="auto"/>
        <w:ind w:firstLine="0"/>
        <w:jc w:val="lowKashida"/>
        <w:rPr>
          <w:rFonts w:asciiTheme="majorBidi" w:hAnsiTheme="majorBidi" w:cstheme="majorBidi"/>
          <w:b/>
          <w:bCs/>
          <w:sz w:val="20"/>
          <w:szCs w:val="20"/>
        </w:rPr>
      </w:pPr>
      <w:r w:rsidRPr="00F57C42">
        <w:rPr>
          <w:rFonts w:asciiTheme="majorBidi" w:hAnsiTheme="majorBidi" w:cstheme="majorBidi"/>
          <w:b/>
          <w:bCs/>
          <w:sz w:val="20"/>
          <w:szCs w:val="20"/>
        </w:rPr>
        <w:t>Sample size calculation</w:t>
      </w:r>
    </w:p>
    <w:p w14:paraId="390C73CE" w14:textId="12DA3375" w:rsidR="000B60A9" w:rsidRPr="00F57C42" w:rsidRDefault="000B60A9"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Pr>
        <w:t xml:space="preserve">Sample size calculations were performed with G*Power 3.1.9.4 (Düsseldorf, Germany) based on the therapy effects on pain and accounting for a 10% loss to follow-up after 4 months. Calculations were based on one-tailed testing with alpha set in 0. 025, partial η2 = 0.04, and the desired power of 0.95. The allocation ratio (N2/N1) was defined as </w:t>
      </w:r>
      <w:r w:rsidR="00117F9C">
        <w:rPr>
          <w:rFonts w:asciiTheme="majorBidi" w:hAnsiTheme="majorBidi" w:cstheme="majorBidi"/>
          <w:sz w:val="20"/>
          <w:szCs w:val="20"/>
        </w:rPr>
        <w:t>one</w:t>
      </w:r>
      <w:r w:rsidRPr="00F57C42">
        <w:rPr>
          <w:rFonts w:asciiTheme="majorBidi" w:hAnsiTheme="majorBidi" w:cstheme="majorBidi"/>
          <w:sz w:val="20"/>
          <w:szCs w:val="20"/>
        </w:rPr>
        <w:t>, resulting in 35 patients in the intervention group and 35 in the control group</w:t>
      </w:r>
      <w:r w:rsidR="0065372C" w:rsidRPr="00F57C42">
        <w:rPr>
          <w:rFonts w:asciiTheme="majorBidi" w:hAnsiTheme="majorBidi" w:cstheme="majorBidi"/>
          <w:sz w:val="20"/>
          <w:szCs w:val="20"/>
        </w:rPr>
        <w:t>.</w:t>
      </w:r>
    </w:p>
    <w:p w14:paraId="2DC37530" w14:textId="0840E893" w:rsidR="000B60A9" w:rsidRPr="00F57C42" w:rsidRDefault="00AD6303" w:rsidP="002A611F">
      <w:pPr>
        <w:bidi w:val="0"/>
        <w:spacing w:line="240" w:lineRule="auto"/>
        <w:ind w:firstLine="0"/>
        <w:jc w:val="lowKashida"/>
        <w:rPr>
          <w:rFonts w:asciiTheme="majorBidi" w:hAnsiTheme="majorBidi" w:cstheme="majorBidi"/>
          <w:b/>
          <w:bCs/>
          <w:sz w:val="20"/>
          <w:szCs w:val="20"/>
        </w:rPr>
      </w:pPr>
      <w:r w:rsidRPr="00F57C42">
        <w:rPr>
          <w:rFonts w:asciiTheme="majorBidi" w:hAnsiTheme="majorBidi" w:cstheme="majorBidi"/>
          <w:b/>
          <w:bCs/>
          <w:sz w:val="20"/>
          <w:szCs w:val="20"/>
        </w:rPr>
        <w:t>S</w:t>
      </w:r>
      <w:r w:rsidR="000B60A9" w:rsidRPr="00F57C42">
        <w:rPr>
          <w:rFonts w:asciiTheme="majorBidi" w:hAnsiTheme="majorBidi" w:cstheme="majorBidi"/>
          <w:b/>
          <w:bCs/>
          <w:sz w:val="20"/>
          <w:szCs w:val="20"/>
        </w:rPr>
        <w:t>tatistical analysis</w:t>
      </w:r>
    </w:p>
    <w:p w14:paraId="719A144F" w14:textId="0E939C3F" w:rsidR="000B60A9" w:rsidRPr="00F57C42" w:rsidRDefault="00AD6303"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Pr>
        <w:t xml:space="preserve">1. </w:t>
      </w:r>
      <w:r w:rsidR="000B60A9" w:rsidRPr="00F57C42">
        <w:rPr>
          <w:rFonts w:asciiTheme="majorBidi" w:hAnsiTheme="majorBidi" w:cstheme="majorBidi"/>
          <w:sz w:val="20"/>
          <w:szCs w:val="20"/>
        </w:rPr>
        <w:t xml:space="preserve">Data Source: Data </w:t>
      </w:r>
      <w:r w:rsidRPr="00F57C42">
        <w:rPr>
          <w:rFonts w:asciiTheme="majorBidi" w:hAnsiTheme="majorBidi" w:cstheme="majorBidi"/>
          <w:sz w:val="20"/>
          <w:szCs w:val="20"/>
        </w:rPr>
        <w:t>will be</w:t>
      </w:r>
      <w:r w:rsidR="000B60A9" w:rsidRPr="00F57C42">
        <w:rPr>
          <w:rFonts w:asciiTheme="majorBidi" w:hAnsiTheme="majorBidi" w:cstheme="majorBidi"/>
          <w:sz w:val="20"/>
          <w:szCs w:val="20"/>
        </w:rPr>
        <w:t xml:space="preserve"> derived from patients </w:t>
      </w:r>
      <w:r w:rsidRPr="00F57C42">
        <w:rPr>
          <w:rFonts w:asciiTheme="majorBidi" w:hAnsiTheme="majorBidi" w:cstheme="majorBidi"/>
          <w:sz w:val="20"/>
          <w:szCs w:val="20"/>
        </w:rPr>
        <w:t xml:space="preserve">with </w:t>
      </w:r>
      <w:r w:rsidR="000B60A9" w:rsidRPr="00F57C42">
        <w:rPr>
          <w:rFonts w:asciiTheme="majorBidi" w:hAnsiTheme="majorBidi" w:cstheme="majorBidi"/>
          <w:sz w:val="20"/>
          <w:szCs w:val="20"/>
        </w:rPr>
        <w:t>NSCLBP that</w:t>
      </w:r>
      <w:r w:rsidRPr="00F57C42">
        <w:rPr>
          <w:rFonts w:asciiTheme="majorBidi" w:hAnsiTheme="majorBidi" w:cstheme="majorBidi"/>
          <w:sz w:val="20"/>
          <w:szCs w:val="20"/>
        </w:rPr>
        <w:t xml:space="preserve"> </w:t>
      </w:r>
      <w:r w:rsidR="000B60A9" w:rsidRPr="00F57C42">
        <w:rPr>
          <w:rFonts w:asciiTheme="majorBidi" w:hAnsiTheme="majorBidi" w:cstheme="majorBidi"/>
          <w:sz w:val="20"/>
          <w:szCs w:val="20"/>
        </w:rPr>
        <w:t>participated in this</w:t>
      </w:r>
      <w:r w:rsidRPr="00F57C42">
        <w:rPr>
          <w:rFonts w:asciiTheme="majorBidi" w:hAnsiTheme="majorBidi" w:cstheme="majorBidi"/>
          <w:sz w:val="20"/>
          <w:szCs w:val="20"/>
        </w:rPr>
        <w:t xml:space="preserve"> </w:t>
      </w:r>
      <w:r w:rsidR="000B60A9" w:rsidRPr="00F57C42">
        <w:rPr>
          <w:rFonts w:asciiTheme="majorBidi" w:hAnsiTheme="majorBidi" w:cstheme="majorBidi"/>
          <w:sz w:val="20"/>
          <w:szCs w:val="20"/>
        </w:rPr>
        <w:t>randomized controlled trial. Participants w</w:t>
      </w:r>
      <w:r w:rsidRPr="00F57C42">
        <w:rPr>
          <w:rFonts w:asciiTheme="majorBidi" w:hAnsiTheme="majorBidi" w:cstheme="majorBidi"/>
          <w:sz w:val="20"/>
          <w:szCs w:val="20"/>
        </w:rPr>
        <w:t>ill be</w:t>
      </w:r>
      <w:r w:rsidR="000B60A9" w:rsidRPr="00F57C42">
        <w:rPr>
          <w:rFonts w:asciiTheme="majorBidi" w:hAnsiTheme="majorBidi" w:cstheme="majorBidi"/>
          <w:sz w:val="20"/>
          <w:szCs w:val="20"/>
        </w:rPr>
        <w:t xml:space="preserve"> evaluated at baseline, and after treatment, 1 and 4 months</w:t>
      </w:r>
      <w:r w:rsidRPr="00F57C42">
        <w:rPr>
          <w:rFonts w:asciiTheme="majorBidi" w:hAnsiTheme="majorBidi" w:cstheme="majorBidi"/>
          <w:sz w:val="20"/>
          <w:szCs w:val="20"/>
        </w:rPr>
        <w:t>.</w:t>
      </w:r>
    </w:p>
    <w:p w14:paraId="7DFC8C99" w14:textId="05EB60B3" w:rsidR="000B60A9" w:rsidRPr="00F57C42" w:rsidRDefault="00AD6303"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Pr>
        <w:t xml:space="preserve">2. </w:t>
      </w:r>
      <w:r w:rsidR="000B60A9" w:rsidRPr="00F57C42">
        <w:rPr>
          <w:rFonts w:asciiTheme="majorBidi" w:hAnsiTheme="majorBidi" w:cstheme="majorBidi"/>
          <w:sz w:val="20"/>
          <w:szCs w:val="20"/>
        </w:rPr>
        <w:t>Analysis objectives</w:t>
      </w:r>
      <w:r w:rsidR="002029D6" w:rsidRPr="00F57C42">
        <w:rPr>
          <w:rFonts w:asciiTheme="majorBidi" w:hAnsiTheme="majorBidi" w:cstheme="majorBidi"/>
          <w:sz w:val="20"/>
          <w:szCs w:val="20"/>
        </w:rPr>
        <w:t xml:space="preserve">: </w:t>
      </w:r>
      <w:r w:rsidR="000B60A9" w:rsidRPr="00F57C42">
        <w:rPr>
          <w:rFonts w:asciiTheme="majorBidi" w:hAnsiTheme="majorBidi" w:cstheme="majorBidi"/>
          <w:sz w:val="20"/>
          <w:szCs w:val="20"/>
        </w:rPr>
        <w:t>To investigate the effectiveness of the multidimensional treatment compared to usual care physiotherapy</w:t>
      </w:r>
      <w:r w:rsidRPr="00F57C42">
        <w:rPr>
          <w:rFonts w:asciiTheme="majorBidi" w:hAnsiTheme="majorBidi" w:cstheme="majorBidi"/>
          <w:sz w:val="20"/>
          <w:szCs w:val="20"/>
        </w:rPr>
        <w:t>.</w:t>
      </w:r>
      <w:r w:rsidR="000B60A9" w:rsidRPr="00F57C42">
        <w:rPr>
          <w:rFonts w:asciiTheme="majorBidi" w:hAnsiTheme="majorBidi" w:cstheme="majorBidi"/>
          <w:sz w:val="20"/>
          <w:szCs w:val="20"/>
        </w:rPr>
        <w:t xml:space="preserve"> </w:t>
      </w:r>
    </w:p>
    <w:p w14:paraId="5CAAC36A" w14:textId="7B2C8E0E" w:rsidR="000B60A9" w:rsidRPr="00F57C42" w:rsidRDefault="00AD6303"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Pr>
        <w:t xml:space="preserve">3. </w:t>
      </w:r>
      <w:r w:rsidR="000B60A9" w:rsidRPr="00F57C42">
        <w:rPr>
          <w:rFonts w:asciiTheme="majorBidi" w:hAnsiTheme="majorBidi" w:cstheme="majorBidi"/>
          <w:sz w:val="20"/>
          <w:szCs w:val="20"/>
        </w:rPr>
        <w:t>Population: People with NSCLBP</w:t>
      </w:r>
    </w:p>
    <w:p w14:paraId="1E17A0D6" w14:textId="508BCEF3" w:rsidR="000B60A9" w:rsidRPr="00F57C42" w:rsidRDefault="00AD6303"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Pr>
        <w:t xml:space="preserve">4. </w:t>
      </w:r>
      <w:r w:rsidR="000B60A9" w:rsidRPr="00F57C42">
        <w:rPr>
          <w:rFonts w:asciiTheme="majorBidi" w:hAnsiTheme="majorBidi" w:cstheme="majorBidi"/>
          <w:sz w:val="20"/>
          <w:szCs w:val="20"/>
        </w:rPr>
        <w:t>Endpoints: We are interested to see the between groups significant differences in the outcome measures from baseline to each follow-up measurement point</w:t>
      </w:r>
      <w:r w:rsidRPr="00F57C42">
        <w:rPr>
          <w:rFonts w:asciiTheme="majorBidi" w:hAnsiTheme="majorBidi" w:cstheme="majorBidi"/>
          <w:sz w:val="20"/>
          <w:szCs w:val="20"/>
        </w:rPr>
        <w:t>.</w:t>
      </w:r>
    </w:p>
    <w:p w14:paraId="14096713" w14:textId="070CC81C" w:rsidR="000B60A9" w:rsidRPr="00F57C42" w:rsidRDefault="00AD6303"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Pr>
        <w:t xml:space="preserve">5. </w:t>
      </w:r>
      <w:r w:rsidR="000B60A9" w:rsidRPr="00F57C42">
        <w:rPr>
          <w:rFonts w:asciiTheme="majorBidi" w:hAnsiTheme="majorBidi" w:cstheme="majorBidi"/>
          <w:sz w:val="20"/>
          <w:szCs w:val="20"/>
        </w:rPr>
        <w:t xml:space="preserve">Handling of missing data: Intention-to-treat analysis using </w:t>
      </w:r>
      <w:r w:rsidR="008405F7" w:rsidRPr="00F57C42">
        <w:rPr>
          <w:rFonts w:asciiTheme="majorBidi" w:hAnsiTheme="majorBidi" w:cstheme="majorBidi"/>
          <w:sz w:val="20"/>
          <w:szCs w:val="20"/>
        </w:rPr>
        <w:t>worst</w:t>
      </w:r>
      <w:r w:rsidR="000B60A9" w:rsidRPr="00F57C42">
        <w:rPr>
          <w:rFonts w:asciiTheme="majorBidi" w:hAnsiTheme="majorBidi" w:cstheme="majorBidi"/>
          <w:sz w:val="20"/>
          <w:szCs w:val="20"/>
        </w:rPr>
        <w:t>-observation-carried-forward</w:t>
      </w:r>
    </w:p>
    <w:p w14:paraId="08939E74" w14:textId="3D22421A" w:rsidR="00AD6303" w:rsidRPr="00F57C42" w:rsidRDefault="00AD6303" w:rsidP="002A611F">
      <w:pPr>
        <w:bidi w:val="0"/>
        <w:spacing w:line="240" w:lineRule="auto"/>
        <w:ind w:firstLine="0"/>
        <w:jc w:val="lowKashida"/>
        <w:rPr>
          <w:rFonts w:asciiTheme="majorBidi" w:hAnsiTheme="majorBidi" w:cstheme="majorBidi"/>
          <w:sz w:val="20"/>
          <w:szCs w:val="20"/>
        </w:rPr>
      </w:pPr>
      <w:r w:rsidRPr="00F57C42">
        <w:rPr>
          <w:rFonts w:asciiTheme="majorBidi" w:hAnsiTheme="majorBidi" w:cstheme="majorBidi"/>
          <w:sz w:val="20"/>
          <w:szCs w:val="20"/>
        </w:rPr>
        <w:t xml:space="preserve">6. </w:t>
      </w:r>
      <w:r w:rsidR="000B60A9" w:rsidRPr="00F57C42">
        <w:rPr>
          <w:rFonts w:asciiTheme="majorBidi" w:hAnsiTheme="majorBidi" w:cstheme="majorBidi"/>
          <w:sz w:val="20"/>
          <w:szCs w:val="20"/>
        </w:rPr>
        <w:t>Statistical procedures</w:t>
      </w:r>
      <w:r w:rsidR="002029D6" w:rsidRPr="00F57C42">
        <w:rPr>
          <w:rFonts w:asciiTheme="majorBidi" w:hAnsiTheme="majorBidi" w:cstheme="majorBidi"/>
          <w:sz w:val="20"/>
          <w:szCs w:val="20"/>
        </w:rPr>
        <w:t xml:space="preserve">: </w:t>
      </w:r>
      <w:r w:rsidR="000B60A9" w:rsidRPr="00F57C42">
        <w:rPr>
          <w:rFonts w:asciiTheme="majorBidi" w:hAnsiTheme="majorBidi" w:cstheme="majorBidi"/>
          <w:sz w:val="20"/>
          <w:szCs w:val="20"/>
        </w:rPr>
        <w:t xml:space="preserve">The assumption of homogeneity and sphericity will be checked by Levene’s and Mauchly’s tests respectively. When the assumption of sphericity is violated, Greenhouse-Geisser corrections will be used. Data analysis will be performed using SPSS (version 24) and STATA (version 16) or the newest available version, under the intention-to-treat-principle. Baseline characteristics will be summarized with standard descriptive statistics. Categorical variables will be described with percentages and counts. Continuous variables will be described with means and standard deviations. Within-group, an analysis will be performed by Independent T-Test.  Statistical analysis of the primary and secondary outcomes will be based on the intention-to-treat </w:t>
      </w:r>
      <w:r w:rsidR="00346832" w:rsidRPr="00F57C42">
        <w:rPr>
          <w:rFonts w:asciiTheme="majorBidi" w:hAnsiTheme="majorBidi" w:cstheme="majorBidi"/>
          <w:sz w:val="20"/>
          <w:szCs w:val="20"/>
        </w:rPr>
        <w:t>principle</w:t>
      </w:r>
      <w:r w:rsidR="000B60A9" w:rsidRPr="00F57C42">
        <w:rPr>
          <w:rFonts w:asciiTheme="majorBidi" w:hAnsiTheme="majorBidi" w:cstheme="majorBidi"/>
          <w:sz w:val="20"/>
          <w:szCs w:val="20"/>
        </w:rPr>
        <w:t xml:space="preserve"> including all randomized patients using an analysis of </w:t>
      </w:r>
      <w:r w:rsidR="00346832" w:rsidRPr="00F57C42">
        <w:rPr>
          <w:rFonts w:asciiTheme="majorBidi" w:hAnsiTheme="majorBidi" w:cstheme="majorBidi"/>
          <w:sz w:val="20"/>
          <w:szCs w:val="20"/>
        </w:rPr>
        <w:t>variance/</w:t>
      </w:r>
      <w:r w:rsidR="000B60A9" w:rsidRPr="00F57C42">
        <w:rPr>
          <w:rFonts w:asciiTheme="majorBidi" w:hAnsiTheme="majorBidi" w:cstheme="majorBidi"/>
          <w:sz w:val="20"/>
          <w:szCs w:val="20"/>
        </w:rPr>
        <w:t>covariance (</w:t>
      </w:r>
      <w:r w:rsidR="00346832" w:rsidRPr="00F57C42">
        <w:rPr>
          <w:rFonts w:asciiTheme="majorBidi" w:hAnsiTheme="majorBidi" w:cstheme="majorBidi"/>
          <w:sz w:val="20"/>
          <w:szCs w:val="20"/>
        </w:rPr>
        <w:t>ANOVA/</w:t>
      </w:r>
      <w:r w:rsidR="000B60A9" w:rsidRPr="00F57C42">
        <w:rPr>
          <w:rFonts w:asciiTheme="majorBidi" w:hAnsiTheme="majorBidi" w:cstheme="majorBidi"/>
          <w:sz w:val="20"/>
          <w:szCs w:val="20"/>
        </w:rPr>
        <w:t xml:space="preserve">ANCOVA). A model including baseline as continuous covariate and group as fixed factors will be used using Bonferroni post hoc </w:t>
      </w:r>
      <w:r w:rsidR="008405F7" w:rsidRPr="00F57C42">
        <w:rPr>
          <w:rFonts w:asciiTheme="majorBidi" w:hAnsiTheme="majorBidi" w:cstheme="majorBidi"/>
          <w:sz w:val="20"/>
          <w:szCs w:val="20"/>
        </w:rPr>
        <w:t>method</w:t>
      </w:r>
      <w:r w:rsidR="000B60A9" w:rsidRPr="00F57C42">
        <w:rPr>
          <w:rFonts w:asciiTheme="majorBidi" w:hAnsiTheme="majorBidi" w:cstheme="majorBidi"/>
          <w:sz w:val="20"/>
          <w:szCs w:val="20"/>
        </w:rPr>
        <w:t xml:space="preserve"> and adjusting for differences in patients' characteristics at baseline where appropriate will be done. Subgroup analysis of pain catastrophizing variables will be done. For all statistical tests, the significance level will be set at 0. 025. Mean difference and standardized Mean difference and their 95% confidence intervals will be calculated as are effect sizes. </w:t>
      </w:r>
      <w:r w:rsidR="000B60A9" w:rsidRPr="00F57C42">
        <w:rPr>
          <w:rFonts w:asciiTheme="majorBidi" w:hAnsiTheme="majorBidi" w:cstheme="majorBidi"/>
          <w:sz w:val="20"/>
          <w:szCs w:val="20"/>
        </w:rPr>
        <w:lastRenderedPageBreak/>
        <w:t>The number needed to treat and its 95% confidence interval will be calculated for the outcomes in which a beneficial effect of the experimental treatment is achieved</w:t>
      </w:r>
      <w:r w:rsidRPr="00F57C42">
        <w:rPr>
          <w:rFonts w:asciiTheme="majorBidi" w:hAnsiTheme="majorBidi" w:cstheme="majorBidi"/>
          <w:sz w:val="20"/>
          <w:szCs w:val="20"/>
        </w:rPr>
        <w:t>.</w:t>
      </w:r>
    </w:p>
    <w:bookmarkEnd w:id="0"/>
    <w:p w14:paraId="07CA3319" w14:textId="77777777" w:rsidR="00DE7822" w:rsidRPr="00DE7822" w:rsidRDefault="00DE7822" w:rsidP="00DE7822">
      <w:pPr>
        <w:spacing w:line="480" w:lineRule="auto"/>
        <w:jc w:val="right"/>
        <w:rPr>
          <w:rFonts w:asciiTheme="majorBidi" w:eastAsiaTheme="minorHAnsi" w:hAnsiTheme="majorBidi" w:cstheme="majorBidi"/>
          <w:b/>
          <w:bCs/>
          <w:color w:val="000000" w:themeColor="text1"/>
          <w:sz w:val="20"/>
          <w:szCs w:val="20"/>
        </w:rPr>
      </w:pPr>
      <w:r w:rsidRPr="00DE7822">
        <w:rPr>
          <w:rFonts w:asciiTheme="majorBidi" w:eastAsiaTheme="minorHAnsi" w:hAnsiTheme="majorBidi" w:cstheme="majorBidi"/>
          <w:b/>
          <w:bCs/>
          <w:color w:val="000000" w:themeColor="text1"/>
          <w:sz w:val="20"/>
          <w:szCs w:val="20"/>
        </w:rPr>
        <w:t>Deviations from the registered trial protocol</w:t>
      </w:r>
    </w:p>
    <w:p w14:paraId="7316F728" w14:textId="0CC78DD0" w:rsidR="00DE7822" w:rsidRPr="00DE7822" w:rsidRDefault="00DE7822" w:rsidP="00DE7822">
      <w:pPr>
        <w:spacing w:line="480" w:lineRule="auto"/>
        <w:jc w:val="right"/>
        <w:rPr>
          <w:rFonts w:asciiTheme="majorBidi" w:eastAsiaTheme="minorHAnsi" w:hAnsiTheme="majorBidi" w:cstheme="majorBidi"/>
          <w:color w:val="000000" w:themeColor="text1"/>
          <w:sz w:val="20"/>
          <w:szCs w:val="20"/>
        </w:rPr>
      </w:pPr>
      <w:r w:rsidRPr="00DE7822">
        <w:rPr>
          <w:rFonts w:asciiTheme="majorBidi" w:eastAsiaTheme="minorHAnsi" w:hAnsiTheme="majorBidi" w:cstheme="majorBidi"/>
          <w:color w:val="000000" w:themeColor="text1"/>
          <w:sz w:val="20"/>
          <w:szCs w:val="20"/>
        </w:rPr>
        <w:t xml:space="preserve">We made some deviations from our protocol. In calculating the follow-up period of one and four months, we considered the end of the treatment period, which was finally corrected 10- and 22 weeks after randomization. In the design phase of the trial, we designed a three-blind study, but in the pilot study, it was not possible to implement the first phase of blinding, so we conducted the study as an outcome assessor blind study. </w:t>
      </w:r>
    </w:p>
    <w:p w14:paraId="77B3A4DC" w14:textId="1B62878E" w:rsidR="00D30478" w:rsidRPr="00F57C42" w:rsidRDefault="00D30478" w:rsidP="00DE7822">
      <w:pPr>
        <w:pStyle w:val="NormalWeb"/>
        <w:jc w:val="lowKashida"/>
        <w:rPr>
          <w:rFonts w:asciiTheme="majorBidi" w:hAnsiTheme="majorBidi" w:cstheme="majorBidi"/>
          <w:sz w:val="20"/>
          <w:szCs w:val="20"/>
        </w:rPr>
      </w:pPr>
    </w:p>
    <w:sectPr w:rsidR="00D30478" w:rsidRPr="00F57C42" w:rsidSect="002A611F">
      <w:pgSz w:w="12240" w:h="15840" w:code="1"/>
      <w:pgMar w:top="1440" w:right="1440" w:bottom="1440" w:left="1440" w:header="1140" w:footer="851" w:gutter="0"/>
      <w:lnNumType w:countBy="1" w:restart="continuou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72F17"/>
    <w:multiLevelType w:val="hybridMultilevel"/>
    <w:tmpl w:val="8C3AF900"/>
    <w:lvl w:ilvl="0" w:tplc="04090001">
      <w:start w:val="1"/>
      <w:numFmt w:val="bullet"/>
      <w:lvlText w:val=""/>
      <w:lvlJc w:val="left"/>
      <w:pPr>
        <w:ind w:left="-873" w:hanging="360"/>
      </w:pPr>
      <w:rPr>
        <w:rFonts w:ascii="Symbol" w:hAnsi="Symbol" w:hint="default"/>
      </w:rPr>
    </w:lvl>
    <w:lvl w:ilvl="1" w:tplc="04090003" w:tentative="1">
      <w:start w:val="1"/>
      <w:numFmt w:val="bullet"/>
      <w:lvlText w:val="o"/>
      <w:lvlJc w:val="left"/>
      <w:pPr>
        <w:ind w:left="-153" w:hanging="360"/>
      </w:pPr>
      <w:rPr>
        <w:rFonts w:ascii="Courier New" w:hAnsi="Courier New" w:hint="default"/>
      </w:rPr>
    </w:lvl>
    <w:lvl w:ilvl="2" w:tplc="04090005" w:tentative="1">
      <w:start w:val="1"/>
      <w:numFmt w:val="bullet"/>
      <w:lvlText w:val=""/>
      <w:lvlJc w:val="left"/>
      <w:pPr>
        <w:ind w:left="567" w:hanging="360"/>
      </w:pPr>
      <w:rPr>
        <w:rFonts w:ascii="Wingdings" w:hAnsi="Wingdings" w:hint="default"/>
      </w:rPr>
    </w:lvl>
    <w:lvl w:ilvl="3" w:tplc="04090001" w:tentative="1">
      <w:start w:val="1"/>
      <w:numFmt w:val="bullet"/>
      <w:lvlText w:val=""/>
      <w:lvlJc w:val="left"/>
      <w:pPr>
        <w:ind w:left="1287" w:hanging="360"/>
      </w:pPr>
      <w:rPr>
        <w:rFonts w:ascii="Symbol" w:hAnsi="Symbol" w:hint="default"/>
      </w:rPr>
    </w:lvl>
    <w:lvl w:ilvl="4" w:tplc="04090003" w:tentative="1">
      <w:start w:val="1"/>
      <w:numFmt w:val="bullet"/>
      <w:lvlText w:val="o"/>
      <w:lvlJc w:val="left"/>
      <w:pPr>
        <w:ind w:left="2007" w:hanging="360"/>
      </w:pPr>
      <w:rPr>
        <w:rFonts w:ascii="Courier New" w:hAnsi="Courier New" w:hint="default"/>
      </w:rPr>
    </w:lvl>
    <w:lvl w:ilvl="5" w:tplc="04090005" w:tentative="1">
      <w:start w:val="1"/>
      <w:numFmt w:val="bullet"/>
      <w:lvlText w:val=""/>
      <w:lvlJc w:val="left"/>
      <w:pPr>
        <w:ind w:left="2727" w:hanging="360"/>
      </w:pPr>
      <w:rPr>
        <w:rFonts w:ascii="Wingdings" w:hAnsi="Wingdings" w:hint="default"/>
      </w:rPr>
    </w:lvl>
    <w:lvl w:ilvl="6" w:tplc="04090001" w:tentative="1">
      <w:start w:val="1"/>
      <w:numFmt w:val="bullet"/>
      <w:lvlText w:val=""/>
      <w:lvlJc w:val="left"/>
      <w:pPr>
        <w:ind w:left="3447" w:hanging="360"/>
      </w:pPr>
      <w:rPr>
        <w:rFonts w:ascii="Symbol" w:hAnsi="Symbol" w:hint="default"/>
      </w:rPr>
    </w:lvl>
    <w:lvl w:ilvl="7" w:tplc="04090003" w:tentative="1">
      <w:start w:val="1"/>
      <w:numFmt w:val="bullet"/>
      <w:lvlText w:val="o"/>
      <w:lvlJc w:val="left"/>
      <w:pPr>
        <w:ind w:left="4167" w:hanging="360"/>
      </w:pPr>
      <w:rPr>
        <w:rFonts w:ascii="Courier New" w:hAnsi="Courier New" w:hint="default"/>
      </w:rPr>
    </w:lvl>
    <w:lvl w:ilvl="8" w:tplc="04090005" w:tentative="1">
      <w:start w:val="1"/>
      <w:numFmt w:val="bullet"/>
      <w:lvlText w:val=""/>
      <w:lvlJc w:val="left"/>
      <w:pPr>
        <w:ind w:left="4887" w:hanging="360"/>
      </w:pPr>
      <w:rPr>
        <w:rFonts w:ascii="Wingdings" w:hAnsi="Wingdings" w:hint="default"/>
      </w:rPr>
    </w:lvl>
  </w:abstractNum>
  <w:abstractNum w:abstractNumId="1" w15:restartNumberingAfterBreak="0">
    <w:nsid w:val="0C2D4E71"/>
    <w:multiLevelType w:val="hybridMultilevel"/>
    <w:tmpl w:val="63D68A04"/>
    <w:lvl w:ilvl="0" w:tplc="04090001">
      <w:start w:val="1"/>
      <w:numFmt w:val="bullet"/>
      <w:lvlText w:val=""/>
      <w:lvlJc w:val="left"/>
      <w:pPr>
        <w:ind w:left="567" w:hanging="360"/>
      </w:pPr>
      <w:rPr>
        <w:rFonts w:ascii="Symbol" w:hAnsi="Symbol" w:hint="default"/>
      </w:rPr>
    </w:lvl>
    <w:lvl w:ilvl="1" w:tplc="04090003" w:tentative="1">
      <w:start w:val="1"/>
      <w:numFmt w:val="bullet"/>
      <w:lvlText w:val="o"/>
      <w:lvlJc w:val="left"/>
      <w:pPr>
        <w:ind w:left="1287" w:hanging="360"/>
      </w:pPr>
      <w:rPr>
        <w:rFonts w:ascii="Courier New" w:hAnsi="Courier New" w:hint="default"/>
      </w:rPr>
    </w:lvl>
    <w:lvl w:ilvl="2" w:tplc="04090005" w:tentative="1">
      <w:start w:val="1"/>
      <w:numFmt w:val="bullet"/>
      <w:lvlText w:val=""/>
      <w:lvlJc w:val="left"/>
      <w:pPr>
        <w:ind w:left="2007" w:hanging="360"/>
      </w:pPr>
      <w:rPr>
        <w:rFonts w:ascii="Wingdings" w:hAnsi="Wingdings" w:hint="default"/>
      </w:rPr>
    </w:lvl>
    <w:lvl w:ilvl="3" w:tplc="04090001" w:tentative="1">
      <w:start w:val="1"/>
      <w:numFmt w:val="bullet"/>
      <w:lvlText w:val=""/>
      <w:lvlJc w:val="left"/>
      <w:pPr>
        <w:ind w:left="2727" w:hanging="360"/>
      </w:pPr>
      <w:rPr>
        <w:rFonts w:ascii="Symbol" w:hAnsi="Symbol" w:hint="default"/>
      </w:rPr>
    </w:lvl>
    <w:lvl w:ilvl="4" w:tplc="04090003" w:tentative="1">
      <w:start w:val="1"/>
      <w:numFmt w:val="bullet"/>
      <w:lvlText w:val="o"/>
      <w:lvlJc w:val="left"/>
      <w:pPr>
        <w:ind w:left="3447" w:hanging="360"/>
      </w:pPr>
      <w:rPr>
        <w:rFonts w:ascii="Courier New" w:hAnsi="Courier New" w:hint="default"/>
      </w:rPr>
    </w:lvl>
    <w:lvl w:ilvl="5" w:tplc="04090005" w:tentative="1">
      <w:start w:val="1"/>
      <w:numFmt w:val="bullet"/>
      <w:lvlText w:val=""/>
      <w:lvlJc w:val="left"/>
      <w:pPr>
        <w:ind w:left="4167" w:hanging="360"/>
      </w:pPr>
      <w:rPr>
        <w:rFonts w:ascii="Wingdings" w:hAnsi="Wingdings" w:hint="default"/>
      </w:rPr>
    </w:lvl>
    <w:lvl w:ilvl="6" w:tplc="04090001" w:tentative="1">
      <w:start w:val="1"/>
      <w:numFmt w:val="bullet"/>
      <w:lvlText w:val=""/>
      <w:lvlJc w:val="left"/>
      <w:pPr>
        <w:ind w:left="4887" w:hanging="360"/>
      </w:pPr>
      <w:rPr>
        <w:rFonts w:ascii="Symbol" w:hAnsi="Symbol" w:hint="default"/>
      </w:rPr>
    </w:lvl>
    <w:lvl w:ilvl="7" w:tplc="04090003" w:tentative="1">
      <w:start w:val="1"/>
      <w:numFmt w:val="bullet"/>
      <w:lvlText w:val="o"/>
      <w:lvlJc w:val="left"/>
      <w:pPr>
        <w:ind w:left="5607" w:hanging="360"/>
      </w:pPr>
      <w:rPr>
        <w:rFonts w:ascii="Courier New" w:hAnsi="Courier New" w:hint="default"/>
      </w:rPr>
    </w:lvl>
    <w:lvl w:ilvl="8" w:tplc="04090005" w:tentative="1">
      <w:start w:val="1"/>
      <w:numFmt w:val="bullet"/>
      <w:lvlText w:val=""/>
      <w:lvlJc w:val="left"/>
      <w:pPr>
        <w:ind w:left="6327" w:hanging="360"/>
      </w:pPr>
      <w:rPr>
        <w:rFonts w:ascii="Wingdings" w:hAnsi="Wingdings" w:hint="default"/>
      </w:rPr>
    </w:lvl>
  </w:abstractNum>
  <w:abstractNum w:abstractNumId="2" w15:restartNumberingAfterBreak="0">
    <w:nsid w:val="0E5E4CA2"/>
    <w:multiLevelType w:val="hybridMultilevel"/>
    <w:tmpl w:val="B510B494"/>
    <w:lvl w:ilvl="0" w:tplc="5ECADAD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6714BC"/>
    <w:multiLevelType w:val="hybridMultilevel"/>
    <w:tmpl w:val="C42A019E"/>
    <w:lvl w:ilvl="0" w:tplc="04090001">
      <w:start w:val="1"/>
      <w:numFmt w:val="bullet"/>
      <w:lvlText w:val=""/>
      <w:lvlJc w:val="left"/>
      <w:pPr>
        <w:ind w:left="513" w:hanging="360"/>
      </w:pPr>
      <w:rPr>
        <w:rFonts w:ascii="Symbol" w:hAnsi="Symbol" w:hint="default"/>
      </w:rPr>
    </w:lvl>
    <w:lvl w:ilvl="1" w:tplc="04090003" w:tentative="1">
      <w:start w:val="1"/>
      <w:numFmt w:val="bullet"/>
      <w:lvlText w:val="o"/>
      <w:lvlJc w:val="left"/>
      <w:pPr>
        <w:ind w:left="1233" w:hanging="360"/>
      </w:pPr>
      <w:rPr>
        <w:rFonts w:ascii="Courier New" w:hAnsi="Courier New" w:hint="default"/>
      </w:rPr>
    </w:lvl>
    <w:lvl w:ilvl="2" w:tplc="04090005" w:tentative="1">
      <w:start w:val="1"/>
      <w:numFmt w:val="bullet"/>
      <w:lvlText w:val=""/>
      <w:lvlJc w:val="left"/>
      <w:pPr>
        <w:ind w:left="1953" w:hanging="360"/>
      </w:pPr>
      <w:rPr>
        <w:rFonts w:ascii="Wingdings" w:hAnsi="Wingdings" w:hint="default"/>
      </w:rPr>
    </w:lvl>
    <w:lvl w:ilvl="3" w:tplc="04090001" w:tentative="1">
      <w:start w:val="1"/>
      <w:numFmt w:val="bullet"/>
      <w:lvlText w:val=""/>
      <w:lvlJc w:val="left"/>
      <w:pPr>
        <w:ind w:left="2673" w:hanging="360"/>
      </w:pPr>
      <w:rPr>
        <w:rFonts w:ascii="Symbol" w:hAnsi="Symbol" w:hint="default"/>
      </w:rPr>
    </w:lvl>
    <w:lvl w:ilvl="4" w:tplc="04090003" w:tentative="1">
      <w:start w:val="1"/>
      <w:numFmt w:val="bullet"/>
      <w:lvlText w:val="o"/>
      <w:lvlJc w:val="left"/>
      <w:pPr>
        <w:ind w:left="3393" w:hanging="360"/>
      </w:pPr>
      <w:rPr>
        <w:rFonts w:ascii="Courier New" w:hAnsi="Courier New" w:hint="default"/>
      </w:rPr>
    </w:lvl>
    <w:lvl w:ilvl="5" w:tplc="04090005" w:tentative="1">
      <w:start w:val="1"/>
      <w:numFmt w:val="bullet"/>
      <w:lvlText w:val=""/>
      <w:lvlJc w:val="left"/>
      <w:pPr>
        <w:ind w:left="4113" w:hanging="360"/>
      </w:pPr>
      <w:rPr>
        <w:rFonts w:ascii="Wingdings" w:hAnsi="Wingdings" w:hint="default"/>
      </w:rPr>
    </w:lvl>
    <w:lvl w:ilvl="6" w:tplc="04090001" w:tentative="1">
      <w:start w:val="1"/>
      <w:numFmt w:val="bullet"/>
      <w:lvlText w:val=""/>
      <w:lvlJc w:val="left"/>
      <w:pPr>
        <w:ind w:left="4833" w:hanging="360"/>
      </w:pPr>
      <w:rPr>
        <w:rFonts w:ascii="Symbol" w:hAnsi="Symbol" w:hint="default"/>
      </w:rPr>
    </w:lvl>
    <w:lvl w:ilvl="7" w:tplc="04090003" w:tentative="1">
      <w:start w:val="1"/>
      <w:numFmt w:val="bullet"/>
      <w:lvlText w:val="o"/>
      <w:lvlJc w:val="left"/>
      <w:pPr>
        <w:ind w:left="5553" w:hanging="360"/>
      </w:pPr>
      <w:rPr>
        <w:rFonts w:ascii="Courier New" w:hAnsi="Courier New" w:hint="default"/>
      </w:rPr>
    </w:lvl>
    <w:lvl w:ilvl="8" w:tplc="04090005" w:tentative="1">
      <w:start w:val="1"/>
      <w:numFmt w:val="bullet"/>
      <w:lvlText w:val=""/>
      <w:lvlJc w:val="left"/>
      <w:pPr>
        <w:ind w:left="6273" w:hanging="360"/>
      </w:pPr>
      <w:rPr>
        <w:rFonts w:ascii="Wingdings" w:hAnsi="Wingdings" w:hint="default"/>
      </w:rPr>
    </w:lvl>
  </w:abstractNum>
  <w:abstractNum w:abstractNumId="4" w15:restartNumberingAfterBreak="0">
    <w:nsid w:val="17025790"/>
    <w:multiLevelType w:val="hybridMultilevel"/>
    <w:tmpl w:val="62EEDFFE"/>
    <w:lvl w:ilvl="0" w:tplc="04090001">
      <w:start w:val="1"/>
      <w:numFmt w:val="bullet"/>
      <w:lvlText w:val=""/>
      <w:lvlJc w:val="left"/>
      <w:pPr>
        <w:ind w:left="567" w:hanging="360"/>
      </w:pPr>
      <w:rPr>
        <w:rFonts w:ascii="Symbol" w:hAnsi="Symbol" w:hint="default"/>
      </w:rPr>
    </w:lvl>
    <w:lvl w:ilvl="1" w:tplc="04090003" w:tentative="1">
      <w:start w:val="1"/>
      <w:numFmt w:val="bullet"/>
      <w:lvlText w:val="o"/>
      <w:lvlJc w:val="left"/>
      <w:pPr>
        <w:ind w:left="1287" w:hanging="360"/>
      </w:pPr>
      <w:rPr>
        <w:rFonts w:ascii="Courier New" w:hAnsi="Courier New" w:hint="default"/>
      </w:rPr>
    </w:lvl>
    <w:lvl w:ilvl="2" w:tplc="04090005" w:tentative="1">
      <w:start w:val="1"/>
      <w:numFmt w:val="bullet"/>
      <w:lvlText w:val=""/>
      <w:lvlJc w:val="left"/>
      <w:pPr>
        <w:ind w:left="2007" w:hanging="360"/>
      </w:pPr>
      <w:rPr>
        <w:rFonts w:ascii="Wingdings" w:hAnsi="Wingdings" w:hint="default"/>
      </w:rPr>
    </w:lvl>
    <w:lvl w:ilvl="3" w:tplc="04090001" w:tentative="1">
      <w:start w:val="1"/>
      <w:numFmt w:val="bullet"/>
      <w:lvlText w:val=""/>
      <w:lvlJc w:val="left"/>
      <w:pPr>
        <w:ind w:left="2727" w:hanging="360"/>
      </w:pPr>
      <w:rPr>
        <w:rFonts w:ascii="Symbol" w:hAnsi="Symbol" w:hint="default"/>
      </w:rPr>
    </w:lvl>
    <w:lvl w:ilvl="4" w:tplc="04090003" w:tentative="1">
      <w:start w:val="1"/>
      <w:numFmt w:val="bullet"/>
      <w:lvlText w:val="o"/>
      <w:lvlJc w:val="left"/>
      <w:pPr>
        <w:ind w:left="3447" w:hanging="360"/>
      </w:pPr>
      <w:rPr>
        <w:rFonts w:ascii="Courier New" w:hAnsi="Courier New" w:hint="default"/>
      </w:rPr>
    </w:lvl>
    <w:lvl w:ilvl="5" w:tplc="04090005" w:tentative="1">
      <w:start w:val="1"/>
      <w:numFmt w:val="bullet"/>
      <w:lvlText w:val=""/>
      <w:lvlJc w:val="left"/>
      <w:pPr>
        <w:ind w:left="4167" w:hanging="360"/>
      </w:pPr>
      <w:rPr>
        <w:rFonts w:ascii="Wingdings" w:hAnsi="Wingdings" w:hint="default"/>
      </w:rPr>
    </w:lvl>
    <w:lvl w:ilvl="6" w:tplc="04090001" w:tentative="1">
      <w:start w:val="1"/>
      <w:numFmt w:val="bullet"/>
      <w:lvlText w:val=""/>
      <w:lvlJc w:val="left"/>
      <w:pPr>
        <w:ind w:left="4887" w:hanging="360"/>
      </w:pPr>
      <w:rPr>
        <w:rFonts w:ascii="Symbol" w:hAnsi="Symbol" w:hint="default"/>
      </w:rPr>
    </w:lvl>
    <w:lvl w:ilvl="7" w:tplc="04090003" w:tentative="1">
      <w:start w:val="1"/>
      <w:numFmt w:val="bullet"/>
      <w:lvlText w:val="o"/>
      <w:lvlJc w:val="left"/>
      <w:pPr>
        <w:ind w:left="5607" w:hanging="360"/>
      </w:pPr>
      <w:rPr>
        <w:rFonts w:ascii="Courier New" w:hAnsi="Courier New" w:hint="default"/>
      </w:rPr>
    </w:lvl>
    <w:lvl w:ilvl="8" w:tplc="04090005" w:tentative="1">
      <w:start w:val="1"/>
      <w:numFmt w:val="bullet"/>
      <w:lvlText w:val=""/>
      <w:lvlJc w:val="left"/>
      <w:pPr>
        <w:ind w:left="6327" w:hanging="360"/>
      </w:pPr>
      <w:rPr>
        <w:rFonts w:ascii="Wingdings" w:hAnsi="Wingdings" w:hint="default"/>
      </w:rPr>
    </w:lvl>
  </w:abstractNum>
  <w:abstractNum w:abstractNumId="5" w15:restartNumberingAfterBreak="0">
    <w:nsid w:val="24045C4E"/>
    <w:multiLevelType w:val="hybridMultilevel"/>
    <w:tmpl w:val="EE4ED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C141D6"/>
    <w:multiLevelType w:val="hybridMultilevel"/>
    <w:tmpl w:val="982C4C32"/>
    <w:lvl w:ilvl="0" w:tplc="5ECADADE">
      <w:start w:val="1"/>
      <w:numFmt w:val="bullet"/>
      <w:lvlText w:val="–"/>
      <w:lvlJc w:val="left"/>
      <w:pPr>
        <w:ind w:left="1287" w:hanging="360"/>
      </w:pPr>
      <w:rPr>
        <w:rFonts w:ascii="Calibri" w:eastAsiaTheme="minorHAnsi" w:hAnsi="Calibri" w:cstheme="minorBidi"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2F324E24"/>
    <w:multiLevelType w:val="hybridMultilevel"/>
    <w:tmpl w:val="28C2E4B8"/>
    <w:lvl w:ilvl="0" w:tplc="5ECADAD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611AFB"/>
    <w:multiLevelType w:val="hybridMultilevel"/>
    <w:tmpl w:val="81589AB8"/>
    <w:lvl w:ilvl="0" w:tplc="50C873CA">
      <w:start w:val="1"/>
      <w:numFmt w:val="decimal"/>
      <w:lvlText w:val="%1."/>
      <w:lvlJc w:val="left"/>
      <w:pPr>
        <w:ind w:left="207" w:hanging="360"/>
      </w:pPr>
      <w:rPr>
        <w:rFonts w:hint="default"/>
      </w:rPr>
    </w:lvl>
    <w:lvl w:ilvl="1" w:tplc="04090019" w:tentative="1">
      <w:start w:val="1"/>
      <w:numFmt w:val="lowerLetter"/>
      <w:lvlText w:val="%2."/>
      <w:lvlJc w:val="left"/>
      <w:pPr>
        <w:ind w:left="927" w:hanging="360"/>
      </w:pPr>
    </w:lvl>
    <w:lvl w:ilvl="2" w:tplc="0409001B" w:tentative="1">
      <w:start w:val="1"/>
      <w:numFmt w:val="lowerRoman"/>
      <w:lvlText w:val="%3."/>
      <w:lvlJc w:val="right"/>
      <w:pPr>
        <w:ind w:left="1647" w:hanging="180"/>
      </w:pPr>
    </w:lvl>
    <w:lvl w:ilvl="3" w:tplc="0409000F" w:tentative="1">
      <w:start w:val="1"/>
      <w:numFmt w:val="decimal"/>
      <w:lvlText w:val="%4."/>
      <w:lvlJc w:val="left"/>
      <w:pPr>
        <w:ind w:left="2367" w:hanging="360"/>
      </w:pPr>
    </w:lvl>
    <w:lvl w:ilvl="4" w:tplc="04090019" w:tentative="1">
      <w:start w:val="1"/>
      <w:numFmt w:val="lowerLetter"/>
      <w:lvlText w:val="%5."/>
      <w:lvlJc w:val="left"/>
      <w:pPr>
        <w:ind w:left="3087" w:hanging="360"/>
      </w:pPr>
    </w:lvl>
    <w:lvl w:ilvl="5" w:tplc="0409001B" w:tentative="1">
      <w:start w:val="1"/>
      <w:numFmt w:val="lowerRoman"/>
      <w:lvlText w:val="%6."/>
      <w:lvlJc w:val="right"/>
      <w:pPr>
        <w:ind w:left="3807" w:hanging="180"/>
      </w:pPr>
    </w:lvl>
    <w:lvl w:ilvl="6" w:tplc="0409000F" w:tentative="1">
      <w:start w:val="1"/>
      <w:numFmt w:val="decimal"/>
      <w:lvlText w:val="%7."/>
      <w:lvlJc w:val="left"/>
      <w:pPr>
        <w:ind w:left="4527" w:hanging="360"/>
      </w:pPr>
    </w:lvl>
    <w:lvl w:ilvl="7" w:tplc="04090019" w:tentative="1">
      <w:start w:val="1"/>
      <w:numFmt w:val="lowerLetter"/>
      <w:lvlText w:val="%8."/>
      <w:lvlJc w:val="left"/>
      <w:pPr>
        <w:ind w:left="5247" w:hanging="360"/>
      </w:pPr>
    </w:lvl>
    <w:lvl w:ilvl="8" w:tplc="0409001B" w:tentative="1">
      <w:start w:val="1"/>
      <w:numFmt w:val="lowerRoman"/>
      <w:lvlText w:val="%9."/>
      <w:lvlJc w:val="right"/>
      <w:pPr>
        <w:ind w:left="5967" w:hanging="180"/>
      </w:pPr>
    </w:lvl>
  </w:abstractNum>
  <w:abstractNum w:abstractNumId="9" w15:restartNumberingAfterBreak="0">
    <w:nsid w:val="330E6C3E"/>
    <w:multiLevelType w:val="hybridMultilevel"/>
    <w:tmpl w:val="C944DD9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3B5C75AD"/>
    <w:multiLevelType w:val="hybridMultilevel"/>
    <w:tmpl w:val="9DA0AE64"/>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1" w15:restartNumberingAfterBreak="0">
    <w:nsid w:val="3EE936A0"/>
    <w:multiLevelType w:val="hybridMultilevel"/>
    <w:tmpl w:val="18444B06"/>
    <w:lvl w:ilvl="0" w:tplc="03B6DB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6C0FF5"/>
    <w:multiLevelType w:val="hybridMultilevel"/>
    <w:tmpl w:val="B2D29D6E"/>
    <w:lvl w:ilvl="0" w:tplc="29087DD4">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8A52CD6"/>
    <w:multiLevelType w:val="hybridMultilevel"/>
    <w:tmpl w:val="696E42D4"/>
    <w:lvl w:ilvl="0" w:tplc="3E4E99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9A40EC"/>
    <w:multiLevelType w:val="hybridMultilevel"/>
    <w:tmpl w:val="33604C82"/>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5" w15:restartNumberingAfterBreak="0">
    <w:nsid w:val="50BF76E3"/>
    <w:multiLevelType w:val="hybridMultilevel"/>
    <w:tmpl w:val="35DC9D3A"/>
    <w:lvl w:ilvl="0" w:tplc="CD82A6C4">
      <w:start w:val="1"/>
      <w:numFmt w:val="decimal"/>
      <w:lvlText w:val="%1."/>
      <w:lvlJc w:val="left"/>
      <w:pPr>
        <w:ind w:left="1940" w:hanging="380"/>
      </w:pPr>
      <w:rPr>
        <w:rFonts w:hint="default"/>
        <w:sz w:val="28"/>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6" w15:restartNumberingAfterBreak="0">
    <w:nsid w:val="572321AE"/>
    <w:multiLevelType w:val="hybridMultilevel"/>
    <w:tmpl w:val="79182A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90F56EE"/>
    <w:multiLevelType w:val="hybridMultilevel"/>
    <w:tmpl w:val="5D3E9848"/>
    <w:lvl w:ilvl="0" w:tplc="8DDCAAAE">
      <w:start w:val="1"/>
      <w:numFmt w:val="decimal"/>
      <w:lvlText w:val="%1."/>
      <w:lvlJc w:val="left"/>
      <w:pPr>
        <w:ind w:left="2993" w:hanging="2000"/>
      </w:pPr>
      <w:rPr>
        <w:rFonts w:ascii="Times New Roman" w:hAnsi="Times New Roman"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8" w15:restartNumberingAfterBreak="0">
    <w:nsid w:val="72601299"/>
    <w:multiLevelType w:val="hybridMultilevel"/>
    <w:tmpl w:val="B4547C90"/>
    <w:lvl w:ilvl="0" w:tplc="AF528AD0">
      <w:start w:val="1"/>
      <w:numFmt w:val="decimal"/>
      <w:lvlText w:val="%1."/>
      <w:lvlJc w:val="left"/>
      <w:pPr>
        <w:ind w:left="2993" w:hanging="2000"/>
      </w:pPr>
      <w:rPr>
        <w:rFonts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9" w15:restartNumberingAfterBreak="0">
    <w:nsid w:val="782731FC"/>
    <w:multiLevelType w:val="hybridMultilevel"/>
    <w:tmpl w:val="1CE02784"/>
    <w:lvl w:ilvl="0" w:tplc="DC6EF5C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8A228F"/>
    <w:multiLevelType w:val="hybridMultilevel"/>
    <w:tmpl w:val="9138AE98"/>
    <w:lvl w:ilvl="0" w:tplc="5ECADADE">
      <w:start w:val="1"/>
      <w:numFmt w:val="bullet"/>
      <w:lvlText w:val="–"/>
      <w:lvlJc w:val="left"/>
      <w:pPr>
        <w:ind w:left="9720" w:hanging="360"/>
      </w:pPr>
      <w:rPr>
        <w:rFonts w:ascii="Calibri" w:eastAsiaTheme="minorHAnsi" w:hAnsi="Calibri" w:cstheme="minorBidi" w:hint="default"/>
      </w:rPr>
    </w:lvl>
    <w:lvl w:ilvl="1" w:tplc="04090003" w:tentative="1">
      <w:start w:val="1"/>
      <w:numFmt w:val="bullet"/>
      <w:lvlText w:val="o"/>
      <w:lvlJc w:val="left"/>
      <w:pPr>
        <w:ind w:left="10440" w:hanging="360"/>
      </w:pPr>
      <w:rPr>
        <w:rFonts w:ascii="Courier New" w:hAnsi="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21" w15:restartNumberingAfterBreak="0">
    <w:nsid w:val="7E2A603D"/>
    <w:multiLevelType w:val="hybridMultilevel"/>
    <w:tmpl w:val="8988A0C0"/>
    <w:lvl w:ilvl="0" w:tplc="5C6CFF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347103102">
    <w:abstractNumId w:val="19"/>
  </w:num>
  <w:num w:numId="2" w16cid:durableId="2069916524">
    <w:abstractNumId w:val="7"/>
  </w:num>
  <w:num w:numId="3" w16cid:durableId="2136830460">
    <w:abstractNumId w:val="16"/>
  </w:num>
  <w:num w:numId="4" w16cid:durableId="13776663">
    <w:abstractNumId w:val="15"/>
  </w:num>
  <w:num w:numId="5" w16cid:durableId="2083328313">
    <w:abstractNumId w:val="9"/>
  </w:num>
  <w:num w:numId="6" w16cid:durableId="1847357290">
    <w:abstractNumId w:val="21"/>
  </w:num>
  <w:num w:numId="7" w16cid:durableId="888568276">
    <w:abstractNumId w:val="5"/>
  </w:num>
  <w:num w:numId="8" w16cid:durableId="1863009756">
    <w:abstractNumId w:val="18"/>
  </w:num>
  <w:num w:numId="9" w16cid:durableId="1309360088">
    <w:abstractNumId w:val="17"/>
  </w:num>
  <w:num w:numId="10" w16cid:durableId="1680546236">
    <w:abstractNumId w:val="10"/>
  </w:num>
  <w:num w:numId="11" w16cid:durableId="821507120">
    <w:abstractNumId w:val="20"/>
  </w:num>
  <w:num w:numId="12" w16cid:durableId="1571764725">
    <w:abstractNumId w:val="3"/>
  </w:num>
  <w:num w:numId="13" w16cid:durableId="374891593">
    <w:abstractNumId w:val="14"/>
  </w:num>
  <w:num w:numId="14" w16cid:durableId="853960119">
    <w:abstractNumId w:val="13"/>
  </w:num>
  <w:num w:numId="15" w16cid:durableId="1684354953">
    <w:abstractNumId w:val="11"/>
  </w:num>
  <w:num w:numId="16" w16cid:durableId="605619018">
    <w:abstractNumId w:val="4"/>
  </w:num>
  <w:num w:numId="17" w16cid:durableId="237642087">
    <w:abstractNumId w:val="1"/>
  </w:num>
  <w:num w:numId="18" w16cid:durableId="1447191834">
    <w:abstractNumId w:val="8"/>
  </w:num>
  <w:num w:numId="19" w16cid:durableId="938367233">
    <w:abstractNumId w:val="0"/>
  </w:num>
  <w:num w:numId="20" w16cid:durableId="571699923">
    <w:abstractNumId w:val="2"/>
  </w:num>
  <w:num w:numId="21" w16cid:durableId="1851985667">
    <w:abstractNumId w:val="12"/>
  </w:num>
  <w:num w:numId="22" w16cid:durableId="6530663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51C"/>
    <w:rsid w:val="000631CA"/>
    <w:rsid w:val="0008151C"/>
    <w:rsid w:val="000B60A9"/>
    <w:rsid w:val="000E698F"/>
    <w:rsid w:val="00117F9C"/>
    <w:rsid w:val="00150BA1"/>
    <w:rsid w:val="001D6D7D"/>
    <w:rsid w:val="002029D6"/>
    <w:rsid w:val="00233B14"/>
    <w:rsid w:val="002A611F"/>
    <w:rsid w:val="002D0728"/>
    <w:rsid w:val="002E3E34"/>
    <w:rsid w:val="00346832"/>
    <w:rsid w:val="003629D1"/>
    <w:rsid w:val="003A18E4"/>
    <w:rsid w:val="003F734C"/>
    <w:rsid w:val="004910E6"/>
    <w:rsid w:val="004A5853"/>
    <w:rsid w:val="004E2BC0"/>
    <w:rsid w:val="00500DCC"/>
    <w:rsid w:val="00515779"/>
    <w:rsid w:val="005A2616"/>
    <w:rsid w:val="005D6604"/>
    <w:rsid w:val="0065372C"/>
    <w:rsid w:val="00693D33"/>
    <w:rsid w:val="006E7F9B"/>
    <w:rsid w:val="00725CF4"/>
    <w:rsid w:val="00756DD2"/>
    <w:rsid w:val="0076108F"/>
    <w:rsid w:val="00782636"/>
    <w:rsid w:val="008405F7"/>
    <w:rsid w:val="008A164B"/>
    <w:rsid w:val="00943729"/>
    <w:rsid w:val="00966FD3"/>
    <w:rsid w:val="009714A3"/>
    <w:rsid w:val="009831DC"/>
    <w:rsid w:val="009D443E"/>
    <w:rsid w:val="009F6034"/>
    <w:rsid w:val="00A40248"/>
    <w:rsid w:val="00A64B55"/>
    <w:rsid w:val="00A81439"/>
    <w:rsid w:val="00AD6303"/>
    <w:rsid w:val="00AD7ED9"/>
    <w:rsid w:val="00B2394E"/>
    <w:rsid w:val="00B5319B"/>
    <w:rsid w:val="00B73056"/>
    <w:rsid w:val="00C449E4"/>
    <w:rsid w:val="00C963F2"/>
    <w:rsid w:val="00D30478"/>
    <w:rsid w:val="00DB673A"/>
    <w:rsid w:val="00DE7822"/>
    <w:rsid w:val="00E83415"/>
    <w:rsid w:val="00E95439"/>
    <w:rsid w:val="00EF4FBD"/>
    <w:rsid w:val="00F207DF"/>
    <w:rsid w:val="00F56054"/>
    <w:rsid w:val="00F57C42"/>
    <w:rsid w:val="00F74BF9"/>
    <w:rsid w:val="00FC51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17411"/>
  <w15:chartTrackingRefBased/>
  <w15:docId w15:val="{E40FC79A-61DE-2D45-AE91-11E5E968F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51C"/>
    <w:pPr>
      <w:bidi/>
      <w:spacing w:after="120" w:line="360" w:lineRule="auto"/>
      <w:ind w:firstLine="567"/>
    </w:pPr>
    <w:rPr>
      <w:rFonts w:ascii="Times New Roman" w:eastAsiaTheme="minorEastAsia" w:hAnsi="Times New Roman" w:cs="B Nazanin"/>
      <w:szCs w:val="28"/>
    </w:rPr>
  </w:style>
  <w:style w:type="paragraph" w:styleId="Heading1">
    <w:name w:val="heading 1"/>
    <w:basedOn w:val="Normal"/>
    <w:next w:val="Normal"/>
    <w:link w:val="Heading1Char"/>
    <w:uiPriority w:val="9"/>
    <w:qFormat/>
    <w:rsid w:val="00F560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151C"/>
    <w:pPr>
      <w:bidi w:val="0"/>
      <w:spacing w:after="160" w:line="259" w:lineRule="auto"/>
      <w:ind w:left="720" w:firstLine="0"/>
      <w:contextualSpacing/>
    </w:pPr>
    <w:rPr>
      <w:rFonts w:asciiTheme="minorHAnsi" w:hAnsiTheme="minorHAnsi" w:cstheme="minorBidi"/>
      <w:sz w:val="22"/>
      <w:szCs w:val="22"/>
    </w:rPr>
  </w:style>
  <w:style w:type="paragraph" w:styleId="NormalWeb">
    <w:name w:val="Normal (Web)"/>
    <w:basedOn w:val="Normal"/>
    <w:uiPriority w:val="99"/>
    <w:unhideWhenUsed/>
    <w:rsid w:val="008A164B"/>
    <w:pPr>
      <w:bidi w:val="0"/>
      <w:spacing w:before="100" w:beforeAutospacing="1" w:after="100" w:afterAutospacing="1" w:line="240" w:lineRule="auto"/>
      <w:ind w:firstLine="0"/>
    </w:pPr>
    <w:rPr>
      <w:rFonts w:eastAsia="Times New Roman" w:cs="Times New Roman"/>
      <w:szCs w:val="24"/>
    </w:rPr>
  </w:style>
  <w:style w:type="table" w:styleId="TableGrid">
    <w:name w:val="Table Grid"/>
    <w:basedOn w:val="TableNormal"/>
    <w:uiPriority w:val="39"/>
    <w:rsid w:val="00FC5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56054"/>
    <w:rPr>
      <w:rFonts w:asciiTheme="majorHAnsi" w:eastAsiaTheme="majorEastAsia" w:hAnsiTheme="majorHAnsi" w:cstheme="majorBidi"/>
      <w:color w:val="2F5496" w:themeColor="accent1" w:themeShade="BF"/>
      <w:sz w:val="32"/>
      <w:szCs w:val="32"/>
    </w:rPr>
  </w:style>
  <w:style w:type="character" w:styleId="LineNumber">
    <w:name w:val="line number"/>
    <w:basedOn w:val="DefaultParagraphFont"/>
    <w:uiPriority w:val="99"/>
    <w:semiHidden/>
    <w:unhideWhenUsed/>
    <w:rsid w:val="00C96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914439">
      <w:bodyDiv w:val="1"/>
      <w:marLeft w:val="0"/>
      <w:marRight w:val="0"/>
      <w:marTop w:val="0"/>
      <w:marBottom w:val="0"/>
      <w:divBdr>
        <w:top w:val="none" w:sz="0" w:space="0" w:color="auto"/>
        <w:left w:val="none" w:sz="0" w:space="0" w:color="auto"/>
        <w:bottom w:val="none" w:sz="0" w:space="0" w:color="auto"/>
        <w:right w:val="none" w:sz="0" w:space="0" w:color="auto"/>
      </w:divBdr>
      <w:divsChild>
        <w:div w:id="1677729936">
          <w:marLeft w:val="0"/>
          <w:marRight w:val="0"/>
          <w:marTop w:val="0"/>
          <w:marBottom w:val="0"/>
          <w:divBdr>
            <w:top w:val="none" w:sz="0" w:space="0" w:color="auto"/>
            <w:left w:val="none" w:sz="0" w:space="0" w:color="auto"/>
            <w:bottom w:val="none" w:sz="0" w:space="0" w:color="auto"/>
            <w:right w:val="none" w:sz="0" w:space="0" w:color="auto"/>
          </w:divBdr>
          <w:divsChild>
            <w:div w:id="837816761">
              <w:marLeft w:val="0"/>
              <w:marRight w:val="0"/>
              <w:marTop w:val="0"/>
              <w:marBottom w:val="0"/>
              <w:divBdr>
                <w:top w:val="none" w:sz="0" w:space="0" w:color="auto"/>
                <w:left w:val="none" w:sz="0" w:space="0" w:color="auto"/>
                <w:bottom w:val="none" w:sz="0" w:space="0" w:color="auto"/>
                <w:right w:val="none" w:sz="0" w:space="0" w:color="auto"/>
              </w:divBdr>
              <w:divsChild>
                <w:div w:id="158749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686794">
      <w:bodyDiv w:val="1"/>
      <w:marLeft w:val="0"/>
      <w:marRight w:val="0"/>
      <w:marTop w:val="0"/>
      <w:marBottom w:val="0"/>
      <w:divBdr>
        <w:top w:val="none" w:sz="0" w:space="0" w:color="auto"/>
        <w:left w:val="none" w:sz="0" w:space="0" w:color="auto"/>
        <w:bottom w:val="none" w:sz="0" w:space="0" w:color="auto"/>
        <w:right w:val="none" w:sz="0" w:space="0" w:color="auto"/>
      </w:divBdr>
      <w:divsChild>
        <w:div w:id="734815182">
          <w:marLeft w:val="0"/>
          <w:marRight w:val="0"/>
          <w:marTop w:val="0"/>
          <w:marBottom w:val="0"/>
          <w:divBdr>
            <w:top w:val="none" w:sz="0" w:space="0" w:color="auto"/>
            <w:left w:val="none" w:sz="0" w:space="0" w:color="auto"/>
            <w:bottom w:val="none" w:sz="0" w:space="0" w:color="auto"/>
            <w:right w:val="none" w:sz="0" w:space="0" w:color="auto"/>
          </w:divBdr>
          <w:divsChild>
            <w:div w:id="1727534519">
              <w:marLeft w:val="0"/>
              <w:marRight w:val="0"/>
              <w:marTop w:val="0"/>
              <w:marBottom w:val="0"/>
              <w:divBdr>
                <w:top w:val="none" w:sz="0" w:space="0" w:color="auto"/>
                <w:left w:val="none" w:sz="0" w:space="0" w:color="auto"/>
                <w:bottom w:val="none" w:sz="0" w:space="0" w:color="auto"/>
                <w:right w:val="none" w:sz="0" w:space="0" w:color="auto"/>
              </w:divBdr>
              <w:divsChild>
                <w:div w:id="27610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DADC6-E52E-406A-A240-36BDE9103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5</Pages>
  <Words>2782</Words>
  <Characters>15858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18603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40</cp:revision>
  <dcterms:created xsi:type="dcterms:W3CDTF">2022-06-03T21:29:00Z</dcterms:created>
  <dcterms:modified xsi:type="dcterms:W3CDTF">2023-03-03T22:15:00Z</dcterms:modified>
  <cp:category/>
</cp:coreProperties>
</file>