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65E798" w14:textId="393C57F8" w:rsidR="00583061" w:rsidRDefault="00005248" w:rsidP="0058306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GB"/>
        </w:rPr>
        <w:drawing>
          <wp:anchor distT="0" distB="0" distL="114300" distR="114300" simplePos="0" relativeHeight="251659264" behindDoc="0" locked="0" layoutInCell="1" allowOverlap="1" wp14:anchorId="5B079EBE" wp14:editId="4E61D8DB">
            <wp:simplePos x="0" y="0"/>
            <wp:positionH relativeFrom="column">
              <wp:posOffset>0</wp:posOffset>
            </wp:positionH>
            <wp:positionV relativeFrom="paragraph">
              <wp:posOffset>295275</wp:posOffset>
            </wp:positionV>
            <wp:extent cx="4935220" cy="4904740"/>
            <wp:effectExtent l="0" t="0" r="5080" b="0"/>
            <wp:wrapSquare wrapText="bothSides"/>
            <wp:docPr id="222" name="그림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그림 222" descr="movie::/Users/uhtaekoh/Desktop/TTN3 Pore forming/submission/Ext Data Video 1.mp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5220" cy="4904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728DDC" w14:textId="77777777" w:rsidR="00583061" w:rsidRDefault="00583061" w:rsidP="0058306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GB"/>
        </w:rPr>
      </w:pPr>
    </w:p>
    <w:p w14:paraId="2AB8EA05" w14:textId="77777777" w:rsidR="00583061" w:rsidRDefault="00583061" w:rsidP="0058306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GB"/>
        </w:rPr>
      </w:pPr>
    </w:p>
    <w:p w14:paraId="12F68508" w14:textId="77777777" w:rsidR="00583061" w:rsidRDefault="00583061" w:rsidP="0058306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GB"/>
        </w:rPr>
      </w:pPr>
    </w:p>
    <w:p w14:paraId="165A34C3" w14:textId="77777777" w:rsidR="00583061" w:rsidRDefault="00583061" w:rsidP="0058306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GB"/>
        </w:rPr>
      </w:pPr>
    </w:p>
    <w:p w14:paraId="1DA6E0CD" w14:textId="77777777" w:rsidR="00583061" w:rsidRDefault="00583061" w:rsidP="0058306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GB"/>
        </w:rPr>
      </w:pPr>
    </w:p>
    <w:p w14:paraId="260AE8A6" w14:textId="77777777" w:rsidR="00583061" w:rsidRDefault="00583061" w:rsidP="0058306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GB"/>
        </w:rPr>
      </w:pPr>
    </w:p>
    <w:p w14:paraId="0B8BE96C" w14:textId="77777777" w:rsidR="00583061" w:rsidRDefault="00583061" w:rsidP="0058306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GB"/>
        </w:rPr>
      </w:pPr>
    </w:p>
    <w:p w14:paraId="118681CB" w14:textId="77777777" w:rsidR="00583061" w:rsidRDefault="00583061" w:rsidP="0058306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GB"/>
        </w:rPr>
      </w:pPr>
    </w:p>
    <w:p w14:paraId="702E0D01" w14:textId="77777777" w:rsidR="00583061" w:rsidRDefault="00583061" w:rsidP="0058306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GB"/>
        </w:rPr>
      </w:pPr>
    </w:p>
    <w:p w14:paraId="31B5CB69" w14:textId="77777777" w:rsidR="00583061" w:rsidRDefault="00583061" w:rsidP="0058306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GB"/>
        </w:rPr>
      </w:pPr>
    </w:p>
    <w:p w14:paraId="2649524A" w14:textId="77777777" w:rsidR="00583061" w:rsidRDefault="00583061" w:rsidP="0058306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GB"/>
        </w:rPr>
      </w:pPr>
    </w:p>
    <w:p w14:paraId="65E69DDF" w14:textId="77777777" w:rsidR="00583061" w:rsidRDefault="00583061" w:rsidP="0058306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GB"/>
        </w:rPr>
      </w:pPr>
    </w:p>
    <w:p w14:paraId="5B436EAB" w14:textId="77777777" w:rsidR="00583061" w:rsidRDefault="00583061" w:rsidP="0058306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GB"/>
        </w:rPr>
      </w:pPr>
    </w:p>
    <w:p w14:paraId="44F97D39" w14:textId="77777777" w:rsidR="00583061" w:rsidRDefault="00583061" w:rsidP="0058306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GB"/>
        </w:rPr>
      </w:pPr>
    </w:p>
    <w:p w14:paraId="3245CB26" w14:textId="77777777" w:rsidR="00583061" w:rsidRDefault="00583061" w:rsidP="0058306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GB"/>
        </w:rPr>
      </w:pPr>
    </w:p>
    <w:p w14:paraId="3A8F49AC" w14:textId="77777777" w:rsidR="00583061" w:rsidRDefault="00583061" w:rsidP="0058306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GB"/>
        </w:rPr>
      </w:pPr>
    </w:p>
    <w:p w14:paraId="260A0F4C" w14:textId="77777777" w:rsidR="00583061" w:rsidRDefault="00583061" w:rsidP="0058306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GB"/>
        </w:rPr>
      </w:pPr>
    </w:p>
    <w:p w14:paraId="6AF998D8" w14:textId="77777777" w:rsidR="00583061" w:rsidRDefault="00583061" w:rsidP="0058306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GB"/>
        </w:rPr>
      </w:pPr>
    </w:p>
    <w:p w14:paraId="04698631" w14:textId="77777777" w:rsidR="00583061" w:rsidRDefault="00583061" w:rsidP="0058306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GB"/>
        </w:rPr>
      </w:pPr>
    </w:p>
    <w:p w14:paraId="5F4DB2AE" w14:textId="77777777" w:rsidR="00583061" w:rsidRDefault="00583061" w:rsidP="0058306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</w:t>
      </w:r>
      <w:r w:rsidRPr="00DB0299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Video 1. Movie showing the tetrameric structure of mTTN3.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BB5D60">
        <w:rPr>
          <w:rFonts w:ascii="Times New Roman" w:hAnsi="Times New Roman" w:cs="Times New Roman"/>
          <w:sz w:val="24"/>
          <w:szCs w:val="24"/>
          <w:lang w:val="en-GB"/>
        </w:rPr>
        <w:t xml:space="preserve">Inner helices </w:t>
      </w:r>
    </w:p>
    <w:p w14:paraId="42CCB5D8" w14:textId="77777777" w:rsidR="00583061" w:rsidRDefault="00583061" w:rsidP="00583061">
      <w:pPr>
        <w:widowControl/>
        <w:wordWrap/>
        <w:autoSpaceDE/>
        <w:autoSpaceDN/>
        <w:ind w:firstLineChars="150" w:firstLine="360"/>
        <w:rPr>
          <w:rFonts w:ascii="Times New Roman" w:hAnsi="Times New Roman" w:cs="Times New Roman"/>
          <w:sz w:val="24"/>
          <w:szCs w:val="24"/>
          <w:lang w:val="en-GB"/>
        </w:rPr>
      </w:pPr>
      <w:r w:rsidRPr="00BB5D60">
        <w:rPr>
          <w:rFonts w:ascii="Times New Roman" w:hAnsi="Times New Roman" w:cs="Times New Roman"/>
          <w:sz w:val="24"/>
          <w:szCs w:val="24"/>
          <w:lang w:val="en-GB"/>
        </w:rPr>
        <w:t>(S3 and S4) are shown in yellow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42690A3E" w14:textId="77777777" w:rsidR="00583061" w:rsidRPr="0028473C" w:rsidRDefault="00583061" w:rsidP="00583061">
      <w:pPr>
        <w:wordWrap/>
        <w:adjustRightInd w:val="0"/>
        <w:snapToGrid w:val="0"/>
        <w:spacing w:after="0" w:line="480" w:lineRule="auto"/>
        <w:mirrorIndents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  <w:r>
        <w:rPr>
          <w:rFonts w:ascii="Times New Roman" w:hAnsi="Times New Roman" w:cs="Times New Roman"/>
          <w:b/>
          <w:bCs/>
          <w:sz w:val="36"/>
          <w:szCs w:val="36"/>
          <w:lang w:val="en-GB"/>
        </w:rPr>
        <w:br/>
      </w:r>
      <w:r>
        <w:rPr>
          <w:rFonts w:ascii="Times New Roman" w:hAnsi="Times New Roman" w:cs="Times New Roman"/>
          <w:b/>
          <w:bCs/>
          <w:sz w:val="36"/>
          <w:szCs w:val="36"/>
          <w:lang w:val="en-GB"/>
        </w:rPr>
        <w:br/>
      </w:r>
      <w:r>
        <w:rPr>
          <w:rFonts w:ascii="Times New Roman" w:hAnsi="Times New Roman" w:cs="Times New Roman"/>
          <w:b/>
          <w:bCs/>
          <w:sz w:val="36"/>
          <w:szCs w:val="36"/>
          <w:lang w:val="en-GB"/>
        </w:rPr>
        <w:br/>
      </w:r>
      <w:r>
        <w:rPr>
          <w:rFonts w:ascii="Times New Roman" w:hAnsi="Times New Roman" w:cs="Times New Roman"/>
          <w:b/>
          <w:bCs/>
          <w:sz w:val="36"/>
          <w:szCs w:val="36"/>
          <w:lang w:val="en-GB"/>
        </w:rPr>
        <w:lastRenderedPageBreak/>
        <w:br/>
      </w:r>
      <w:r w:rsidRPr="0028473C">
        <w:rPr>
          <w:rFonts w:ascii="Times New Roman" w:hAnsi="Times New Roman" w:cs="Times New Roman"/>
          <w:b/>
          <w:bCs/>
          <w:sz w:val="36"/>
          <w:szCs w:val="36"/>
          <w:lang w:val="en-GB"/>
        </w:rPr>
        <w:t>Supplementary Figures</w:t>
      </w:r>
    </w:p>
    <w:p w14:paraId="52BAC025" w14:textId="77777777" w:rsidR="00583061" w:rsidRDefault="00583061" w:rsidP="00583061">
      <w:pPr>
        <w:wordWrap/>
        <w:adjustRightInd w:val="0"/>
        <w:snapToGrid w:val="0"/>
        <w:spacing w:after="0" w:line="240" w:lineRule="auto"/>
        <w:ind w:left="426" w:hanging="360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GB"/>
        </w:rPr>
        <w:drawing>
          <wp:inline distT="0" distB="0" distL="0" distR="0" wp14:anchorId="074771AC" wp14:editId="5AE09592">
            <wp:extent cx="5438775" cy="6893373"/>
            <wp:effectExtent l="0" t="0" r="0" b="3175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0831" cy="6895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A1A30" w14:textId="77777777" w:rsidR="00583061" w:rsidRPr="00BB5D60" w:rsidRDefault="00583061" w:rsidP="00583061">
      <w:pPr>
        <w:wordWrap/>
        <w:adjustRightInd w:val="0"/>
        <w:snapToGrid w:val="0"/>
        <w:spacing w:after="0" w:line="240" w:lineRule="auto"/>
        <w:ind w:left="66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Supplementary</w:t>
      </w:r>
      <w:r w:rsidRPr="00BB227A">
        <w:rPr>
          <w:rFonts w:ascii="Times New Roman" w:hAnsi="Times New Roman" w:cs="Times New Roman"/>
          <w:b/>
          <w:sz w:val="24"/>
          <w:szCs w:val="24"/>
          <w:lang w:val="en-GB"/>
        </w:rPr>
        <w:t xml:space="preserve"> Fig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ure</w:t>
      </w:r>
      <w:r w:rsidRPr="00BB227A">
        <w:rPr>
          <w:rFonts w:ascii="Times New Roman" w:hAnsi="Times New Roman" w:cs="Times New Roman"/>
          <w:b/>
          <w:sz w:val="24"/>
          <w:szCs w:val="24"/>
          <w:lang w:val="en-GB"/>
        </w:rPr>
        <w:t xml:space="preserve"> 1. Amino</w:t>
      </w:r>
      <w:r w:rsidRPr="00BB5D60">
        <w:rPr>
          <w:rFonts w:ascii="Times New Roman" w:hAnsi="Times New Roman" w:cs="Times New Roman"/>
          <w:b/>
          <w:sz w:val="24"/>
          <w:szCs w:val="24"/>
          <w:lang w:val="en-GB"/>
        </w:rPr>
        <w:t xml:space="preserve">-acid sequences and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phylogeny of </w:t>
      </w:r>
      <w:r w:rsidRPr="00BB5D60">
        <w:rPr>
          <w:rFonts w:ascii="Times New Roman" w:hAnsi="Times New Roman" w:cs="Times New Roman"/>
          <w:b/>
          <w:sz w:val="24"/>
          <w:szCs w:val="24"/>
          <w:lang w:val="en-GB"/>
        </w:rPr>
        <w:t>TTN3 orthologs</w:t>
      </w:r>
    </w:p>
    <w:p w14:paraId="3E7B9FF8" w14:textId="77777777" w:rsidR="00583061" w:rsidRPr="00BB5D60" w:rsidRDefault="00583061" w:rsidP="00583061">
      <w:pPr>
        <w:pStyle w:val="ListParagraph"/>
        <w:numPr>
          <w:ilvl w:val="0"/>
          <w:numId w:val="2"/>
        </w:numPr>
        <w:wordWrap/>
        <w:adjustRightInd w:val="0"/>
        <w:snapToGrid w:val="0"/>
        <w:spacing w:after="0" w:line="240" w:lineRule="auto"/>
        <w:ind w:leftChars="0" w:left="426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lastRenderedPageBreak/>
        <w:t>Multiple sequence alignment was performed with Clustal Omega. Asterisks (*) are the conserved residues among the TTN3 proteins.</w:t>
      </w:r>
    </w:p>
    <w:p w14:paraId="27B4C297" w14:textId="77777777" w:rsidR="00583061" w:rsidRPr="00DA35AF" w:rsidRDefault="00583061" w:rsidP="00583061">
      <w:pPr>
        <w:pStyle w:val="ListParagraph"/>
        <w:numPr>
          <w:ilvl w:val="0"/>
          <w:numId w:val="2"/>
        </w:numPr>
        <w:wordWrap/>
        <w:adjustRightInd w:val="0"/>
        <w:snapToGrid w:val="0"/>
        <w:spacing w:after="0" w:line="240" w:lineRule="auto"/>
        <w:ind w:leftChars="0" w:left="426"/>
        <w:rPr>
          <w:rFonts w:ascii="Times New Roman" w:hAnsi="Times New Roman" w:cs="Times New Roman"/>
          <w:sz w:val="24"/>
          <w:szCs w:val="24"/>
          <w:lang w:val="en-GB"/>
        </w:rPr>
      </w:pPr>
      <w:r w:rsidRPr="00BB5D60">
        <w:rPr>
          <w:rFonts w:ascii="Times New Roman" w:hAnsi="Times New Roman" w:cs="Times New Roman"/>
          <w:sz w:val="24"/>
          <w:szCs w:val="24"/>
          <w:lang w:val="en-GB"/>
        </w:rPr>
        <w:t>Phylogeny of the TTN3 orthologs.</w:t>
      </w:r>
    </w:p>
    <w:p w14:paraId="5C99D7FF" w14:textId="77777777" w:rsidR="00583061" w:rsidRPr="00DA35AF" w:rsidRDefault="00583061" w:rsidP="00583061">
      <w:pPr>
        <w:wordWrap/>
        <w:adjustRightInd w:val="0"/>
        <w:snapToGrid w:val="0"/>
        <w:spacing w:after="0" w:line="240" w:lineRule="auto"/>
        <w:ind w:left="426" w:hanging="36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74D6E3D1" wp14:editId="72EECAB3">
            <wp:extent cx="5731510" cy="7324090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1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32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033DF" w14:textId="77777777" w:rsidR="00583061" w:rsidRPr="00BB5D60" w:rsidRDefault="00583061" w:rsidP="00583061">
      <w:pPr>
        <w:wordWrap/>
        <w:adjustRightInd w:val="0"/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Supplementary</w:t>
      </w:r>
      <w:r w:rsidRPr="00BB227A">
        <w:rPr>
          <w:rFonts w:ascii="Times New Roman" w:hAnsi="Times New Roman" w:cs="Times New Roman"/>
          <w:b/>
          <w:sz w:val="24"/>
          <w:szCs w:val="24"/>
          <w:lang w:val="en-GB"/>
        </w:rPr>
        <w:t xml:space="preserve"> Fig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ure</w:t>
      </w:r>
      <w:r w:rsidRPr="00BB227A">
        <w:rPr>
          <w:rFonts w:ascii="Times New Roman" w:hAnsi="Times New Roman" w:cs="Times New Roman"/>
          <w:b/>
          <w:sz w:val="24"/>
          <w:szCs w:val="24"/>
          <w:lang w:val="en-GB"/>
        </w:rPr>
        <w:t xml:space="preserve"> 2</w:t>
      </w:r>
      <w:r w:rsidRPr="00BB5D60">
        <w:rPr>
          <w:rFonts w:ascii="Times New Roman" w:hAnsi="Times New Roman" w:cs="Times New Roman"/>
          <w:b/>
          <w:sz w:val="24"/>
          <w:szCs w:val="24"/>
          <w:lang w:val="en-GB"/>
        </w:rPr>
        <w:t>. Purification of human and zebrafish TTN3</w:t>
      </w:r>
    </w:p>
    <w:p w14:paraId="43D2AA82" w14:textId="77777777" w:rsidR="00583061" w:rsidRPr="00BB5D60" w:rsidRDefault="00583061" w:rsidP="00583061">
      <w:pPr>
        <w:pStyle w:val="ListParagraph"/>
        <w:numPr>
          <w:ilvl w:val="0"/>
          <w:numId w:val="1"/>
        </w:numPr>
        <w:wordWrap/>
        <w:adjustRightInd w:val="0"/>
        <w:snapToGrid w:val="0"/>
        <w:spacing w:after="0" w:line="240" w:lineRule="auto"/>
        <w:ind w:leftChars="0" w:left="426"/>
        <w:rPr>
          <w:rFonts w:ascii="Times New Roman" w:hAnsi="Times New Roman" w:cs="Times New Roman"/>
          <w:sz w:val="24"/>
          <w:szCs w:val="24"/>
          <w:lang w:val="en-GB"/>
        </w:rPr>
      </w:pPr>
      <w:r w:rsidRPr="00BB5D60">
        <w:rPr>
          <w:rFonts w:ascii="Times New Roman" w:hAnsi="Times New Roman" w:cs="Times New Roman"/>
          <w:sz w:val="24"/>
          <w:szCs w:val="24"/>
          <w:lang w:val="en-GB"/>
        </w:rPr>
        <w:t>SDS-PAGE and western blot images of purified human (</w:t>
      </w:r>
      <w:r w:rsidRPr="00BB5D60">
        <w:rPr>
          <w:rFonts w:ascii="Times New Roman" w:hAnsi="Times New Roman" w:cs="Times New Roman"/>
          <w:i/>
          <w:sz w:val="24"/>
          <w:szCs w:val="24"/>
          <w:lang w:val="en-GB"/>
        </w:rPr>
        <w:t>Homo</w:t>
      </w:r>
      <w:r w:rsidRPr="00BB5D60">
        <w:rPr>
          <w:rFonts w:ascii="Times New Roman" w:hAnsi="Times New Roman" w:cs="Times New Roman"/>
          <w:sz w:val="24"/>
          <w:szCs w:val="24"/>
          <w:lang w:val="en-GB"/>
        </w:rPr>
        <w:t>) and zebrafish (</w:t>
      </w:r>
      <w:r w:rsidRPr="00BB5D60">
        <w:rPr>
          <w:rFonts w:ascii="Times New Roman" w:hAnsi="Times New Roman" w:cs="Times New Roman"/>
          <w:i/>
          <w:sz w:val="24"/>
          <w:szCs w:val="24"/>
          <w:lang w:val="en-GB"/>
        </w:rPr>
        <w:t>Danio</w:t>
      </w:r>
      <w:r w:rsidRPr="00BB5D60">
        <w:rPr>
          <w:rFonts w:ascii="Times New Roman" w:hAnsi="Times New Roman" w:cs="Times New Roman"/>
          <w:sz w:val="24"/>
          <w:szCs w:val="24"/>
          <w:lang w:val="en-GB"/>
        </w:rPr>
        <w:t>) P9-</w:t>
      </w:r>
      <w:r w:rsidRPr="00BB5D60">
        <w:rPr>
          <w:rFonts w:ascii="Times New Roman" w:hAnsi="Times New Roman" w:cs="Times New Roman"/>
          <w:sz w:val="24"/>
          <w:szCs w:val="24"/>
          <w:lang w:val="en-GB"/>
        </w:rPr>
        <w:lastRenderedPageBreak/>
        <w:t xml:space="preserve">TTN3. 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Human and zebrafish P9-TTN3 were tagged with hexa histidine. </w:t>
      </w:r>
      <w:r w:rsidRPr="00BB5D60">
        <w:rPr>
          <w:rFonts w:ascii="Times New Roman" w:hAnsi="Times New Roman" w:cs="Times New Roman"/>
          <w:sz w:val="24"/>
          <w:szCs w:val="24"/>
          <w:lang w:val="en-GB"/>
        </w:rPr>
        <w:t xml:space="preserve">Anti-his tag (Anti-His) and anti-P9 specific (Anti-P9) antibodies were used in </w:t>
      </w:r>
      <w:r>
        <w:rPr>
          <w:rFonts w:ascii="Times New Roman" w:hAnsi="Times New Roman" w:cs="Times New Roman"/>
          <w:sz w:val="24"/>
          <w:szCs w:val="24"/>
          <w:lang w:val="en-GB"/>
        </w:rPr>
        <w:t>the W</w:t>
      </w:r>
      <w:r w:rsidRPr="00BB5D60">
        <w:rPr>
          <w:rFonts w:ascii="Times New Roman" w:hAnsi="Times New Roman" w:cs="Times New Roman"/>
          <w:sz w:val="24"/>
          <w:szCs w:val="24"/>
          <w:lang w:val="en-GB"/>
        </w:rPr>
        <w:t>estern blot.</w:t>
      </w:r>
    </w:p>
    <w:p w14:paraId="03E4156C" w14:textId="77777777" w:rsidR="00583061" w:rsidRPr="00BB5D60" w:rsidRDefault="00583061" w:rsidP="00583061">
      <w:pPr>
        <w:pStyle w:val="ListParagraph"/>
        <w:numPr>
          <w:ilvl w:val="0"/>
          <w:numId w:val="1"/>
        </w:numPr>
        <w:wordWrap/>
        <w:adjustRightInd w:val="0"/>
        <w:snapToGrid w:val="0"/>
        <w:spacing w:after="0" w:line="240" w:lineRule="auto"/>
        <w:ind w:leftChars="0" w:left="426"/>
        <w:rPr>
          <w:rFonts w:ascii="Times New Roman" w:hAnsi="Times New Roman" w:cs="Times New Roman"/>
          <w:sz w:val="24"/>
          <w:szCs w:val="24"/>
          <w:lang w:val="en-GB"/>
        </w:rPr>
      </w:pPr>
      <w:r w:rsidRPr="00BB5D60">
        <w:rPr>
          <w:rFonts w:ascii="Times New Roman" w:hAnsi="Times New Roman" w:cs="Times New Roman"/>
          <w:sz w:val="24"/>
          <w:szCs w:val="24"/>
          <w:lang w:val="en-GB"/>
        </w:rPr>
        <w:t xml:space="preserve">Size exclusion chromatogram of the </w:t>
      </w:r>
      <w:r w:rsidRPr="00BB5D6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a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lkyl polyglycoside</w:t>
      </w:r>
      <w:r w:rsidRPr="00BB5D60">
        <w:rPr>
          <w:rFonts w:ascii="Times New Roman" w:hAnsi="Times New Roman" w:cs="Times New Roman"/>
          <w:sz w:val="24"/>
          <w:szCs w:val="24"/>
          <w:lang w:val="en-GB"/>
        </w:rPr>
        <w:t xml:space="preserve"> (APG)-stabilised hTTN3 using a Superdex 200 increase 10/300 GL column.</w:t>
      </w:r>
    </w:p>
    <w:p w14:paraId="60167BB1" w14:textId="77777777" w:rsidR="00583061" w:rsidRPr="00BB5D60" w:rsidRDefault="00583061" w:rsidP="00583061">
      <w:pPr>
        <w:pStyle w:val="ListParagraph"/>
        <w:numPr>
          <w:ilvl w:val="0"/>
          <w:numId w:val="1"/>
        </w:numPr>
        <w:wordWrap/>
        <w:adjustRightInd w:val="0"/>
        <w:snapToGrid w:val="0"/>
        <w:spacing w:after="0" w:line="240" w:lineRule="auto"/>
        <w:ind w:leftChars="0" w:left="426"/>
        <w:rPr>
          <w:rFonts w:ascii="Times New Roman" w:hAnsi="Times New Roman" w:cs="Times New Roman"/>
          <w:sz w:val="24"/>
          <w:szCs w:val="24"/>
          <w:lang w:val="en-GB"/>
        </w:rPr>
      </w:pPr>
      <w:r w:rsidRPr="00BB5D60">
        <w:rPr>
          <w:rFonts w:ascii="Times New Roman" w:hAnsi="Times New Roman" w:cs="Times New Roman"/>
          <w:sz w:val="24"/>
          <w:szCs w:val="24"/>
          <w:lang w:val="en-GB"/>
        </w:rPr>
        <w:t xml:space="preserve">Schematic diagram depicting the recording of single-channel currents from the 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DPhPC </w:t>
      </w:r>
      <w:r w:rsidRPr="00BB5D60">
        <w:rPr>
          <w:rFonts w:ascii="Times New Roman" w:hAnsi="Times New Roman" w:cs="Times New Roman"/>
          <w:sz w:val="24"/>
          <w:szCs w:val="24"/>
          <w:lang w:val="en-GB"/>
        </w:rPr>
        <w:t>lipid bilayer incorporated with purified TTN3 proteins.</w:t>
      </w:r>
    </w:p>
    <w:p w14:paraId="59941CA0" w14:textId="77777777" w:rsidR="00583061" w:rsidRDefault="00583061" w:rsidP="00583061">
      <w:pPr>
        <w:pStyle w:val="ListParagraph"/>
        <w:widowControl/>
        <w:numPr>
          <w:ilvl w:val="0"/>
          <w:numId w:val="1"/>
        </w:numPr>
        <w:wordWrap/>
        <w:autoSpaceDE/>
        <w:autoSpaceDN/>
        <w:adjustRightInd w:val="0"/>
        <w:snapToGrid w:val="0"/>
        <w:spacing w:after="0" w:line="240" w:lineRule="auto"/>
        <w:ind w:leftChars="0" w:left="426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Representative traces of spontaneous single-channel currents of MscL. MscL proteins were purified and reconstituted in the DPhPC lipid bilayer. Channel currents were recorded at 100 mV. Lower panel: spontaneous channel currents blocked by application of 20 µM Gd3+.</w:t>
      </w:r>
    </w:p>
    <w:p w14:paraId="221B1279" w14:textId="77777777" w:rsidR="00583061" w:rsidRPr="00DA35AF" w:rsidRDefault="00583061" w:rsidP="00583061">
      <w:pPr>
        <w:widowControl/>
        <w:wordWrap/>
        <w:autoSpaceDE/>
        <w:autoSpaceDN/>
        <w:adjustRightInd w:val="0"/>
        <w:snapToGrid w:val="0"/>
        <w:spacing w:after="0" w:line="240" w:lineRule="auto"/>
        <w:ind w:left="26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/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br/>
      </w:r>
    </w:p>
    <w:p w14:paraId="03A07876" w14:textId="77777777" w:rsidR="00583061" w:rsidRDefault="00583061" w:rsidP="00583061">
      <w:pPr>
        <w:wordWrap/>
        <w:adjustRightInd w:val="0"/>
        <w:snapToGri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val="en-GB"/>
        </w:rPr>
        <w:lastRenderedPageBreak/>
        <w:drawing>
          <wp:inline distT="0" distB="0" distL="0" distR="0" wp14:anchorId="4DE325F2" wp14:editId="1E338491">
            <wp:extent cx="5731510" cy="6126480"/>
            <wp:effectExtent l="0" t="0" r="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그림 1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12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3A0BCD" w14:textId="77777777" w:rsidR="00583061" w:rsidRPr="00BB5D60" w:rsidRDefault="00583061" w:rsidP="00583061">
      <w:pPr>
        <w:wordWrap/>
        <w:adjustRightInd w:val="0"/>
        <w:snapToGri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Supplementary</w:t>
      </w:r>
      <w:r w:rsidRPr="00BB227A">
        <w:rPr>
          <w:rFonts w:ascii="Times New Roman" w:hAnsi="Times New Roman" w:cs="Times New Roman"/>
          <w:b/>
          <w:sz w:val="24"/>
          <w:szCs w:val="24"/>
          <w:lang w:val="en-GB"/>
        </w:rPr>
        <w:t xml:space="preserve"> Fig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ure</w:t>
      </w:r>
      <w:r w:rsidRPr="00BB227A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 xml:space="preserve"> 3. Purification and determination of </w:t>
      </w:r>
      <w:r w:rsidRPr="00BB5D60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subunit composition of hTTN3</w:t>
      </w:r>
    </w:p>
    <w:p w14:paraId="53E39582" w14:textId="77777777" w:rsidR="00583061" w:rsidRPr="00BB5D60" w:rsidRDefault="00583061" w:rsidP="00583061">
      <w:pPr>
        <w:pStyle w:val="ListParagraph"/>
        <w:numPr>
          <w:ilvl w:val="0"/>
          <w:numId w:val="3"/>
        </w:numPr>
        <w:wordWrap/>
        <w:adjustRightInd w:val="0"/>
        <w:snapToGrid w:val="0"/>
        <w:spacing w:after="0" w:line="240" w:lineRule="auto"/>
        <w:ind w:leftChars="0" w:left="426" w:hanging="426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SDS-PAGE of hTTN3 after Ni-NTA chromatography. M = size marker, T = total cell lysate, MF = membrane fraction, SMF = solubilised membrane fraction, E = elution fraction of Ni-NTA column. Monomeric and oligomeric forms of hTTN3 are indicated by arrows.</w:t>
      </w:r>
    </w:p>
    <w:p w14:paraId="5CEB747E" w14:textId="77777777" w:rsidR="00583061" w:rsidRPr="00BB5D60" w:rsidRDefault="00583061" w:rsidP="00583061">
      <w:pPr>
        <w:pStyle w:val="ListParagraph"/>
        <w:numPr>
          <w:ilvl w:val="0"/>
          <w:numId w:val="3"/>
        </w:numPr>
        <w:wordWrap/>
        <w:adjustRightInd w:val="0"/>
        <w:snapToGrid w:val="0"/>
        <w:spacing w:after="0" w:line="240" w:lineRule="auto"/>
        <w:ind w:leftChars="0" w:left="426" w:hanging="426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Western blot of hTTN3 after Ni-NTA chromatography using anti-His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6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antibody.</w:t>
      </w:r>
    </w:p>
    <w:p w14:paraId="4FE0DE90" w14:textId="77777777" w:rsidR="00583061" w:rsidRPr="00BB5D60" w:rsidRDefault="00583061" w:rsidP="00583061">
      <w:pPr>
        <w:pStyle w:val="ListParagraph"/>
        <w:numPr>
          <w:ilvl w:val="0"/>
          <w:numId w:val="3"/>
        </w:numPr>
        <w:wordWrap/>
        <w:adjustRightInd w:val="0"/>
        <w:snapToGrid w:val="0"/>
        <w:spacing w:after="0" w:line="240" w:lineRule="auto"/>
        <w:ind w:leftChars="0" w:left="426" w:hanging="426"/>
        <w:rPr>
          <w:rFonts w:ascii="Times New Roman" w:hAnsi="Times New Roman" w:cs="Times New Roman"/>
          <w:color w:val="000000" w:themeColor="text1"/>
          <w:kern w:val="24"/>
          <w:sz w:val="24"/>
          <w:szCs w:val="24"/>
          <w:lang w:val="en-GB"/>
        </w:rPr>
      </w:pP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Western blots of cross-linking products of purified P9-hTTN3 by Ni-NTA chromatography after using anti-His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6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antibody. Concentrations of 0, 5, 10, or 15 µM of Bis(</w:t>
      </w:r>
      <w:r w:rsidRPr="00BB227A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sym w:font="Symbol" w:char="F062"/>
      </w:r>
      <w:r w:rsidRPr="00BB227A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-[4-azidosalicylamido]-ethyl) disulph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ide (BASED) was used for the cross-linking reactions. M = size marker. Monomeric (M), </w:t>
      </w:r>
      <w:r w:rsidRPr="00BB227A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dimeric (D), trimeric (t) and tetrameric (T) products of cross-linking reaction are indicated 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with triangles.</w:t>
      </w:r>
    </w:p>
    <w:p w14:paraId="00C71D86" w14:textId="77777777" w:rsidR="00583061" w:rsidRPr="00BB5D60" w:rsidRDefault="00583061" w:rsidP="00583061">
      <w:pPr>
        <w:wordWrap/>
        <w:adjustRightInd w:val="0"/>
        <w:snapToGrid w:val="0"/>
        <w:spacing w:after="0" w:line="240" w:lineRule="auto"/>
        <w:ind w:left="426" w:hanging="360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1C43DAC" w14:textId="77777777" w:rsidR="00583061" w:rsidRDefault="00583061" w:rsidP="00583061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07EDED5" w14:textId="77777777" w:rsidR="00583061" w:rsidRDefault="00583061" w:rsidP="00583061">
      <w:pPr>
        <w:wordWrap/>
        <w:adjustRightInd w:val="0"/>
        <w:snapToGrid w:val="0"/>
        <w:spacing w:after="0" w:line="240" w:lineRule="auto"/>
        <w:ind w:left="426" w:hangingChars="177" w:hanging="426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GB"/>
        </w:rPr>
        <w:drawing>
          <wp:inline distT="0" distB="0" distL="0" distR="0" wp14:anchorId="39716560" wp14:editId="4E4ADE47">
            <wp:extent cx="5731510" cy="2614295"/>
            <wp:effectExtent l="0" t="0" r="2540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그림 1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1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74D3E" w14:textId="77777777" w:rsidR="00583061" w:rsidRDefault="00583061" w:rsidP="00583061">
      <w:pPr>
        <w:wordWrap/>
        <w:adjustRightInd w:val="0"/>
        <w:snapToGrid w:val="0"/>
        <w:spacing w:after="0" w:line="240" w:lineRule="auto"/>
        <w:ind w:left="426" w:hangingChars="177" w:hanging="426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Supplementary Figure</w:t>
      </w:r>
      <w:r w:rsidRPr="00BB227A">
        <w:rPr>
          <w:rFonts w:ascii="Times New Roman" w:hAnsi="Times New Roman" w:cs="Times New Roman"/>
          <w:b/>
          <w:sz w:val="24"/>
          <w:szCs w:val="24"/>
          <w:lang w:val="en-GB"/>
        </w:rPr>
        <w:t xml:space="preserve"> 4. </w:t>
      </w:r>
      <w:r w:rsidRPr="00BB5D60">
        <w:rPr>
          <w:rFonts w:ascii="Times New Roman" w:hAnsi="Times New Roman" w:cs="Times New Roman"/>
          <w:b/>
          <w:sz w:val="24"/>
          <w:szCs w:val="24"/>
          <w:lang w:val="en-GB"/>
        </w:rPr>
        <w:t>mTTN3 monomeric model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BB5D60">
        <w:rPr>
          <w:rFonts w:ascii="Times New Roman" w:hAnsi="Times New Roman" w:cs="Times New Roman"/>
          <w:b/>
          <w:bCs/>
          <w:sz w:val="24"/>
          <w:szCs w:val="24"/>
          <w:lang w:val="en-GB"/>
        </w:rPr>
        <w:t>(</w:t>
      </w:r>
      <w:r w:rsidRPr="00BB5D60">
        <w:rPr>
          <w:rFonts w:ascii="Times New Roman" w:hAnsi="Times New Roman" w:cs="Times New Roman"/>
          <w:b/>
          <w:sz w:val="24"/>
          <w:szCs w:val="24"/>
          <w:lang w:val="en-GB"/>
        </w:rPr>
        <w:t xml:space="preserve">side </w:t>
      </w:r>
      <w:r w:rsidRPr="00BB5D60">
        <w:rPr>
          <w:rFonts w:ascii="Times New Roman" w:hAnsi="Times New Roman" w:cs="Times New Roman"/>
          <w:b/>
          <w:bCs/>
          <w:sz w:val="24"/>
          <w:szCs w:val="24"/>
          <w:lang w:val="en-GB"/>
        </w:rPr>
        <w:t>[</w:t>
      </w:r>
      <w:r w:rsidRPr="00BB5D60">
        <w:rPr>
          <w:rFonts w:ascii="Times New Roman" w:hAnsi="Times New Roman" w:cs="Times New Roman"/>
          <w:b/>
          <w:sz w:val="24"/>
          <w:szCs w:val="24"/>
          <w:lang w:val="en-GB"/>
        </w:rPr>
        <w:t>left</w:t>
      </w:r>
      <w:r w:rsidRPr="00BB5D60">
        <w:rPr>
          <w:rFonts w:ascii="Times New Roman" w:hAnsi="Times New Roman" w:cs="Times New Roman"/>
          <w:b/>
          <w:bCs/>
          <w:sz w:val="24"/>
          <w:szCs w:val="24"/>
          <w:lang w:val="en-GB"/>
        </w:rPr>
        <w:t>]</w:t>
      </w:r>
      <w:r w:rsidRPr="00BB5D60">
        <w:rPr>
          <w:rFonts w:ascii="Times New Roman" w:hAnsi="Times New Roman" w:cs="Times New Roman"/>
          <w:b/>
          <w:sz w:val="24"/>
          <w:szCs w:val="24"/>
          <w:lang w:val="en-GB"/>
        </w:rPr>
        <w:t xml:space="preserve"> and top </w:t>
      </w:r>
      <w:r w:rsidRPr="00BB5D60">
        <w:rPr>
          <w:rFonts w:ascii="Times New Roman" w:hAnsi="Times New Roman" w:cs="Times New Roman"/>
          <w:b/>
          <w:bCs/>
          <w:sz w:val="24"/>
          <w:szCs w:val="24"/>
          <w:lang w:val="en-GB"/>
        </w:rPr>
        <w:t>[</w:t>
      </w:r>
      <w:r w:rsidRPr="00BB5D60">
        <w:rPr>
          <w:rFonts w:ascii="Times New Roman" w:hAnsi="Times New Roman" w:cs="Times New Roman"/>
          <w:b/>
          <w:sz w:val="24"/>
          <w:szCs w:val="24"/>
          <w:lang w:val="en-GB"/>
        </w:rPr>
        <w:t>right</w:t>
      </w:r>
      <w:r w:rsidRPr="00BB5D60">
        <w:rPr>
          <w:rFonts w:ascii="Times New Roman" w:hAnsi="Times New Roman" w:cs="Times New Roman"/>
          <w:b/>
          <w:bCs/>
          <w:sz w:val="24"/>
          <w:szCs w:val="24"/>
          <w:lang w:val="en-GB"/>
        </w:rPr>
        <w:t>]</w:t>
      </w:r>
      <w:r w:rsidRPr="00BB5D60">
        <w:rPr>
          <w:rFonts w:ascii="Times New Roman" w:hAnsi="Times New Roman" w:cs="Times New Roman"/>
          <w:b/>
          <w:sz w:val="24"/>
          <w:szCs w:val="24"/>
          <w:lang w:val="en-GB"/>
        </w:rPr>
        <w:t xml:space="preserve"> views</w:t>
      </w:r>
      <w:r w:rsidRPr="00BB5D60">
        <w:rPr>
          <w:rFonts w:ascii="Times New Roman" w:hAnsi="Times New Roman" w:cs="Times New Roman"/>
          <w:b/>
          <w:bCs/>
          <w:sz w:val="24"/>
          <w:szCs w:val="24"/>
          <w:lang w:val="en-GB"/>
        </w:rPr>
        <w:t>)</w:t>
      </w:r>
      <w:r w:rsidRPr="00BB5D60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BB5D60">
        <w:rPr>
          <w:rFonts w:ascii="Times New Roman" w:hAnsi="Times New Roman" w:cs="Times New Roman"/>
          <w:sz w:val="24"/>
          <w:szCs w:val="24"/>
          <w:lang w:val="en-GB"/>
        </w:rPr>
        <w:t xml:space="preserve">The model was generated with the AlphaFold2 program. The protein structure is displayed as a cartoon representation with colour-coded 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predicted local-distance difference test (</w:t>
      </w:r>
      <w:r w:rsidRPr="00BB5D60">
        <w:rPr>
          <w:rFonts w:ascii="Times New Roman" w:hAnsi="Times New Roman" w:cs="Times New Roman"/>
          <w:sz w:val="24"/>
          <w:szCs w:val="24"/>
          <w:lang w:val="en-GB"/>
        </w:rPr>
        <w:t>pLDDT) scores. The average pLDDT score of all residues was 91.9.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br w:type="page"/>
      </w:r>
    </w:p>
    <w:p w14:paraId="5A9B48BF" w14:textId="77777777" w:rsidR="00583061" w:rsidRDefault="00583061" w:rsidP="00583061">
      <w:pPr>
        <w:widowControl/>
        <w:wordWrap/>
        <w:autoSpaceDE/>
        <w:autoSpaceDN/>
        <w:adjustRightInd w:val="0"/>
        <w:snapToGrid w:val="0"/>
        <w:spacing w:after="0" w:line="240" w:lineRule="auto"/>
        <w:ind w:left="426" w:hangingChars="177" w:hanging="426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GB"/>
        </w:rPr>
        <w:lastRenderedPageBreak/>
        <w:drawing>
          <wp:inline distT="0" distB="0" distL="0" distR="0" wp14:anchorId="293E31CC" wp14:editId="52091714">
            <wp:extent cx="5731510" cy="7607935"/>
            <wp:effectExtent l="0" t="0" r="254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그림 1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07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429FBB" w14:textId="77777777" w:rsidR="00583061" w:rsidRPr="00BB5D60" w:rsidRDefault="00583061" w:rsidP="00583061">
      <w:pPr>
        <w:widowControl/>
        <w:wordWrap/>
        <w:autoSpaceDE/>
        <w:autoSpaceDN/>
        <w:adjustRightInd w:val="0"/>
        <w:snapToGrid w:val="0"/>
        <w:spacing w:after="0" w:line="240" w:lineRule="auto"/>
        <w:ind w:left="426" w:hangingChars="177" w:hanging="426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Supplementary</w:t>
      </w:r>
      <w:r w:rsidRPr="00BB227A">
        <w:rPr>
          <w:rFonts w:ascii="Times New Roman" w:hAnsi="Times New Roman" w:cs="Times New Roman"/>
          <w:b/>
          <w:sz w:val="24"/>
          <w:szCs w:val="24"/>
          <w:lang w:val="en-GB"/>
        </w:rPr>
        <w:t xml:space="preserve"> Fig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ure</w:t>
      </w:r>
      <w:r w:rsidRPr="00BB227A">
        <w:rPr>
          <w:rFonts w:ascii="Times New Roman" w:hAnsi="Times New Roman" w:cs="Times New Roman"/>
          <w:b/>
          <w:kern w:val="0"/>
          <w:sz w:val="24"/>
          <w:szCs w:val="24"/>
          <w:lang w:val="en-GB"/>
        </w:rPr>
        <w:t xml:space="preserve"> 5.</w:t>
      </w:r>
      <w:r w:rsidRPr="00BB227A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</w:t>
      </w:r>
      <w:r w:rsidRPr="00BB5D60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 xml:space="preserve">Snapshot and </w:t>
      </w:r>
      <w:r w:rsidRPr="00BB5D60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time evolution</w:t>
      </w:r>
      <w:r w:rsidRPr="00BB5D60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lang w:val="en-GB"/>
        </w:rPr>
        <w:t xml:space="preserve"> of the molecular dynamics simulations upon stretching the lipid bilayer</w:t>
      </w:r>
    </w:p>
    <w:p w14:paraId="20F68255" w14:textId="77777777" w:rsidR="00583061" w:rsidRPr="00BB5D60" w:rsidRDefault="00583061" w:rsidP="00583061">
      <w:pPr>
        <w:widowControl/>
        <w:wordWrap/>
        <w:autoSpaceDE/>
        <w:autoSpaceDN/>
        <w:adjustRightInd w:val="0"/>
        <w:snapToGrid w:val="0"/>
        <w:spacing w:after="0" w:line="240" w:lineRule="auto"/>
        <w:ind w:left="426" w:hangingChars="177" w:hanging="426"/>
        <w:rPr>
          <w:rFonts w:ascii="Times New Roman" w:hAnsi="Times New Roman" w:cs="Times New Roman"/>
          <w:kern w:val="0"/>
          <w:sz w:val="24"/>
          <w:szCs w:val="24"/>
          <w:lang w:val="en-GB"/>
        </w:rPr>
      </w:pPr>
      <w:r w:rsidRPr="00BB5D60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(a)</w:t>
      </w:r>
      <w:r w:rsidRPr="00BB5D6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BB5D60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en-GB"/>
        </w:rPr>
        <w:t>Snapshot of the molecular dynamics simulation system at t</w:t>
      </w:r>
      <w:r w:rsidRPr="00BB5D60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he starting point of the production run. Top (left) and side (right) view. The system consisted of a TTN3 tetramer, 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1,2-dioleoyl-sn-glycero-3-phosphocholine (DOPC</w:t>
      </w:r>
      <w:r w:rsidRPr="00BB5D60">
        <w:rPr>
          <w:rFonts w:ascii="Times New Roman" w:eastAsia="BatangChe" w:hAnsi="Times New Roman" w:cs="Times New Roman"/>
          <w:color w:val="000000" w:themeColor="text1"/>
          <w:sz w:val="24"/>
          <w:szCs w:val="24"/>
          <w:lang w:val="en-GB"/>
        </w:rPr>
        <w:t>)</w:t>
      </w:r>
      <w:r w:rsidRPr="00BB5D60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bilayer, and ionic solution. TTN3 tetramer</w:t>
      </w:r>
      <w:r w:rsidRPr="00BB5D60">
        <w:rPr>
          <w:rFonts w:ascii="Times New Roman" w:eastAsia="Malgun Gothic" w:hAnsi="Times New Roman" w:cs="Times New Roman"/>
          <w:kern w:val="0"/>
          <w:sz w:val="24"/>
          <w:szCs w:val="24"/>
          <w:lang w:val="en-GB"/>
        </w:rPr>
        <w:t>,</w:t>
      </w:r>
      <w:r w:rsidRPr="00BB5D60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red</w:t>
      </w:r>
      <w:r w:rsidRPr="00BB5D60">
        <w:rPr>
          <w:rFonts w:ascii="Times New Roman" w:eastAsia="Malgun Gothic" w:hAnsi="Times New Roman" w:cs="Times New Roman"/>
          <w:kern w:val="0"/>
          <w:sz w:val="24"/>
          <w:szCs w:val="24"/>
          <w:lang w:val="en-GB"/>
        </w:rPr>
        <w:t>;</w:t>
      </w:r>
      <w:r w:rsidRPr="00BB5D60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DOPC</w:t>
      </w:r>
      <w:r w:rsidRPr="00BB5D60">
        <w:rPr>
          <w:rFonts w:ascii="Times New Roman" w:eastAsia="Malgun Gothic" w:hAnsi="Times New Roman" w:cs="Times New Roman"/>
          <w:kern w:val="0"/>
          <w:sz w:val="24"/>
          <w:szCs w:val="24"/>
          <w:lang w:val="en-GB"/>
        </w:rPr>
        <w:t>,</w:t>
      </w:r>
      <w:r w:rsidRPr="00BB5D60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gr</w:t>
      </w:r>
      <w:r w:rsidRPr="00BB5D60">
        <w:rPr>
          <w:rFonts w:ascii="Times New Roman" w:eastAsia="Malgun Gothic" w:hAnsi="Times New Roman" w:cs="Times New Roman"/>
          <w:kern w:val="0"/>
          <w:sz w:val="24"/>
          <w:szCs w:val="24"/>
          <w:lang w:val="en-GB"/>
        </w:rPr>
        <w:t>e</w:t>
      </w:r>
      <w:r w:rsidRPr="00BB5D60">
        <w:rPr>
          <w:rFonts w:ascii="Times New Roman" w:hAnsi="Times New Roman" w:cs="Times New Roman"/>
          <w:kern w:val="0"/>
          <w:sz w:val="24"/>
          <w:szCs w:val="24"/>
          <w:lang w:val="en-GB"/>
        </w:rPr>
        <w:t>y</w:t>
      </w:r>
      <w:r w:rsidRPr="00BB5D60">
        <w:rPr>
          <w:rFonts w:ascii="Times New Roman" w:eastAsia="Malgun Gothic" w:hAnsi="Times New Roman" w:cs="Times New Roman"/>
          <w:kern w:val="0"/>
          <w:sz w:val="24"/>
          <w:szCs w:val="24"/>
          <w:lang w:val="en-GB"/>
        </w:rPr>
        <w:t>;</w:t>
      </w:r>
      <w:r w:rsidRPr="00BB5D60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K</w:t>
      </w:r>
      <w:r w:rsidRPr="00BB5D60">
        <w:rPr>
          <w:rFonts w:ascii="Times New Roman" w:eastAsia="Malgun Gothic" w:hAnsi="Times New Roman" w:cs="Times New Roman"/>
          <w:kern w:val="0"/>
          <w:sz w:val="24"/>
          <w:szCs w:val="24"/>
          <w:vertAlign w:val="superscript"/>
          <w:lang w:val="en-GB"/>
        </w:rPr>
        <w:t>+</w:t>
      </w:r>
      <w:r w:rsidRPr="00BB5D60">
        <w:rPr>
          <w:rFonts w:ascii="Times New Roman" w:eastAsia="Malgun Gothic" w:hAnsi="Times New Roman" w:cs="Times New Roman"/>
          <w:kern w:val="0"/>
          <w:sz w:val="24"/>
          <w:szCs w:val="24"/>
          <w:lang w:val="en-GB"/>
        </w:rPr>
        <w:t>,</w:t>
      </w:r>
      <w:r w:rsidRPr="00BB5D60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purple</w:t>
      </w:r>
      <w:r w:rsidRPr="00BB5D60">
        <w:rPr>
          <w:rFonts w:ascii="Times New Roman" w:eastAsia="Malgun Gothic" w:hAnsi="Times New Roman" w:cs="Times New Roman"/>
          <w:kern w:val="0"/>
          <w:sz w:val="24"/>
          <w:szCs w:val="24"/>
          <w:lang w:val="en-GB"/>
        </w:rPr>
        <w:t>;</w:t>
      </w:r>
      <w:r w:rsidRPr="00BB5D60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Cl</w:t>
      </w:r>
      <w:r w:rsidRPr="00BB5D60">
        <w:rPr>
          <w:rFonts w:ascii="Times New Roman" w:eastAsia="Malgun Gothic" w:hAnsi="Times New Roman" w:cs="Times New Roman"/>
          <w:kern w:val="0"/>
          <w:sz w:val="24"/>
          <w:szCs w:val="24"/>
          <w:vertAlign w:val="superscript"/>
          <w:lang w:val="en-GB"/>
        </w:rPr>
        <w:t>–</w:t>
      </w:r>
      <w:r w:rsidRPr="00BB5D60">
        <w:rPr>
          <w:rFonts w:ascii="Times New Roman" w:eastAsia="Malgun Gothic" w:hAnsi="Times New Roman" w:cs="Times New Roman"/>
          <w:kern w:val="0"/>
          <w:sz w:val="24"/>
          <w:szCs w:val="24"/>
          <w:lang w:val="en-GB"/>
        </w:rPr>
        <w:t>,</w:t>
      </w:r>
      <w:r w:rsidRPr="00BB5D60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green.</w:t>
      </w:r>
    </w:p>
    <w:p w14:paraId="2BF2AF9A" w14:textId="77777777" w:rsidR="00583061" w:rsidRPr="00BB5D60" w:rsidRDefault="00583061" w:rsidP="00583061">
      <w:pPr>
        <w:wordWrap/>
        <w:adjustRightInd w:val="0"/>
        <w:snapToGrid w:val="0"/>
        <w:spacing w:after="0" w:line="240" w:lineRule="auto"/>
        <w:ind w:left="426" w:hangingChars="177" w:hanging="426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BB5D60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(b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and </w:t>
      </w:r>
      <w:r w:rsidRPr="00BB5D60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 xml:space="preserve">c) 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Time evolution of the total surface area </w:t>
      </w:r>
      <w:r w:rsidRPr="00BB5D60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(b)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and thickness </w:t>
      </w:r>
      <w:r w:rsidRPr="00BB5D60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(c)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upon stretching the lipid bilayer for three replicas (R1 – R3). The black dot and horizontal dotted line are the initial values (after equilibration run; ‘t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0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’) and average values (with standard deviation) for the last 100 ns of the production run (‘t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en-GB"/>
        </w:rPr>
        <w:t>last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’) for each replica.</w:t>
      </w:r>
    </w:p>
    <w:p w14:paraId="2B4161F4" w14:textId="18476DAE" w:rsidR="00755780" w:rsidRDefault="00583061" w:rsidP="00583061">
      <w:r w:rsidRPr="00BB5D60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(d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and </w:t>
      </w:r>
      <w:r w:rsidRPr="00BB5D60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e)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BB5D60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>Time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evolution of the minimum pore diameter of the pore </w:t>
      </w:r>
      <w:r w:rsidRPr="00BB5D60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(d)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and channel conductance </w:t>
      </w:r>
      <w:r w:rsidRPr="00BB5D60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(e)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upon stretching the lipid bilayer for R1. The pore diameter and channel conductance were calculated using the program HOLE </w:t>
      </w:r>
      <w:r w:rsidRPr="00BB227A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fldChar w:fldCharType="begin"/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instrText xml:space="preserve"> ADDIN EN.CITE &lt;EndNote&gt;&lt;Cite&gt;&lt;Author&gt;Smart&lt;/Author&gt;&lt;Year&gt;1996&lt;/Year&gt;&lt;RecNum&gt;478&lt;/RecNum&gt;&lt;DisplayText&gt;&lt;style face="superscript"&gt;38&lt;/style&gt;&lt;/DisplayText&gt;&lt;record&gt;&lt;rec-number&gt;478&lt;/rec-number&gt;&lt;foreign-keys&gt;&lt;key app="EN" db-id="wzz29fevkaz2tmefzvhv95staaw0wdx0x2t2" timestamp="1669090326"&gt;478&lt;/key&gt;&lt;/foreign-keys&gt;&lt;ref-type name="Journal Article"&gt;17&lt;/ref-type&gt;&lt;contributors&gt;&lt;authors&gt;&lt;author&gt;Smart, O. S.&lt;/author&gt;&lt;author&gt;Neduvelil, J. G.&lt;/author&gt;&lt;author&gt;Wang, X.&lt;/author&gt;&lt;author&gt;Wallace, B. A.&lt;/author&gt;&lt;author&gt;Sansom, M. S.&lt;/author&gt;&lt;/authors&gt;&lt;/contributors&gt;&lt;auth-address&gt;Department of Crystallography, Birkbeck College, London, England. o.smart@mail.cryst.bbk.ac.uk&lt;/auth-address&gt;&lt;titles&gt;&lt;title&gt;HOLE: a program for the analysis of the pore dimensions of ion channel structural models&lt;/title&gt;&lt;secondary-title&gt;J Mol Graph&lt;/secondary-title&gt;&lt;/titles&gt;&lt;periodical&gt;&lt;full-title&gt;J Mol Graph&lt;/full-title&gt;&lt;/periodical&gt;&lt;pages&gt;354-60, 376&lt;/pages&gt;&lt;volume&gt;14&lt;/volume&gt;&lt;number&gt;6&lt;/number&gt;&lt;edition&gt;1996/12/01&lt;/edition&gt;&lt;keywords&gt;&lt;keyword&gt;Algorithms&lt;/keyword&gt;&lt;keyword&gt;Anisotropy&lt;/keyword&gt;&lt;keyword&gt;Cholera Toxin/chemistry&lt;/keyword&gt;&lt;keyword&gt;Computer Graphics&lt;/keyword&gt;&lt;keyword&gt;Computer Simulation&lt;/keyword&gt;&lt;keyword&gt;Electrochemistry&lt;/keyword&gt;&lt;keyword&gt;Ion Channels/*chemistry&lt;/keyword&gt;&lt;keyword&gt;*Models, Molecular&lt;/keyword&gt;&lt;keyword&gt;Molecular Structure&lt;/keyword&gt;&lt;keyword&gt;Monte Carlo Method&lt;/keyword&gt;&lt;keyword&gt;*Software&lt;/keyword&gt;&lt;/keywords&gt;&lt;dates&gt;&lt;year&gt;1996&lt;/year&gt;&lt;pub-dates&gt;&lt;date&gt;Dec&lt;/date&gt;&lt;/pub-dates&gt;&lt;/dates&gt;&lt;isbn&gt;0263-7855 (Print)&amp;#xD;0263-7855&lt;/isbn&gt;&lt;accession-num&gt;9195488&lt;/accession-num&gt;&lt;urls&gt;&lt;/urls&gt;&lt;electronic-resource-num&gt;10.1016/s0263-7855(97)00009-x&lt;/electronic-resource-num&gt;&lt;remote-database-provider&gt;NLM&lt;/remote-database-provider&gt;&lt;language&gt;eng&lt;/language&gt;&lt;/record&gt;&lt;/Cite&gt;&lt;/EndNote&gt;</w:instrText>
      </w:r>
      <w:r w:rsidRPr="00BB227A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fldChar w:fldCharType="separate"/>
      </w:r>
      <w:r w:rsidRPr="00BB227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38</w:t>
      </w:r>
      <w:r w:rsidRPr="00BB227A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fldChar w:fldCharType="end"/>
      </w:r>
      <w:r w:rsidRPr="00BB227A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. The line and shaded area represent the mean and the standard deviation for every 1 ns trajectory, respectively. The diameter </w:t>
      </w:r>
      <w:r w:rsidRPr="00BB5D60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GB"/>
        </w:rPr>
        <w:t>was</w:t>
      </w:r>
      <w:r w:rsidRPr="00BB5D60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largest at 433 ns. The channel conductance also increases during the 500 ns production run. The remaining two replicas (R2 and R3) follow the same trend.</w:t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Che">
    <w:altName w:val="바탕체"/>
    <w:charset w:val="81"/>
    <w:family w:val="modern"/>
    <w:pitch w:val="fixed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920D71"/>
    <w:multiLevelType w:val="hybridMultilevel"/>
    <w:tmpl w:val="095C71D0"/>
    <w:lvl w:ilvl="0" w:tplc="B2DC180C">
      <w:start w:val="1"/>
      <w:numFmt w:val="lowerLetter"/>
      <w:lvlText w:val="(%1)"/>
      <w:lvlJc w:val="left"/>
      <w:pPr>
        <w:ind w:left="724" w:hanging="400"/>
      </w:pPr>
      <w:rPr>
        <w:rFonts w:hint="default"/>
        <w:b/>
        <w:color w:val="000000" w:themeColor="text1"/>
      </w:rPr>
    </w:lvl>
    <w:lvl w:ilvl="1" w:tplc="04090019" w:tentative="1">
      <w:start w:val="1"/>
      <w:numFmt w:val="upperLetter"/>
      <w:lvlText w:val="%2."/>
      <w:lvlJc w:val="left"/>
      <w:pPr>
        <w:ind w:left="1124" w:hanging="400"/>
      </w:pPr>
    </w:lvl>
    <w:lvl w:ilvl="2" w:tplc="0409001B" w:tentative="1">
      <w:start w:val="1"/>
      <w:numFmt w:val="lowerRoman"/>
      <w:lvlText w:val="%3."/>
      <w:lvlJc w:val="right"/>
      <w:pPr>
        <w:ind w:left="1524" w:hanging="400"/>
      </w:pPr>
    </w:lvl>
    <w:lvl w:ilvl="3" w:tplc="0409000F" w:tentative="1">
      <w:start w:val="1"/>
      <w:numFmt w:val="decimal"/>
      <w:lvlText w:val="%4."/>
      <w:lvlJc w:val="left"/>
      <w:pPr>
        <w:ind w:left="1924" w:hanging="400"/>
      </w:pPr>
    </w:lvl>
    <w:lvl w:ilvl="4" w:tplc="04090019" w:tentative="1">
      <w:start w:val="1"/>
      <w:numFmt w:val="upperLetter"/>
      <w:lvlText w:val="%5."/>
      <w:lvlJc w:val="left"/>
      <w:pPr>
        <w:ind w:left="2324" w:hanging="400"/>
      </w:pPr>
    </w:lvl>
    <w:lvl w:ilvl="5" w:tplc="0409001B" w:tentative="1">
      <w:start w:val="1"/>
      <w:numFmt w:val="lowerRoman"/>
      <w:lvlText w:val="%6."/>
      <w:lvlJc w:val="right"/>
      <w:pPr>
        <w:ind w:left="2724" w:hanging="400"/>
      </w:pPr>
    </w:lvl>
    <w:lvl w:ilvl="6" w:tplc="0409000F" w:tentative="1">
      <w:start w:val="1"/>
      <w:numFmt w:val="decimal"/>
      <w:lvlText w:val="%7."/>
      <w:lvlJc w:val="left"/>
      <w:pPr>
        <w:ind w:left="3124" w:hanging="400"/>
      </w:pPr>
    </w:lvl>
    <w:lvl w:ilvl="7" w:tplc="04090019" w:tentative="1">
      <w:start w:val="1"/>
      <w:numFmt w:val="upperLetter"/>
      <w:lvlText w:val="%8."/>
      <w:lvlJc w:val="left"/>
      <w:pPr>
        <w:ind w:left="3524" w:hanging="400"/>
      </w:pPr>
    </w:lvl>
    <w:lvl w:ilvl="8" w:tplc="0409001B" w:tentative="1">
      <w:start w:val="1"/>
      <w:numFmt w:val="lowerRoman"/>
      <w:lvlText w:val="%9."/>
      <w:lvlJc w:val="right"/>
      <w:pPr>
        <w:ind w:left="3924" w:hanging="400"/>
      </w:pPr>
    </w:lvl>
  </w:abstractNum>
  <w:abstractNum w:abstractNumId="1" w15:restartNumberingAfterBreak="0">
    <w:nsid w:val="4E026344"/>
    <w:multiLevelType w:val="hybridMultilevel"/>
    <w:tmpl w:val="DE8C57AE"/>
    <w:lvl w:ilvl="0" w:tplc="19788D28">
      <w:start w:val="1"/>
      <w:numFmt w:val="lowerLetter"/>
      <w:lvlText w:val="(%1)"/>
      <w:lvlJc w:val="left"/>
      <w:pPr>
        <w:ind w:left="800" w:hanging="400"/>
      </w:pPr>
      <w:rPr>
        <w:rFonts w:ascii="Arial" w:hAnsi="Arial" w:cs="Arial" w:hint="default"/>
        <w:b/>
        <w:color w:val="000000" w:themeColor="text1"/>
        <w:sz w:val="24"/>
        <w:szCs w:val="24"/>
      </w:rPr>
    </w:lvl>
    <w:lvl w:ilvl="1" w:tplc="FFFFFFFF" w:tentative="1">
      <w:start w:val="1"/>
      <w:numFmt w:val="upperLetter"/>
      <w:lvlText w:val="%2."/>
      <w:lvlJc w:val="left"/>
      <w:pPr>
        <w:ind w:left="866" w:hanging="400"/>
      </w:pPr>
    </w:lvl>
    <w:lvl w:ilvl="2" w:tplc="FFFFFFFF" w:tentative="1">
      <w:start w:val="1"/>
      <w:numFmt w:val="lowerRoman"/>
      <w:lvlText w:val="%3."/>
      <w:lvlJc w:val="right"/>
      <w:pPr>
        <w:ind w:left="1266" w:hanging="400"/>
      </w:pPr>
    </w:lvl>
    <w:lvl w:ilvl="3" w:tplc="FFFFFFFF" w:tentative="1">
      <w:start w:val="1"/>
      <w:numFmt w:val="decimal"/>
      <w:lvlText w:val="%4."/>
      <w:lvlJc w:val="left"/>
      <w:pPr>
        <w:ind w:left="1666" w:hanging="400"/>
      </w:pPr>
    </w:lvl>
    <w:lvl w:ilvl="4" w:tplc="FFFFFFFF" w:tentative="1">
      <w:start w:val="1"/>
      <w:numFmt w:val="upperLetter"/>
      <w:lvlText w:val="%5."/>
      <w:lvlJc w:val="left"/>
      <w:pPr>
        <w:ind w:left="2066" w:hanging="400"/>
      </w:pPr>
    </w:lvl>
    <w:lvl w:ilvl="5" w:tplc="FFFFFFFF" w:tentative="1">
      <w:start w:val="1"/>
      <w:numFmt w:val="lowerRoman"/>
      <w:lvlText w:val="%6."/>
      <w:lvlJc w:val="right"/>
      <w:pPr>
        <w:ind w:left="2466" w:hanging="400"/>
      </w:pPr>
    </w:lvl>
    <w:lvl w:ilvl="6" w:tplc="FFFFFFFF" w:tentative="1">
      <w:start w:val="1"/>
      <w:numFmt w:val="decimal"/>
      <w:lvlText w:val="%7."/>
      <w:lvlJc w:val="left"/>
      <w:pPr>
        <w:ind w:left="2866" w:hanging="400"/>
      </w:pPr>
    </w:lvl>
    <w:lvl w:ilvl="7" w:tplc="FFFFFFFF" w:tentative="1">
      <w:start w:val="1"/>
      <w:numFmt w:val="upperLetter"/>
      <w:lvlText w:val="%8."/>
      <w:lvlJc w:val="left"/>
      <w:pPr>
        <w:ind w:left="3266" w:hanging="400"/>
      </w:pPr>
    </w:lvl>
    <w:lvl w:ilvl="8" w:tplc="FFFFFFFF" w:tentative="1">
      <w:start w:val="1"/>
      <w:numFmt w:val="lowerRoman"/>
      <w:lvlText w:val="%9."/>
      <w:lvlJc w:val="right"/>
      <w:pPr>
        <w:ind w:left="3666" w:hanging="400"/>
      </w:pPr>
    </w:lvl>
  </w:abstractNum>
  <w:abstractNum w:abstractNumId="2" w15:restartNumberingAfterBreak="0">
    <w:nsid w:val="7C0F201F"/>
    <w:multiLevelType w:val="hybridMultilevel"/>
    <w:tmpl w:val="5BA076D2"/>
    <w:lvl w:ilvl="0" w:tplc="B2DC180C">
      <w:start w:val="1"/>
      <w:numFmt w:val="lowerLetter"/>
      <w:lvlText w:val="(%1)"/>
      <w:lvlJc w:val="left"/>
      <w:pPr>
        <w:ind w:left="800" w:hanging="400"/>
      </w:pPr>
      <w:rPr>
        <w:rFonts w:hint="default"/>
        <w:b/>
        <w:color w:val="000000" w:themeColor="text1"/>
      </w:rPr>
    </w:lvl>
    <w:lvl w:ilvl="1" w:tplc="FFFFFFFF" w:tentative="1">
      <w:start w:val="1"/>
      <w:numFmt w:val="upperLetter"/>
      <w:lvlText w:val="%2."/>
      <w:lvlJc w:val="left"/>
      <w:pPr>
        <w:ind w:left="866" w:hanging="400"/>
      </w:pPr>
    </w:lvl>
    <w:lvl w:ilvl="2" w:tplc="FFFFFFFF" w:tentative="1">
      <w:start w:val="1"/>
      <w:numFmt w:val="lowerRoman"/>
      <w:lvlText w:val="%3."/>
      <w:lvlJc w:val="right"/>
      <w:pPr>
        <w:ind w:left="1266" w:hanging="400"/>
      </w:pPr>
    </w:lvl>
    <w:lvl w:ilvl="3" w:tplc="FFFFFFFF" w:tentative="1">
      <w:start w:val="1"/>
      <w:numFmt w:val="decimal"/>
      <w:lvlText w:val="%4."/>
      <w:lvlJc w:val="left"/>
      <w:pPr>
        <w:ind w:left="1666" w:hanging="400"/>
      </w:pPr>
    </w:lvl>
    <w:lvl w:ilvl="4" w:tplc="FFFFFFFF" w:tentative="1">
      <w:start w:val="1"/>
      <w:numFmt w:val="upperLetter"/>
      <w:lvlText w:val="%5."/>
      <w:lvlJc w:val="left"/>
      <w:pPr>
        <w:ind w:left="2066" w:hanging="400"/>
      </w:pPr>
    </w:lvl>
    <w:lvl w:ilvl="5" w:tplc="FFFFFFFF" w:tentative="1">
      <w:start w:val="1"/>
      <w:numFmt w:val="lowerRoman"/>
      <w:lvlText w:val="%6."/>
      <w:lvlJc w:val="right"/>
      <w:pPr>
        <w:ind w:left="2466" w:hanging="400"/>
      </w:pPr>
    </w:lvl>
    <w:lvl w:ilvl="6" w:tplc="FFFFFFFF" w:tentative="1">
      <w:start w:val="1"/>
      <w:numFmt w:val="decimal"/>
      <w:lvlText w:val="%7."/>
      <w:lvlJc w:val="left"/>
      <w:pPr>
        <w:ind w:left="2866" w:hanging="400"/>
      </w:pPr>
    </w:lvl>
    <w:lvl w:ilvl="7" w:tplc="FFFFFFFF" w:tentative="1">
      <w:start w:val="1"/>
      <w:numFmt w:val="upperLetter"/>
      <w:lvlText w:val="%8."/>
      <w:lvlJc w:val="left"/>
      <w:pPr>
        <w:ind w:left="3266" w:hanging="400"/>
      </w:pPr>
    </w:lvl>
    <w:lvl w:ilvl="8" w:tplc="FFFFFFFF" w:tentative="1">
      <w:start w:val="1"/>
      <w:numFmt w:val="lowerRoman"/>
      <w:lvlText w:val="%9."/>
      <w:lvlJc w:val="right"/>
      <w:pPr>
        <w:ind w:left="3666" w:hanging="40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061"/>
    <w:rsid w:val="00005248"/>
    <w:rsid w:val="00583061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16DE2"/>
  <w15:chartTrackingRefBased/>
  <w15:docId w15:val="{AE771556-6624-4B6F-BBE7-69BEF37C1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3061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3061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813</Words>
  <Characters>4638</Characters>
  <Application>Microsoft Office Word</Application>
  <DocSecurity>0</DocSecurity>
  <Lines>38</Lines>
  <Paragraphs>10</Paragraphs>
  <ScaleCrop>false</ScaleCrop>
  <Company>Springer Nature</Company>
  <LinksUpToDate>false</LinksUpToDate>
  <CharactersWithSpaces>5441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2023-04-07T03:44:00Z</dcterms:created>
  <dcterms:modified xsi:type="dcterms:W3CDTF">2023-04-07T03:46:00Z</dcterms:modified>
</cp:coreProperties>
</file>