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7A7EEA" w14:textId="15BDCF7A" w:rsidR="00241B92" w:rsidRDefault="00241B92" w:rsidP="00FE365D">
      <w:pPr>
        <w:spacing w:line="36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  <w:r>
        <w:rPr>
          <w:rFonts w:ascii="Times New Roman" w:eastAsia="等线" w:hAnsi="Times New Roman" w:cs="Times New Roman" w:hint="eastAsia"/>
          <w:b/>
          <w:bCs/>
          <w:sz w:val="24"/>
          <w:szCs w:val="24"/>
        </w:rPr>
        <w:t>S</w:t>
      </w:r>
      <w:r>
        <w:rPr>
          <w:rFonts w:ascii="Times New Roman" w:eastAsia="等线" w:hAnsi="Times New Roman" w:cs="Times New Roman"/>
          <w:b/>
          <w:bCs/>
          <w:sz w:val="24"/>
          <w:szCs w:val="24"/>
        </w:rPr>
        <w:t>upplementary materials</w:t>
      </w:r>
    </w:p>
    <w:p w14:paraId="016E20DC" w14:textId="77777777" w:rsidR="00241B92" w:rsidRDefault="00241B92" w:rsidP="00FE365D">
      <w:pPr>
        <w:spacing w:line="360" w:lineRule="auto"/>
        <w:rPr>
          <w:rFonts w:ascii="Times New Roman" w:eastAsia="等线" w:hAnsi="Times New Roman" w:cs="Times New Roman" w:hint="eastAsia"/>
          <w:b/>
          <w:bCs/>
          <w:sz w:val="24"/>
          <w:szCs w:val="24"/>
        </w:rPr>
      </w:pPr>
    </w:p>
    <w:p w14:paraId="69366F66" w14:textId="3CB70309" w:rsidR="00FE365D" w:rsidRPr="00581392" w:rsidRDefault="00FE365D" w:rsidP="00FE365D">
      <w:pPr>
        <w:spacing w:line="360" w:lineRule="auto"/>
        <w:rPr>
          <w:rFonts w:ascii="Times New Roman" w:eastAsia="等线" w:hAnsi="Times New Roman" w:cs="Times New Roman"/>
          <w:b/>
          <w:bCs/>
          <w:sz w:val="24"/>
          <w:szCs w:val="24"/>
        </w:rPr>
      </w:pPr>
      <w:r w:rsidRPr="00581392">
        <w:rPr>
          <w:rFonts w:ascii="Times New Roman" w:eastAsia="等线" w:hAnsi="Times New Roman" w:cs="Times New Roman" w:hint="eastAsia"/>
          <w:b/>
          <w:bCs/>
          <w:sz w:val="24"/>
          <w:szCs w:val="24"/>
        </w:rPr>
        <w:t>T</w:t>
      </w:r>
      <w:r w:rsidRPr="00581392">
        <w:rPr>
          <w:rFonts w:ascii="Times New Roman" w:eastAsia="等线" w:hAnsi="Times New Roman" w:cs="Times New Roman"/>
          <w:b/>
          <w:bCs/>
          <w:sz w:val="24"/>
          <w:szCs w:val="24"/>
        </w:rPr>
        <w:t>issue DNA isolation, capture-based targeted DNA sequencing, and sequence data analysis</w:t>
      </w:r>
    </w:p>
    <w:p w14:paraId="56EBC3A4" w14:textId="2C9B4431" w:rsidR="007F3DEB" w:rsidRPr="00FE365D" w:rsidRDefault="007F3DEB"/>
    <w:p w14:paraId="5B93DA2D" w14:textId="5B0EDE06" w:rsidR="00FE365D" w:rsidRDefault="00FE365D" w:rsidP="00FE365D">
      <w:pPr>
        <w:spacing w:line="360" w:lineRule="auto"/>
        <w:ind w:firstLineChars="100" w:firstLine="240"/>
        <w:rPr>
          <w:rFonts w:hint="eastAsia"/>
        </w:rPr>
      </w:pPr>
      <w:r>
        <w:rPr>
          <w:rFonts w:ascii="Times New Roman" w:eastAsia="等线" w:hAnsi="Times New Roman" w:cs="Times New Roman"/>
          <w:sz w:val="24"/>
          <w:szCs w:val="24"/>
        </w:rPr>
        <w:t xml:space="preserve">The sequence </w:t>
      </w:r>
      <w:r w:rsidRPr="00581392">
        <w:rPr>
          <w:rFonts w:ascii="Times New Roman" w:eastAsia="等线" w:hAnsi="Times New Roman" w:cs="Times New Roman"/>
          <w:sz w:val="24"/>
          <w:szCs w:val="24"/>
        </w:rPr>
        <w:t>Tissue DNA was isolated from FFPE tumor tissue samples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using a QIAamp DNA FFPE tissue kit (Qiagen,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Hilden, Germany). The quality and the size of the fragments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were assessed using a Qubit 2.0 Fluorimeter with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the dsDNA high-sensitivity assay kit (Life Technologies,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Carlsbad, CA, USA). NGS library was prepared for each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sample. Target capture was performed using a 168-gene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panel (Burning Rock Biotech, Guangzhou,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China), which included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1</w:t>
      </w:r>
      <w:r>
        <w:rPr>
          <w:rFonts w:ascii="Times New Roman" w:eastAsia="等线" w:hAnsi="Times New Roman" w:cs="Times New Roman"/>
          <w:sz w:val="24"/>
          <w:szCs w:val="24"/>
        </w:rPr>
        <w:t xml:space="preserve">68 </w:t>
      </w:r>
      <w:r w:rsidRPr="00581392">
        <w:rPr>
          <w:rFonts w:ascii="Times New Roman" w:eastAsia="等线" w:hAnsi="Times New Roman" w:cs="Times New Roman"/>
          <w:sz w:val="24"/>
          <w:szCs w:val="24"/>
        </w:rPr>
        <w:t>genes related to cancer development, spanning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0.273 megabases (Mb) of the human genome (Table S1).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The indexed samples were sequenced on Nextseq500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(Illumina, Inc., CA, USA) with paired-end reads and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an </w:t>
      </w:r>
      <w:r w:rsidRPr="00581392">
        <w:rPr>
          <w:rFonts w:ascii="Times New Roman" w:eastAsia="等线" w:hAnsi="Times New Roman" w:cs="Times New Roman"/>
          <w:sz w:val="24"/>
          <w:szCs w:val="24"/>
        </w:rPr>
        <w:t>average sequencing depth of 1000X. DNA sequence data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were analyzed using optimized bioinformatics pipelines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based on mapping with the reference human genome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(hg19) using Burrows-Wheeler Aligner version 0.7.10,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local alignment optimization, duplication marking, and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variant calling using Genome Analysis Tool Kit version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3.2 and VarScan version 2.4.3. Single nucleotide variations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(SNV) and insertion-deletion variations (INDEL)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with population frequency over 0.1% in the ExAC, 1000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Genomes, dbSNP, or ESP6500SI-V2 databases were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grouped as single nucleotide polymorphisms (SNPs) and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excluded from further analysis. The remaining variants were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annotated using ANNOVAR (2016-02-01 release) and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SnpEff version 3.6. Analysis of structural variations (SVs)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was performed using Factera version 1.4.3. Copy number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variations (CNV) were analyzed based on the depth of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coverage data of capture intervals. The limit of detection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for copy number (CN) gain is CN &gt; 2.25 for hotspot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genes (such as EGFR, TP53, ERBB2, and MET) and CN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&gt; 2.5 for others, while for CN loss is CN &lt; 1.75 for hotspot</w:t>
      </w:r>
      <w:r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581392">
        <w:rPr>
          <w:rFonts w:ascii="Times New Roman" w:eastAsia="等线" w:hAnsi="Times New Roman" w:cs="Times New Roman"/>
          <w:sz w:val="24"/>
          <w:szCs w:val="24"/>
        </w:rPr>
        <w:t>genes and CN &lt; 1.5 for others.</w:t>
      </w:r>
    </w:p>
    <w:sectPr w:rsidR="00FE3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363D46" w14:textId="77777777" w:rsidR="00131EDE" w:rsidRDefault="00131EDE" w:rsidP="00FE365D">
      <w:r>
        <w:separator/>
      </w:r>
    </w:p>
  </w:endnote>
  <w:endnote w:type="continuationSeparator" w:id="0">
    <w:p w14:paraId="77FEC395" w14:textId="77777777" w:rsidR="00131EDE" w:rsidRDefault="00131EDE" w:rsidP="00FE36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EB6D52" w14:textId="77777777" w:rsidR="00131EDE" w:rsidRDefault="00131EDE" w:rsidP="00FE365D">
      <w:r>
        <w:separator/>
      </w:r>
    </w:p>
  </w:footnote>
  <w:footnote w:type="continuationSeparator" w:id="0">
    <w:p w14:paraId="217CA1A7" w14:textId="77777777" w:rsidR="00131EDE" w:rsidRDefault="00131EDE" w:rsidP="00FE36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5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431"/>
    <w:rsid w:val="00131EDE"/>
    <w:rsid w:val="00241B92"/>
    <w:rsid w:val="007F3DEB"/>
    <w:rsid w:val="00AE19F6"/>
    <w:rsid w:val="00BC5431"/>
    <w:rsid w:val="00FE3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95FBDF"/>
  <w15:chartTrackingRefBased/>
  <w15:docId w15:val="{30483E85-8C34-4723-A694-6635FB9CFF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E36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E36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36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36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36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280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博豪</dc:creator>
  <cp:keywords/>
  <dc:description/>
  <cp:lastModifiedBy>郑 博豪</cp:lastModifiedBy>
  <cp:revision>4</cp:revision>
  <dcterms:created xsi:type="dcterms:W3CDTF">2022-12-08T05:54:00Z</dcterms:created>
  <dcterms:modified xsi:type="dcterms:W3CDTF">2022-12-08T08:29:00Z</dcterms:modified>
</cp:coreProperties>
</file>