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sz w:val="20"/>
          <w:szCs w:val="20"/>
          <w:rtl w:val="0"/>
        </w:rPr>
        <w:t xml:space="preserve">Table</w:t>
      </w:r>
      <w:r w:rsidDel="00000000" w:rsidR="00000000" w:rsidRPr="00000000">
        <w:rPr>
          <w:b w:val="1"/>
          <w:sz w:val="20"/>
          <w:szCs w:val="20"/>
          <w:rtl w:val="0"/>
        </w:rPr>
        <w:t xml:space="preserve"> 2. </w:t>
      </w:r>
      <w:r w:rsidDel="00000000" w:rsidR="00000000" w:rsidRPr="00000000">
        <w:rPr>
          <w:b w:val="1"/>
          <w:sz w:val="20"/>
          <w:szCs w:val="20"/>
          <w:rtl w:val="0"/>
        </w:rPr>
        <w:t xml:space="preserve">Issues</w:t>
      </w:r>
      <w:r w:rsidDel="00000000" w:rsidR="00000000" w:rsidRPr="00000000">
        <w:rPr>
          <w:b w:val="1"/>
          <w:sz w:val="20"/>
          <w:szCs w:val="20"/>
          <w:rtl w:val="0"/>
        </w:rPr>
        <w:t xml:space="preserve">/Barriers for the implementation of sustainability practices in healthcare professions and selected references.</w:t>
      </w:r>
      <w:r w:rsidDel="00000000" w:rsidR="00000000" w:rsidRPr="00000000">
        <w:rPr>
          <w:rtl w:val="0"/>
        </w:rPr>
      </w:r>
    </w:p>
    <w:tbl>
      <w:tblPr>
        <w:tblStyle w:val="Table1"/>
        <w:tblW w:w="124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0"/>
        <w:gridCol w:w="10980"/>
        <w:tblGridChange w:id="0">
          <w:tblGrid>
            <w:gridCol w:w="1440"/>
            <w:gridCol w:w="10980"/>
          </w:tblGrid>
        </w:tblGridChange>
      </w:tblGrid>
      <w:tr>
        <w:trPr>
          <w:cantSplit w:val="0"/>
          <w:tblHeader w:val="0"/>
        </w:trPr>
        <w:tc>
          <w:tcPr>
            <w:shd w:fill="auto" w:val="clear"/>
          </w:tcPr>
          <w:p w:rsidR="00000000" w:rsidDel="00000000" w:rsidP="00000000" w:rsidRDefault="00000000" w:rsidRPr="00000000" w14:paraId="00000002">
            <w:pPr>
              <w:spacing w:line="360" w:lineRule="auto"/>
              <w:ind w:firstLine="0"/>
              <w:rPr>
                <w:sz w:val="20"/>
                <w:szCs w:val="20"/>
              </w:rPr>
            </w:pPr>
            <w:r w:rsidDel="00000000" w:rsidR="00000000" w:rsidRPr="00000000">
              <w:rPr>
                <w:sz w:val="20"/>
                <w:szCs w:val="20"/>
                <w:rtl w:val="0"/>
              </w:rPr>
              <w:t xml:space="preserve">Attitudes of workers</w:t>
            </w:r>
          </w:p>
        </w:tc>
        <w:tc>
          <w:tcPr>
            <w:shd w:fill="auto" w:val="clear"/>
          </w:tcPr>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Lack personal or institutional resources available. Economic limitations or not currently implemented at work. Daily life practicalities and high prices of many products and limited production are amongst the factors affecting resource availability. Many healthcare workers are not provided with sustainable products in their workplaces, and cannot independently afford substitution with greener materials. At the institutional level, broad implementation of sustainable practices could be costly (McGain et al.; 2021; Petre et al., 2019; Schiavone et al., 2020; Aronsson et al., 2020)</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Not a priority at work, but more interested personal live. Many surveys found that respondents were more likely to apply sustainability principles at home rather than in the workplace (Dunphy et al., 2014; Petre et al., 2019; Richardson et al., 2016)</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Blindness to  related to global human health and disconnect between local actions and global impact.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Most professionals see sustainability participation at the local level but find more difficult to see how that can have global impact (Griggs et al., 2017; Hubbert et al., 2020; Polivka et al., 2012; Barna et al., 2012; Venesoja et al., 2021; Anåker et al., 2015)</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Resistance to change in the working practices. Due to work culture, established policies or attitudes of the staff or leadership, nurses students and professionals found difficult or impossible to implement sustainable practices at work (Aronsson et al., 2020; Harris et al.; 2021)</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Lack of confidence in ability to do something effective. Healthcare professionals and students do not have the educational foundations to make connections between climate change, health, and sustainability This leads to a lack of confidence on part of healthcare professionals to make educated recommendations to institute sustainability practices in their workplaces. (Dupraz and Burnand, 2021; Aronsson et al., 2020; Alvarez-Nieto et al.,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Lack of specific knowledge in sustainability (Anåker et al., 2015; Leppänen et al, 2021)</w:t>
            </w:r>
          </w:p>
        </w:tc>
      </w:tr>
      <w:tr>
        <w:trPr>
          <w:cantSplit w:val="0"/>
          <w:tblHeader w:val="0"/>
        </w:trPr>
        <w:tc>
          <w:tcPr>
            <w:shd w:fill="auto" w:val="clear"/>
          </w:tcPr>
          <w:p w:rsidR="00000000" w:rsidDel="00000000" w:rsidP="00000000" w:rsidRDefault="00000000" w:rsidRPr="00000000" w14:paraId="0000000A">
            <w:pPr>
              <w:spacing w:line="360" w:lineRule="auto"/>
              <w:ind w:firstLine="0"/>
              <w:rPr>
                <w:sz w:val="20"/>
                <w:szCs w:val="20"/>
              </w:rPr>
            </w:pPr>
            <w:r w:rsidDel="00000000" w:rsidR="00000000" w:rsidRPr="00000000">
              <w:rPr>
                <w:sz w:val="20"/>
                <w:szCs w:val="20"/>
                <w:rtl w:val="0"/>
              </w:rPr>
              <w:t xml:space="preserve">Educational Approaches</w:t>
            </w:r>
          </w:p>
        </w:tc>
        <w:tc>
          <w:tcPr>
            <w:shd w:fill="auto" w:val="clear"/>
          </w:tcPr>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Lack of curriculum development. There exists a lack of content expertise, and concerns about adding to an already full curriculum. (Barna et al.; 2012; Orme and Dooris, 2010; Gershberg et al., 2021)</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multidisciplinary training or collaboration with other colleagues in other disciplines (Goodman, 2016; Argento et al., 2020; Schwerdtle et al., 2020)</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Students show interest in learning, but maybe insufficient for change (Cruz et al.; 2018; Aronsson et al., 2020)</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Program effectiveness (Richardson et al., 2015)</w:t>
            </w:r>
          </w:p>
        </w:tc>
      </w:tr>
    </w:tbl>
    <w:p w:rsidR="00000000" w:rsidDel="00000000" w:rsidP="00000000" w:rsidRDefault="00000000" w:rsidRPr="00000000" w14:paraId="0000000F">
      <w:pPr>
        <w:ind w:firstLine="0"/>
        <w:rPr>
          <w:sz w:val="20"/>
          <w:szCs w:val="20"/>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D74AD"/>
    <w:pPr>
      <w:ind w:left="0"/>
    </w:pPr>
    <w:rPr>
      <w:rFonts w:eastAsia="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8D74AD"/>
    <w:pPr>
      <w:ind w:left="0"/>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D74AD"/>
    <w:pPr>
      <w:ind w:left="720"/>
      <w:contextualSpacing w:val="1"/>
    </w:pPr>
  </w:style>
  <w:style w:type="paragraph" w:styleId="BalloonText">
    <w:name w:val="Balloon Text"/>
    <w:basedOn w:val="Normal"/>
    <w:link w:val="BalloonTextChar"/>
    <w:uiPriority w:val="99"/>
    <w:semiHidden w:val="1"/>
    <w:unhideWhenUsed w:val="1"/>
    <w:rsid w:val="002F178B"/>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F178B"/>
    <w:rPr>
      <w:rFonts w:ascii="Tahoma" w:cs="Tahoma" w:eastAsia="Calibri" w:hAnsi="Tahoma"/>
      <w:sz w:val="16"/>
      <w:szCs w:val="16"/>
    </w:rPr>
  </w:style>
  <w:style w:type="character" w:styleId="CommentReference">
    <w:name w:val="annotation reference"/>
    <w:basedOn w:val="DefaultParagraphFont"/>
    <w:uiPriority w:val="99"/>
    <w:semiHidden w:val="1"/>
    <w:unhideWhenUsed w:val="1"/>
    <w:rsid w:val="002F178B"/>
    <w:rPr>
      <w:sz w:val="16"/>
      <w:szCs w:val="16"/>
    </w:rPr>
  </w:style>
  <w:style w:type="paragraph" w:styleId="CommentText">
    <w:name w:val="annotation text"/>
    <w:basedOn w:val="Normal"/>
    <w:link w:val="CommentTextChar"/>
    <w:uiPriority w:val="99"/>
    <w:semiHidden w:val="1"/>
    <w:unhideWhenUsed w:val="1"/>
    <w:rsid w:val="002F178B"/>
    <w:rPr>
      <w:sz w:val="20"/>
      <w:szCs w:val="20"/>
    </w:rPr>
  </w:style>
  <w:style w:type="character" w:styleId="CommentTextChar" w:customStyle="1">
    <w:name w:val="Comment Text Char"/>
    <w:basedOn w:val="DefaultParagraphFont"/>
    <w:link w:val="CommentText"/>
    <w:uiPriority w:val="99"/>
    <w:semiHidden w:val="1"/>
    <w:rsid w:val="002F178B"/>
    <w:rPr>
      <w:rFonts w:eastAsia="Calibri"/>
      <w:sz w:val="20"/>
      <w:szCs w:val="20"/>
    </w:rPr>
  </w:style>
  <w:style w:type="paragraph" w:styleId="CommentSubject">
    <w:name w:val="annotation subject"/>
    <w:basedOn w:val="CommentText"/>
    <w:next w:val="CommentText"/>
    <w:link w:val="CommentSubjectChar"/>
    <w:uiPriority w:val="99"/>
    <w:semiHidden w:val="1"/>
    <w:unhideWhenUsed w:val="1"/>
    <w:rsid w:val="002F178B"/>
    <w:rPr>
      <w:b w:val="1"/>
      <w:bCs w:val="1"/>
    </w:rPr>
  </w:style>
  <w:style w:type="character" w:styleId="CommentSubjectChar" w:customStyle="1">
    <w:name w:val="Comment Subject Char"/>
    <w:basedOn w:val="CommentTextChar"/>
    <w:link w:val="CommentSubject"/>
    <w:uiPriority w:val="99"/>
    <w:semiHidden w:val="1"/>
    <w:rsid w:val="002F178B"/>
    <w:rPr>
      <w:rFonts w:eastAsia="Calibri"/>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ind w:left="0"/>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cOnxAHTScAo5UsK9k+ExoPc4gA==">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2022-09-22T13:36:00Z</dcterms:created>
  <dc:creator>iPublishPapers</dc:creator>
</cp:coreProperties>
</file>