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47DAD" w14:textId="2B8599A0" w:rsidR="006D6D3A" w:rsidRDefault="006D6D3A" w:rsidP="006D6D3A">
      <w:pPr>
        <w:rPr>
          <w:rFonts w:ascii="Times New Roman" w:hAnsi="Times New Roman" w:cs="Times New Roman"/>
          <w:sz w:val="24"/>
          <w:szCs w:val="24"/>
        </w:rPr>
      </w:pPr>
      <w:r>
        <w:rPr>
          <w:rFonts w:ascii="Times New Roman" w:hAnsi="Times New Roman" w:cs="Times New Roman"/>
          <w:b/>
          <w:bCs/>
          <w:sz w:val="24"/>
          <w:szCs w:val="24"/>
        </w:rPr>
        <w:t xml:space="preserve">Supplementary Materials to </w:t>
      </w:r>
      <w:r w:rsidRPr="006D6D3A">
        <w:rPr>
          <w:rFonts w:ascii="Times New Roman" w:hAnsi="Times New Roman" w:cs="Times New Roman"/>
          <w:sz w:val="24"/>
          <w:szCs w:val="24"/>
        </w:rPr>
        <w:t>“</w:t>
      </w:r>
      <w:r w:rsidR="005860FA" w:rsidRPr="00DA0567">
        <w:rPr>
          <w:rFonts w:ascii="Times New Roman" w:hAnsi="Times New Roman" w:cs="Times New Roman"/>
          <w:sz w:val="24"/>
          <w:szCs w:val="24"/>
        </w:rPr>
        <w:t xml:space="preserve">Neglecting </w:t>
      </w:r>
      <w:r w:rsidR="005860FA" w:rsidRPr="00E01DF5">
        <w:rPr>
          <w:rFonts w:ascii="Times New Roman" w:hAnsi="Times New Roman" w:cs="Times New Roman"/>
          <w:sz w:val="24"/>
          <w:szCs w:val="24"/>
        </w:rPr>
        <w:t>farmer cropping adaptation can overstate water shortages in large-scale hydrological modeling assessments</w:t>
      </w:r>
      <w:r w:rsidRPr="004B7B4C">
        <w:rPr>
          <w:rFonts w:ascii="Times New Roman" w:hAnsi="Times New Roman" w:cs="Times New Roman"/>
          <w:sz w:val="24"/>
          <w:szCs w:val="24"/>
        </w:rPr>
        <w:t>.</w:t>
      </w:r>
      <w:r>
        <w:rPr>
          <w:rFonts w:ascii="Times New Roman" w:hAnsi="Times New Roman" w:cs="Times New Roman"/>
          <w:sz w:val="24"/>
          <w:szCs w:val="24"/>
        </w:rPr>
        <w:t>”</w:t>
      </w:r>
    </w:p>
    <w:p w14:paraId="615851EA" w14:textId="77777777" w:rsidR="00C46011" w:rsidRDefault="00C46011" w:rsidP="00C46011">
      <w:pPr>
        <w:rPr>
          <w:rFonts w:ascii="Times New Roman" w:hAnsi="Times New Roman" w:cs="Times New Roman"/>
          <w:sz w:val="24"/>
          <w:szCs w:val="24"/>
          <w:vertAlign w:val="superscript"/>
        </w:rPr>
      </w:pPr>
      <w:r w:rsidRPr="00CD1071">
        <w:rPr>
          <w:rFonts w:ascii="Times New Roman" w:hAnsi="Times New Roman" w:cs="Times New Roman"/>
          <w:b/>
          <w:bCs/>
          <w:sz w:val="24"/>
          <w:szCs w:val="24"/>
        </w:rPr>
        <w:t xml:space="preserve">Authors: </w:t>
      </w:r>
      <w:r w:rsidRPr="00CD1071">
        <w:rPr>
          <w:rFonts w:ascii="Times New Roman" w:hAnsi="Times New Roman" w:cs="Times New Roman"/>
          <w:sz w:val="24"/>
          <w:szCs w:val="24"/>
        </w:rPr>
        <w:t>Jim Yoon</w:t>
      </w:r>
      <w:bookmarkStart w:id="0" w:name="_Hlk110450728"/>
      <w:r w:rsidRPr="00A24B33">
        <w:rPr>
          <w:rFonts w:ascii="Times New Roman" w:hAnsi="Times New Roman" w:cs="Times New Roman"/>
          <w:sz w:val="24"/>
          <w:szCs w:val="24"/>
          <w:vertAlign w:val="superscript"/>
        </w:rPr>
        <w:t>1</w:t>
      </w:r>
      <w:bookmarkEnd w:id="0"/>
      <w:r w:rsidRPr="00CD1071">
        <w:rPr>
          <w:rFonts w:ascii="Times New Roman" w:hAnsi="Times New Roman" w:cs="Times New Roman"/>
          <w:sz w:val="24"/>
          <w:szCs w:val="24"/>
        </w:rPr>
        <w:t>, Nathalie Voisin</w:t>
      </w:r>
      <w:r w:rsidRPr="00A24B33">
        <w:rPr>
          <w:rFonts w:ascii="Times New Roman" w:hAnsi="Times New Roman" w:cs="Times New Roman"/>
          <w:sz w:val="24"/>
          <w:szCs w:val="24"/>
          <w:vertAlign w:val="superscript"/>
        </w:rPr>
        <w:t>1</w:t>
      </w:r>
      <w:r w:rsidRPr="00CD1071">
        <w:rPr>
          <w:rFonts w:ascii="Times New Roman" w:hAnsi="Times New Roman" w:cs="Times New Roman"/>
          <w:sz w:val="24"/>
          <w:szCs w:val="24"/>
        </w:rPr>
        <w:t>, Christian Klassert</w:t>
      </w:r>
      <w:r>
        <w:rPr>
          <w:rFonts w:ascii="Times New Roman" w:hAnsi="Times New Roman" w:cs="Times New Roman"/>
          <w:sz w:val="24"/>
          <w:szCs w:val="24"/>
          <w:vertAlign w:val="superscript"/>
        </w:rPr>
        <w:t>2</w:t>
      </w:r>
      <w:r w:rsidRPr="00CD1071">
        <w:rPr>
          <w:rFonts w:ascii="Times New Roman" w:hAnsi="Times New Roman" w:cs="Times New Roman"/>
          <w:sz w:val="24"/>
          <w:szCs w:val="24"/>
        </w:rPr>
        <w:t>, Travis Thurber</w:t>
      </w:r>
      <w:r w:rsidRPr="00A24B33">
        <w:rPr>
          <w:rFonts w:ascii="Times New Roman" w:hAnsi="Times New Roman" w:cs="Times New Roman"/>
          <w:sz w:val="24"/>
          <w:szCs w:val="24"/>
          <w:vertAlign w:val="superscript"/>
        </w:rPr>
        <w:t>1</w:t>
      </w:r>
      <w:r w:rsidRPr="00CD1071">
        <w:rPr>
          <w:rFonts w:ascii="Times New Roman" w:hAnsi="Times New Roman" w:cs="Times New Roman"/>
          <w:sz w:val="24"/>
          <w:szCs w:val="24"/>
        </w:rPr>
        <w:t>, Wenwei Xu</w:t>
      </w:r>
      <w:r w:rsidRPr="00A24B33">
        <w:rPr>
          <w:rFonts w:ascii="Times New Roman" w:hAnsi="Times New Roman" w:cs="Times New Roman"/>
          <w:sz w:val="24"/>
          <w:szCs w:val="24"/>
          <w:vertAlign w:val="superscript"/>
        </w:rPr>
        <w:t>1</w:t>
      </w:r>
    </w:p>
    <w:p w14:paraId="144B5574" w14:textId="77777777" w:rsidR="00C46011" w:rsidRDefault="00C46011" w:rsidP="00C46011">
      <w:pPr>
        <w:rPr>
          <w:rFonts w:ascii="Times New Roman" w:hAnsi="Times New Roman" w:cs="Times New Roman"/>
          <w:sz w:val="24"/>
          <w:szCs w:val="24"/>
        </w:rPr>
      </w:pPr>
      <w:r w:rsidRPr="00A24B33">
        <w:rPr>
          <w:rFonts w:ascii="Times New Roman" w:hAnsi="Times New Roman" w:cs="Times New Roman"/>
          <w:sz w:val="24"/>
          <w:szCs w:val="24"/>
          <w:vertAlign w:val="superscript"/>
        </w:rPr>
        <w:t>1</w:t>
      </w:r>
      <w:r w:rsidRPr="00A24B33">
        <w:rPr>
          <w:rFonts w:ascii="Times New Roman" w:hAnsi="Times New Roman" w:cs="Times New Roman"/>
          <w:sz w:val="24"/>
          <w:szCs w:val="24"/>
        </w:rPr>
        <w:t>Pacific Northwest National Laboratory</w:t>
      </w:r>
    </w:p>
    <w:p w14:paraId="0BB3E7A6" w14:textId="50D21D0A" w:rsidR="00C46011" w:rsidRPr="00CD1071" w:rsidRDefault="00C46011" w:rsidP="006D6D3A">
      <w:pP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Helmholtz Centre for Environmental Research – UFZ</w:t>
      </w:r>
    </w:p>
    <w:p w14:paraId="0E277457" w14:textId="7C5B0797" w:rsidR="00B63982" w:rsidRDefault="006D6D3A">
      <w:pPr>
        <w:rPr>
          <w:rFonts w:ascii="Times New Roman" w:hAnsi="Times New Roman" w:cs="Times New Roman"/>
          <w:b/>
          <w:bCs/>
        </w:rPr>
      </w:pPr>
      <w:r w:rsidRPr="006D6D3A">
        <w:rPr>
          <w:rFonts w:ascii="Times New Roman" w:hAnsi="Times New Roman" w:cs="Times New Roman"/>
          <w:b/>
          <w:bCs/>
        </w:rPr>
        <w:t xml:space="preserve">Evaluating the </w:t>
      </w:r>
      <w:r w:rsidR="0037206D">
        <w:rPr>
          <w:rFonts w:ascii="Times New Roman" w:hAnsi="Times New Roman" w:cs="Times New Roman"/>
          <w:b/>
          <w:bCs/>
        </w:rPr>
        <w:t>plausibility</w:t>
      </w:r>
      <w:r w:rsidRPr="006D6D3A">
        <w:rPr>
          <w:rFonts w:ascii="Times New Roman" w:hAnsi="Times New Roman" w:cs="Times New Roman"/>
          <w:b/>
          <w:bCs/>
        </w:rPr>
        <w:t xml:space="preserve"> of simulated modeling results</w:t>
      </w:r>
    </w:p>
    <w:p w14:paraId="2F223D2A" w14:textId="266FC31E" w:rsidR="008D5DA6" w:rsidRDefault="00EE74AB">
      <w:pPr>
        <w:rPr>
          <w:rFonts w:ascii="Times New Roman" w:hAnsi="Times New Roman" w:cs="Times New Roman"/>
        </w:rPr>
      </w:pPr>
      <w:r>
        <w:rPr>
          <w:rFonts w:ascii="Times New Roman" w:hAnsi="Times New Roman" w:cs="Times New Roman"/>
        </w:rPr>
        <w:t xml:space="preserve">To evaluate the plausibility of our modeling results, we compare </w:t>
      </w:r>
      <w:r w:rsidR="006E7CA1">
        <w:rPr>
          <w:rFonts w:ascii="Times New Roman" w:hAnsi="Times New Roman" w:cs="Times New Roman"/>
        </w:rPr>
        <w:t xml:space="preserve">simulated irrigated land use values via WM-ABM with observed irrigated land use values </w:t>
      </w:r>
      <w:r w:rsidR="004E1CC4">
        <w:rPr>
          <w:rFonts w:ascii="Times New Roman" w:hAnsi="Times New Roman" w:cs="Times New Roman"/>
        </w:rPr>
        <w:t>from the USDA Agricultural Census</w:t>
      </w:r>
      <w:r w:rsidR="00240E20">
        <w:rPr>
          <w:rFonts w:ascii="Times New Roman" w:hAnsi="Times New Roman" w:cs="Times New Roman"/>
        </w:rPr>
        <w:t xml:space="preserve">, </w:t>
      </w:r>
      <w:r w:rsidR="006E7CA1">
        <w:rPr>
          <w:rFonts w:ascii="Times New Roman" w:hAnsi="Times New Roman" w:cs="Times New Roman"/>
        </w:rPr>
        <w:t>re</w:t>
      </w:r>
      <w:r w:rsidR="00AB5DE5">
        <w:rPr>
          <w:rFonts w:ascii="Times New Roman" w:hAnsi="Times New Roman" w:cs="Times New Roman"/>
        </w:rPr>
        <w:t xml:space="preserve">trieved </w:t>
      </w:r>
      <w:r w:rsidR="004E1CC4">
        <w:rPr>
          <w:rFonts w:ascii="Times New Roman" w:hAnsi="Times New Roman" w:cs="Times New Roman"/>
        </w:rPr>
        <w:t>using the</w:t>
      </w:r>
      <w:r w:rsidR="00AB5DE5">
        <w:rPr>
          <w:rFonts w:ascii="Times New Roman" w:hAnsi="Times New Roman" w:cs="Times New Roman"/>
        </w:rPr>
        <w:t xml:space="preserve"> </w:t>
      </w:r>
      <w:r w:rsidR="004E1CC4">
        <w:rPr>
          <w:rFonts w:ascii="Times New Roman" w:hAnsi="Times New Roman" w:cs="Times New Roman"/>
        </w:rPr>
        <w:t xml:space="preserve">USDA’s </w:t>
      </w:r>
      <w:r w:rsidR="00AB5DE5">
        <w:rPr>
          <w:rFonts w:ascii="Times New Roman" w:hAnsi="Times New Roman" w:cs="Times New Roman"/>
        </w:rPr>
        <w:t>National Agricultural Statistics Quick Stats tool</w:t>
      </w:r>
      <w:r w:rsidR="00240E20">
        <w:rPr>
          <w:rFonts w:ascii="Times New Roman" w:hAnsi="Times New Roman" w:cs="Times New Roman"/>
        </w:rPr>
        <w:t xml:space="preserve"> (USDA, 2017)</w:t>
      </w:r>
      <w:r w:rsidR="003F3677">
        <w:rPr>
          <w:rFonts w:ascii="Times New Roman" w:hAnsi="Times New Roman" w:cs="Times New Roman"/>
        </w:rPr>
        <w:t xml:space="preserve">. </w:t>
      </w:r>
      <w:r w:rsidR="00A66A5F">
        <w:rPr>
          <w:rFonts w:ascii="Times New Roman" w:hAnsi="Times New Roman" w:cs="Times New Roman"/>
        </w:rPr>
        <w:t xml:space="preserve">As non-hydrological factors (e.g., crop prices, crop production costs, </w:t>
      </w:r>
      <w:r w:rsidR="00CA5154">
        <w:rPr>
          <w:rFonts w:ascii="Times New Roman" w:hAnsi="Times New Roman" w:cs="Times New Roman"/>
        </w:rPr>
        <w:t xml:space="preserve">equipped irrigated area, etc.) are treated </w:t>
      </w:r>
      <w:r w:rsidR="00712F35">
        <w:rPr>
          <w:rFonts w:ascii="Times New Roman" w:hAnsi="Times New Roman" w:cs="Times New Roman"/>
        </w:rPr>
        <w:t>statically</w:t>
      </w:r>
      <w:r w:rsidR="00CA5154">
        <w:rPr>
          <w:rFonts w:ascii="Times New Roman" w:hAnsi="Times New Roman" w:cs="Times New Roman"/>
        </w:rPr>
        <w:t xml:space="preserve"> in our simulations, a </w:t>
      </w:r>
      <w:r w:rsidR="009655CD">
        <w:rPr>
          <w:rFonts w:ascii="Times New Roman" w:hAnsi="Times New Roman" w:cs="Times New Roman"/>
        </w:rPr>
        <w:t xml:space="preserve">formal validation process is not possible for the model results for the </w:t>
      </w:r>
      <w:r w:rsidR="00FF5A44">
        <w:rPr>
          <w:rFonts w:ascii="Times New Roman" w:hAnsi="Times New Roman" w:cs="Times New Roman"/>
        </w:rPr>
        <w:t>hypothetical experiments</w:t>
      </w:r>
      <w:r w:rsidR="009655CD">
        <w:rPr>
          <w:rFonts w:ascii="Times New Roman" w:hAnsi="Times New Roman" w:cs="Times New Roman"/>
        </w:rPr>
        <w:t xml:space="preserve">. </w:t>
      </w:r>
      <w:r w:rsidR="00916847">
        <w:rPr>
          <w:rFonts w:ascii="Times New Roman" w:hAnsi="Times New Roman" w:cs="Times New Roman"/>
        </w:rPr>
        <w:t xml:space="preserve">Given such, our strategy for the evaluation of model plausibility is to isolate a relatively </w:t>
      </w:r>
      <w:r w:rsidR="00712F35">
        <w:rPr>
          <w:rFonts w:ascii="Times New Roman" w:hAnsi="Times New Roman" w:cs="Times New Roman"/>
        </w:rPr>
        <w:t xml:space="preserve">short </w:t>
      </w:r>
      <w:r w:rsidR="00916847">
        <w:rPr>
          <w:rFonts w:ascii="Times New Roman" w:hAnsi="Times New Roman" w:cs="Times New Roman"/>
        </w:rPr>
        <w:t xml:space="preserve">time window over which </w:t>
      </w:r>
      <w:r w:rsidR="004D6133">
        <w:rPr>
          <w:rFonts w:ascii="Times New Roman" w:hAnsi="Times New Roman" w:cs="Times New Roman"/>
        </w:rPr>
        <w:t>significant hydrological changes occurred, comparing model results against USDA surveyed data</w:t>
      </w:r>
      <w:r w:rsidR="00B153A9">
        <w:rPr>
          <w:rFonts w:ascii="Times New Roman" w:hAnsi="Times New Roman" w:cs="Times New Roman"/>
        </w:rPr>
        <w:t xml:space="preserve"> over this time period.</w:t>
      </w:r>
      <w:r w:rsidR="004E1CC4">
        <w:rPr>
          <w:rFonts w:ascii="Times New Roman" w:hAnsi="Times New Roman" w:cs="Times New Roman"/>
        </w:rPr>
        <w:t xml:space="preserve"> </w:t>
      </w:r>
      <w:r w:rsidR="003A1338">
        <w:rPr>
          <w:rFonts w:ascii="Times New Roman" w:hAnsi="Times New Roman" w:cs="Times New Roman"/>
        </w:rPr>
        <w:t>As irrigated land use data from the USDA census is limited</w:t>
      </w:r>
      <w:r w:rsidR="00BF6493">
        <w:rPr>
          <w:rFonts w:ascii="Times New Roman" w:hAnsi="Times New Roman" w:cs="Times New Roman"/>
        </w:rPr>
        <w:t xml:space="preserve"> (available in 5-year intervals from 1997-2007), we specifically focus on the </w:t>
      </w:r>
      <w:r w:rsidR="00FF6B76">
        <w:rPr>
          <w:rFonts w:ascii="Times New Roman" w:hAnsi="Times New Roman" w:cs="Times New Roman"/>
        </w:rPr>
        <w:t xml:space="preserve">2000-2005 </w:t>
      </w:r>
      <w:r w:rsidR="00DE59A5">
        <w:rPr>
          <w:rFonts w:ascii="Times New Roman" w:hAnsi="Times New Roman" w:cs="Times New Roman"/>
        </w:rPr>
        <w:t>time period during which much of the Western United States experienced drought conditions</w:t>
      </w:r>
      <w:r w:rsidR="001637E7">
        <w:rPr>
          <w:rFonts w:ascii="Times New Roman" w:hAnsi="Times New Roman" w:cs="Times New Roman"/>
        </w:rPr>
        <w:t>.</w:t>
      </w:r>
      <w:r w:rsidR="008A69E6">
        <w:rPr>
          <w:rFonts w:ascii="Times New Roman" w:hAnsi="Times New Roman" w:cs="Times New Roman"/>
        </w:rPr>
        <w:t xml:space="preserve"> </w:t>
      </w:r>
    </w:p>
    <w:p w14:paraId="79E2A9D3" w14:textId="62D859B9" w:rsidR="00D93F83" w:rsidRDefault="001637E7">
      <w:pPr>
        <w:rPr>
          <w:rFonts w:ascii="Times New Roman" w:hAnsi="Times New Roman" w:cs="Times New Roman"/>
        </w:rPr>
      </w:pPr>
      <w:r>
        <w:rPr>
          <w:rFonts w:ascii="Times New Roman" w:hAnsi="Times New Roman" w:cs="Times New Roman"/>
        </w:rPr>
        <w:t xml:space="preserve">For the evaluation, we specifically compare </w:t>
      </w:r>
      <w:r w:rsidR="00B04839">
        <w:rPr>
          <w:rFonts w:ascii="Times New Roman" w:hAnsi="Times New Roman" w:cs="Times New Roman"/>
        </w:rPr>
        <w:t xml:space="preserve">percent changes in irrigated land use area between 2000-2005 from WM-ABM, comparing these changes with those </w:t>
      </w:r>
      <w:r w:rsidR="00B3399D">
        <w:rPr>
          <w:rFonts w:ascii="Times New Roman" w:hAnsi="Times New Roman" w:cs="Times New Roman"/>
        </w:rPr>
        <w:t>recorded by</w:t>
      </w:r>
      <w:r w:rsidR="00C47BBE">
        <w:rPr>
          <w:rFonts w:ascii="Times New Roman" w:hAnsi="Times New Roman" w:cs="Times New Roman"/>
        </w:rPr>
        <w:t xml:space="preserve"> the USDA agricultural census </w:t>
      </w:r>
      <w:r w:rsidR="00B3399D">
        <w:rPr>
          <w:rFonts w:ascii="Times New Roman" w:hAnsi="Times New Roman" w:cs="Times New Roman"/>
        </w:rPr>
        <w:t>in</w:t>
      </w:r>
      <w:r w:rsidR="00C47BBE">
        <w:rPr>
          <w:rFonts w:ascii="Times New Roman" w:hAnsi="Times New Roman" w:cs="Times New Roman"/>
        </w:rPr>
        <w:t xml:space="preserve"> 2002 and 2007. </w:t>
      </w:r>
      <w:r w:rsidR="00D45981">
        <w:rPr>
          <w:rFonts w:ascii="Times New Roman" w:hAnsi="Times New Roman" w:cs="Times New Roman"/>
        </w:rPr>
        <w:t xml:space="preserve">For the WM-ABM output, we </w:t>
      </w:r>
      <w:r w:rsidR="007A56EF">
        <w:rPr>
          <w:rFonts w:ascii="Times New Roman" w:hAnsi="Times New Roman" w:cs="Times New Roman"/>
        </w:rPr>
        <w:t>report</w:t>
      </w:r>
      <w:r w:rsidR="00D45981">
        <w:rPr>
          <w:rFonts w:ascii="Times New Roman" w:hAnsi="Times New Roman" w:cs="Times New Roman"/>
        </w:rPr>
        <w:t xml:space="preserve"> the total irrigated land use area (o</w:t>
      </w:r>
      <w:r w:rsidR="007A56EF">
        <w:rPr>
          <w:rFonts w:ascii="Times New Roman" w:hAnsi="Times New Roman" w:cs="Times New Roman"/>
        </w:rPr>
        <w:t>ver all crops and including both surface water and groundwater sources). For the USDA data,</w:t>
      </w:r>
      <w:r w:rsidR="00B750F7">
        <w:rPr>
          <w:rFonts w:ascii="Times New Roman" w:hAnsi="Times New Roman" w:cs="Times New Roman"/>
        </w:rPr>
        <w:t xml:space="preserve"> we specifically report the land area of harvested cropland that is entirely irrigated</w:t>
      </w:r>
      <w:r w:rsidR="00C51A70">
        <w:rPr>
          <w:rFonts w:ascii="Times New Roman" w:hAnsi="Times New Roman" w:cs="Times New Roman"/>
        </w:rPr>
        <w:t>.</w:t>
      </w:r>
      <w:r w:rsidR="007A56EF">
        <w:rPr>
          <w:rFonts w:ascii="Times New Roman" w:hAnsi="Times New Roman" w:cs="Times New Roman"/>
        </w:rPr>
        <w:t xml:space="preserve"> </w:t>
      </w:r>
      <w:r w:rsidR="00FE3AE9">
        <w:rPr>
          <w:rFonts w:ascii="Times New Roman" w:hAnsi="Times New Roman" w:cs="Times New Roman"/>
        </w:rPr>
        <w:t>The comparison</w:t>
      </w:r>
      <w:r w:rsidR="00FC5469">
        <w:rPr>
          <w:rFonts w:ascii="Times New Roman" w:hAnsi="Times New Roman" w:cs="Times New Roman"/>
        </w:rPr>
        <w:t xml:space="preserve"> (shown in Table S1)</w:t>
      </w:r>
      <w:r w:rsidR="00FE3AE9">
        <w:rPr>
          <w:rFonts w:ascii="Times New Roman" w:hAnsi="Times New Roman" w:cs="Times New Roman"/>
        </w:rPr>
        <w:t xml:space="preserve"> is conducted for the 11 states in the Western United States</w:t>
      </w:r>
      <w:r w:rsidR="000D4906">
        <w:rPr>
          <w:rFonts w:ascii="Times New Roman" w:hAnsi="Times New Roman" w:cs="Times New Roman"/>
        </w:rPr>
        <w:t xml:space="preserve"> in which irrigated land use and water shortages are most prevalent.</w:t>
      </w:r>
    </w:p>
    <w:tbl>
      <w:tblPr>
        <w:tblW w:w="9451" w:type="dxa"/>
        <w:tblLook w:val="04A0" w:firstRow="1" w:lastRow="0" w:firstColumn="1" w:lastColumn="0" w:noHBand="0" w:noVBand="1"/>
      </w:tblPr>
      <w:tblGrid>
        <w:gridCol w:w="1487"/>
        <w:gridCol w:w="1358"/>
        <w:gridCol w:w="1338"/>
        <w:gridCol w:w="1243"/>
        <w:gridCol w:w="1355"/>
        <w:gridCol w:w="1338"/>
        <w:gridCol w:w="1332"/>
      </w:tblGrid>
      <w:tr w:rsidR="0086236C" w:rsidRPr="00020AC1" w14:paraId="6D1716FF" w14:textId="77777777" w:rsidTr="0086236C">
        <w:trPr>
          <w:trHeight w:val="585"/>
        </w:trPr>
        <w:tc>
          <w:tcPr>
            <w:tcW w:w="1487"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82F5B51" w14:textId="00D76683" w:rsidR="0086236C" w:rsidRPr="00020AC1" w:rsidRDefault="0086236C" w:rsidP="0086236C">
            <w:pPr>
              <w:spacing w:after="0" w:line="240" w:lineRule="auto"/>
              <w:jc w:val="center"/>
              <w:rPr>
                <w:rFonts w:ascii="Calibri" w:eastAsia="Times New Roman" w:hAnsi="Calibri" w:cs="Calibri"/>
                <w:b/>
                <w:bCs/>
                <w:color w:val="000000"/>
              </w:rPr>
            </w:pPr>
            <w:r w:rsidRPr="00020AC1">
              <w:rPr>
                <w:rFonts w:ascii="Calibri" w:eastAsia="Times New Roman" w:hAnsi="Calibri" w:cs="Calibri"/>
                <w:b/>
                <w:bCs/>
                <w:color w:val="000000"/>
              </w:rPr>
              <w:t>States</w:t>
            </w:r>
          </w:p>
        </w:tc>
        <w:tc>
          <w:tcPr>
            <w:tcW w:w="1358" w:type="dxa"/>
            <w:tcBorders>
              <w:top w:val="single" w:sz="8" w:space="0" w:color="auto"/>
              <w:left w:val="nil"/>
              <w:bottom w:val="single" w:sz="8" w:space="0" w:color="auto"/>
              <w:right w:val="single" w:sz="4" w:space="0" w:color="auto"/>
            </w:tcBorders>
            <w:shd w:val="clear" w:color="auto" w:fill="auto"/>
            <w:vAlign w:val="center"/>
            <w:hideMark/>
          </w:tcPr>
          <w:p w14:paraId="5BCF19E6" w14:textId="0C0752C8" w:rsidR="0086236C" w:rsidRPr="00020AC1" w:rsidRDefault="0086236C" w:rsidP="0086236C">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USDA</w:t>
            </w:r>
            <w:r w:rsidRPr="00020AC1">
              <w:rPr>
                <w:rFonts w:ascii="Calibri" w:eastAsia="Times New Roman" w:hAnsi="Calibri" w:cs="Calibri"/>
                <w:b/>
                <w:bCs/>
                <w:color w:val="000000"/>
              </w:rPr>
              <w:t xml:space="preserve"> Initial Area</w:t>
            </w:r>
            <w:r>
              <w:rPr>
                <w:rFonts w:ascii="Calibri" w:eastAsia="Times New Roman" w:hAnsi="Calibri" w:cs="Calibri"/>
                <w:b/>
                <w:bCs/>
                <w:color w:val="000000"/>
              </w:rPr>
              <w:t xml:space="preserve"> (2002)</w:t>
            </w:r>
          </w:p>
        </w:tc>
        <w:tc>
          <w:tcPr>
            <w:tcW w:w="1338" w:type="dxa"/>
            <w:tcBorders>
              <w:top w:val="single" w:sz="8" w:space="0" w:color="auto"/>
              <w:left w:val="nil"/>
              <w:bottom w:val="single" w:sz="8" w:space="0" w:color="auto"/>
              <w:right w:val="single" w:sz="4" w:space="0" w:color="auto"/>
            </w:tcBorders>
            <w:shd w:val="clear" w:color="auto" w:fill="auto"/>
            <w:vAlign w:val="center"/>
            <w:hideMark/>
          </w:tcPr>
          <w:p w14:paraId="332186D7" w14:textId="59A84263" w:rsidR="0086236C" w:rsidRPr="00020AC1" w:rsidRDefault="0086236C" w:rsidP="0086236C">
            <w:pPr>
              <w:spacing w:after="0" w:line="240" w:lineRule="auto"/>
              <w:jc w:val="center"/>
              <w:rPr>
                <w:rFonts w:ascii="Calibri" w:eastAsia="Times New Roman" w:hAnsi="Calibri" w:cs="Calibri"/>
                <w:b/>
                <w:bCs/>
                <w:color w:val="000000"/>
              </w:rPr>
            </w:pPr>
            <w:r w:rsidRPr="00020AC1">
              <w:rPr>
                <w:rFonts w:ascii="Calibri" w:eastAsia="Times New Roman" w:hAnsi="Calibri" w:cs="Calibri"/>
                <w:b/>
                <w:bCs/>
                <w:color w:val="000000"/>
              </w:rPr>
              <w:t>ABM Initial Area</w:t>
            </w:r>
            <w:r>
              <w:rPr>
                <w:rFonts w:ascii="Calibri" w:eastAsia="Times New Roman" w:hAnsi="Calibri" w:cs="Calibri"/>
                <w:b/>
                <w:bCs/>
                <w:color w:val="000000"/>
              </w:rPr>
              <w:t xml:space="preserve"> (2000)</w:t>
            </w:r>
          </w:p>
        </w:tc>
        <w:tc>
          <w:tcPr>
            <w:tcW w:w="1243" w:type="dxa"/>
            <w:tcBorders>
              <w:top w:val="single" w:sz="8" w:space="0" w:color="auto"/>
              <w:left w:val="nil"/>
              <w:bottom w:val="single" w:sz="8" w:space="0" w:color="auto"/>
              <w:right w:val="single" w:sz="4" w:space="0" w:color="auto"/>
            </w:tcBorders>
            <w:shd w:val="clear" w:color="auto" w:fill="auto"/>
            <w:vAlign w:val="center"/>
            <w:hideMark/>
          </w:tcPr>
          <w:p w14:paraId="283EAA5E" w14:textId="703A4544" w:rsidR="0086236C" w:rsidRPr="00020AC1" w:rsidRDefault="0086236C" w:rsidP="0086236C">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USDA</w:t>
            </w:r>
            <w:r w:rsidRPr="00020AC1">
              <w:rPr>
                <w:rFonts w:ascii="Calibri" w:eastAsia="Times New Roman" w:hAnsi="Calibri" w:cs="Calibri"/>
                <w:b/>
                <w:bCs/>
                <w:color w:val="000000"/>
              </w:rPr>
              <w:t xml:space="preserve"> Initial Area</w:t>
            </w:r>
            <w:r>
              <w:rPr>
                <w:rFonts w:ascii="Calibri" w:eastAsia="Times New Roman" w:hAnsi="Calibri" w:cs="Calibri"/>
                <w:b/>
                <w:bCs/>
                <w:color w:val="000000"/>
              </w:rPr>
              <w:t xml:space="preserve"> (2007)</w:t>
            </w:r>
          </w:p>
        </w:tc>
        <w:tc>
          <w:tcPr>
            <w:tcW w:w="1355" w:type="dxa"/>
            <w:tcBorders>
              <w:top w:val="single" w:sz="8" w:space="0" w:color="auto"/>
              <w:left w:val="nil"/>
              <w:bottom w:val="single" w:sz="8" w:space="0" w:color="auto"/>
              <w:right w:val="single" w:sz="4" w:space="0" w:color="auto"/>
            </w:tcBorders>
            <w:shd w:val="clear" w:color="auto" w:fill="auto"/>
            <w:vAlign w:val="center"/>
            <w:hideMark/>
          </w:tcPr>
          <w:p w14:paraId="071A9DD6" w14:textId="00F75869" w:rsidR="0086236C" w:rsidRPr="00020AC1" w:rsidRDefault="0086236C" w:rsidP="0086236C">
            <w:pPr>
              <w:spacing w:after="0" w:line="240" w:lineRule="auto"/>
              <w:jc w:val="center"/>
              <w:rPr>
                <w:rFonts w:ascii="Calibri" w:eastAsia="Times New Roman" w:hAnsi="Calibri" w:cs="Calibri"/>
                <w:b/>
                <w:bCs/>
                <w:color w:val="000000"/>
              </w:rPr>
            </w:pPr>
            <w:r w:rsidRPr="00020AC1">
              <w:rPr>
                <w:rFonts w:ascii="Calibri" w:eastAsia="Times New Roman" w:hAnsi="Calibri" w:cs="Calibri"/>
                <w:b/>
                <w:bCs/>
                <w:color w:val="000000"/>
              </w:rPr>
              <w:t>ABM Final Area</w:t>
            </w:r>
            <w:r>
              <w:rPr>
                <w:rFonts w:ascii="Calibri" w:eastAsia="Times New Roman" w:hAnsi="Calibri" w:cs="Calibri"/>
                <w:b/>
                <w:bCs/>
                <w:color w:val="000000"/>
              </w:rPr>
              <w:t xml:space="preserve"> (2005)</w:t>
            </w:r>
          </w:p>
        </w:tc>
        <w:tc>
          <w:tcPr>
            <w:tcW w:w="1338" w:type="dxa"/>
            <w:tcBorders>
              <w:top w:val="single" w:sz="8" w:space="0" w:color="auto"/>
              <w:left w:val="nil"/>
              <w:bottom w:val="single" w:sz="8" w:space="0" w:color="auto"/>
              <w:right w:val="single" w:sz="4" w:space="0" w:color="auto"/>
            </w:tcBorders>
            <w:shd w:val="clear" w:color="auto" w:fill="auto"/>
            <w:vAlign w:val="center"/>
            <w:hideMark/>
          </w:tcPr>
          <w:p w14:paraId="2325CB5F" w14:textId="31B7C09A" w:rsidR="0086236C" w:rsidRPr="00020AC1" w:rsidRDefault="0086236C" w:rsidP="0086236C">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USDA Percentage Change</w:t>
            </w:r>
          </w:p>
        </w:tc>
        <w:tc>
          <w:tcPr>
            <w:tcW w:w="1332" w:type="dxa"/>
            <w:tcBorders>
              <w:top w:val="single" w:sz="8" w:space="0" w:color="auto"/>
              <w:left w:val="nil"/>
              <w:bottom w:val="single" w:sz="8" w:space="0" w:color="auto"/>
              <w:right w:val="single" w:sz="8" w:space="0" w:color="auto"/>
            </w:tcBorders>
            <w:shd w:val="clear" w:color="auto" w:fill="auto"/>
            <w:vAlign w:val="center"/>
            <w:hideMark/>
          </w:tcPr>
          <w:p w14:paraId="3CC98C82" w14:textId="77777777" w:rsidR="0086236C" w:rsidRDefault="0086236C" w:rsidP="0086236C">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ABM</w:t>
            </w:r>
          </w:p>
          <w:p w14:paraId="7BF7D0ED" w14:textId="1B2035B7" w:rsidR="0086236C" w:rsidRPr="00020AC1" w:rsidRDefault="0086236C" w:rsidP="0086236C">
            <w:pPr>
              <w:spacing w:after="0" w:line="240" w:lineRule="auto"/>
              <w:jc w:val="center"/>
              <w:rPr>
                <w:rFonts w:ascii="Calibri" w:eastAsia="Times New Roman" w:hAnsi="Calibri" w:cs="Calibri"/>
                <w:b/>
                <w:bCs/>
                <w:color w:val="000000"/>
              </w:rPr>
            </w:pPr>
            <w:r w:rsidRPr="00020AC1">
              <w:rPr>
                <w:rFonts w:ascii="Calibri" w:eastAsia="Times New Roman" w:hAnsi="Calibri" w:cs="Calibri"/>
                <w:b/>
                <w:bCs/>
                <w:color w:val="000000"/>
              </w:rPr>
              <w:t>Percentage Change</w:t>
            </w:r>
          </w:p>
        </w:tc>
      </w:tr>
      <w:tr w:rsidR="0086236C" w:rsidRPr="00020AC1" w14:paraId="17A93EA7" w14:textId="77777777" w:rsidTr="0086236C">
        <w:trPr>
          <w:trHeight w:val="300"/>
        </w:trPr>
        <w:tc>
          <w:tcPr>
            <w:tcW w:w="1487" w:type="dxa"/>
            <w:tcBorders>
              <w:top w:val="nil"/>
              <w:left w:val="single" w:sz="8" w:space="0" w:color="auto"/>
              <w:bottom w:val="single" w:sz="4" w:space="0" w:color="auto"/>
              <w:right w:val="single" w:sz="4" w:space="0" w:color="auto"/>
            </w:tcBorders>
            <w:shd w:val="clear" w:color="auto" w:fill="auto"/>
            <w:noWrap/>
            <w:vAlign w:val="bottom"/>
            <w:hideMark/>
          </w:tcPr>
          <w:p w14:paraId="29DA1B11" w14:textId="0C114572" w:rsidR="0086236C" w:rsidRPr="00020AC1" w:rsidRDefault="0086236C" w:rsidP="0086236C">
            <w:pPr>
              <w:spacing w:after="0" w:line="240" w:lineRule="auto"/>
              <w:rPr>
                <w:rFonts w:ascii="Calibri" w:eastAsia="Times New Roman" w:hAnsi="Calibri" w:cs="Calibri"/>
                <w:color w:val="000000"/>
              </w:rPr>
            </w:pPr>
            <w:r w:rsidRPr="00020AC1">
              <w:rPr>
                <w:rFonts w:ascii="Calibri" w:eastAsia="Times New Roman" w:hAnsi="Calibri" w:cs="Calibri"/>
                <w:color w:val="000000"/>
              </w:rPr>
              <w:t>Arizona</w:t>
            </w:r>
          </w:p>
        </w:tc>
        <w:tc>
          <w:tcPr>
            <w:tcW w:w="1358" w:type="dxa"/>
            <w:tcBorders>
              <w:top w:val="nil"/>
              <w:left w:val="nil"/>
              <w:bottom w:val="single" w:sz="4" w:space="0" w:color="auto"/>
              <w:right w:val="single" w:sz="4" w:space="0" w:color="auto"/>
            </w:tcBorders>
            <w:shd w:val="clear" w:color="auto" w:fill="auto"/>
            <w:noWrap/>
            <w:vAlign w:val="bottom"/>
            <w:hideMark/>
          </w:tcPr>
          <w:p w14:paraId="2F4D1A57" w14:textId="16EE5D75"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0.90</w:t>
            </w:r>
          </w:p>
        </w:tc>
        <w:tc>
          <w:tcPr>
            <w:tcW w:w="1338" w:type="dxa"/>
            <w:tcBorders>
              <w:top w:val="nil"/>
              <w:left w:val="nil"/>
              <w:bottom w:val="single" w:sz="4" w:space="0" w:color="auto"/>
              <w:right w:val="single" w:sz="4" w:space="0" w:color="auto"/>
            </w:tcBorders>
            <w:shd w:val="clear" w:color="auto" w:fill="auto"/>
            <w:noWrap/>
            <w:vAlign w:val="bottom"/>
            <w:hideMark/>
          </w:tcPr>
          <w:p w14:paraId="3BF85A2A" w14:textId="52B12C7B"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0.91</w:t>
            </w:r>
          </w:p>
        </w:tc>
        <w:tc>
          <w:tcPr>
            <w:tcW w:w="1243" w:type="dxa"/>
            <w:tcBorders>
              <w:top w:val="nil"/>
              <w:left w:val="nil"/>
              <w:bottom w:val="single" w:sz="4" w:space="0" w:color="auto"/>
              <w:right w:val="single" w:sz="4" w:space="0" w:color="auto"/>
            </w:tcBorders>
            <w:shd w:val="clear" w:color="auto" w:fill="auto"/>
            <w:noWrap/>
            <w:vAlign w:val="bottom"/>
            <w:hideMark/>
          </w:tcPr>
          <w:p w14:paraId="41A7DFF0" w14:textId="2B189F95"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0.82</w:t>
            </w:r>
          </w:p>
        </w:tc>
        <w:tc>
          <w:tcPr>
            <w:tcW w:w="1355" w:type="dxa"/>
            <w:tcBorders>
              <w:top w:val="nil"/>
              <w:left w:val="nil"/>
              <w:bottom w:val="single" w:sz="4" w:space="0" w:color="auto"/>
              <w:right w:val="single" w:sz="4" w:space="0" w:color="auto"/>
            </w:tcBorders>
            <w:shd w:val="clear" w:color="auto" w:fill="auto"/>
            <w:noWrap/>
            <w:vAlign w:val="bottom"/>
            <w:hideMark/>
          </w:tcPr>
          <w:p w14:paraId="6046DC7E" w14:textId="52F4FC0F"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0.85</w:t>
            </w:r>
          </w:p>
        </w:tc>
        <w:tc>
          <w:tcPr>
            <w:tcW w:w="1338" w:type="dxa"/>
            <w:tcBorders>
              <w:top w:val="nil"/>
              <w:left w:val="nil"/>
              <w:bottom w:val="single" w:sz="4" w:space="0" w:color="auto"/>
              <w:right w:val="single" w:sz="4" w:space="0" w:color="auto"/>
            </w:tcBorders>
            <w:shd w:val="clear" w:color="auto" w:fill="auto"/>
            <w:noWrap/>
            <w:vAlign w:val="bottom"/>
            <w:hideMark/>
          </w:tcPr>
          <w:p w14:paraId="1985B39B" w14:textId="34B236E5"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-8.9%</w:t>
            </w:r>
          </w:p>
        </w:tc>
        <w:tc>
          <w:tcPr>
            <w:tcW w:w="1332" w:type="dxa"/>
            <w:tcBorders>
              <w:top w:val="nil"/>
              <w:left w:val="nil"/>
              <w:bottom w:val="single" w:sz="4" w:space="0" w:color="auto"/>
              <w:right w:val="single" w:sz="8" w:space="0" w:color="auto"/>
            </w:tcBorders>
            <w:shd w:val="clear" w:color="auto" w:fill="auto"/>
            <w:noWrap/>
            <w:vAlign w:val="bottom"/>
            <w:hideMark/>
          </w:tcPr>
          <w:p w14:paraId="3947EF04" w14:textId="38823C63"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-6.6%</w:t>
            </w:r>
          </w:p>
        </w:tc>
      </w:tr>
      <w:tr w:rsidR="0086236C" w:rsidRPr="00020AC1" w14:paraId="72DEB236" w14:textId="77777777" w:rsidTr="0086236C">
        <w:trPr>
          <w:trHeight w:val="300"/>
        </w:trPr>
        <w:tc>
          <w:tcPr>
            <w:tcW w:w="1487" w:type="dxa"/>
            <w:tcBorders>
              <w:top w:val="nil"/>
              <w:left w:val="single" w:sz="8" w:space="0" w:color="auto"/>
              <w:bottom w:val="single" w:sz="4" w:space="0" w:color="auto"/>
              <w:right w:val="single" w:sz="4" w:space="0" w:color="auto"/>
            </w:tcBorders>
            <w:shd w:val="clear" w:color="auto" w:fill="auto"/>
            <w:noWrap/>
            <w:vAlign w:val="bottom"/>
            <w:hideMark/>
          </w:tcPr>
          <w:p w14:paraId="52D54A1C" w14:textId="58EF5D70" w:rsidR="0086236C" w:rsidRPr="00020AC1" w:rsidRDefault="0086236C" w:rsidP="0086236C">
            <w:pPr>
              <w:spacing w:after="0" w:line="240" w:lineRule="auto"/>
              <w:rPr>
                <w:rFonts w:ascii="Calibri" w:eastAsia="Times New Roman" w:hAnsi="Calibri" w:cs="Calibri"/>
                <w:color w:val="000000"/>
              </w:rPr>
            </w:pPr>
            <w:r w:rsidRPr="00020AC1">
              <w:rPr>
                <w:rFonts w:ascii="Calibri" w:eastAsia="Times New Roman" w:hAnsi="Calibri" w:cs="Calibri"/>
                <w:color w:val="000000"/>
              </w:rPr>
              <w:t>California</w:t>
            </w:r>
          </w:p>
        </w:tc>
        <w:tc>
          <w:tcPr>
            <w:tcW w:w="1358" w:type="dxa"/>
            <w:tcBorders>
              <w:top w:val="nil"/>
              <w:left w:val="nil"/>
              <w:bottom w:val="single" w:sz="4" w:space="0" w:color="auto"/>
              <w:right w:val="single" w:sz="4" w:space="0" w:color="auto"/>
            </w:tcBorders>
            <w:shd w:val="clear" w:color="auto" w:fill="auto"/>
            <w:noWrap/>
            <w:vAlign w:val="bottom"/>
            <w:hideMark/>
          </w:tcPr>
          <w:p w14:paraId="5B88EBE9" w14:textId="4B1C599C"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7.40</w:t>
            </w:r>
          </w:p>
        </w:tc>
        <w:tc>
          <w:tcPr>
            <w:tcW w:w="1338" w:type="dxa"/>
            <w:tcBorders>
              <w:top w:val="nil"/>
              <w:left w:val="nil"/>
              <w:bottom w:val="single" w:sz="4" w:space="0" w:color="auto"/>
              <w:right w:val="single" w:sz="4" w:space="0" w:color="auto"/>
            </w:tcBorders>
            <w:shd w:val="clear" w:color="auto" w:fill="auto"/>
            <w:noWrap/>
            <w:vAlign w:val="bottom"/>
            <w:hideMark/>
          </w:tcPr>
          <w:p w14:paraId="2ECF3E62" w14:textId="01FF03C6"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7.7</w:t>
            </w:r>
            <w:r w:rsidR="00243652">
              <w:rPr>
                <w:rFonts w:ascii="Calibri" w:hAnsi="Calibri" w:cs="Calibri"/>
                <w:color w:val="000000"/>
              </w:rPr>
              <w:t>8</w:t>
            </w:r>
          </w:p>
        </w:tc>
        <w:tc>
          <w:tcPr>
            <w:tcW w:w="1243" w:type="dxa"/>
            <w:tcBorders>
              <w:top w:val="nil"/>
              <w:left w:val="nil"/>
              <w:bottom w:val="single" w:sz="4" w:space="0" w:color="auto"/>
              <w:right w:val="single" w:sz="4" w:space="0" w:color="auto"/>
            </w:tcBorders>
            <w:shd w:val="clear" w:color="auto" w:fill="auto"/>
            <w:noWrap/>
            <w:vAlign w:val="bottom"/>
            <w:hideMark/>
          </w:tcPr>
          <w:p w14:paraId="5F990F4A" w14:textId="145DDC4C"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6.90</w:t>
            </w:r>
          </w:p>
        </w:tc>
        <w:tc>
          <w:tcPr>
            <w:tcW w:w="1355" w:type="dxa"/>
            <w:tcBorders>
              <w:top w:val="nil"/>
              <w:left w:val="nil"/>
              <w:bottom w:val="single" w:sz="4" w:space="0" w:color="auto"/>
              <w:right w:val="single" w:sz="4" w:space="0" w:color="auto"/>
            </w:tcBorders>
            <w:shd w:val="clear" w:color="auto" w:fill="auto"/>
            <w:noWrap/>
            <w:vAlign w:val="bottom"/>
            <w:hideMark/>
          </w:tcPr>
          <w:p w14:paraId="0DEC73FC" w14:textId="2F407715"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7.3</w:t>
            </w:r>
            <w:r w:rsidR="00F12E4B">
              <w:rPr>
                <w:rFonts w:ascii="Calibri" w:hAnsi="Calibri" w:cs="Calibri"/>
                <w:color w:val="000000"/>
              </w:rPr>
              <w:t>7</w:t>
            </w:r>
          </w:p>
        </w:tc>
        <w:tc>
          <w:tcPr>
            <w:tcW w:w="1338" w:type="dxa"/>
            <w:tcBorders>
              <w:top w:val="nil"/>
              <w:left w:val="nil"/>
              <w:bottom w:val="single" w:sz="4" w:space="0" w:color="auto"/>
              <w:right w:val="single" w:sz="4" w:space="0" w:color="auto"/>
            </w:tcBorders>
            <w:shd w:val="clear" w:color="auto" w:fill="auto"/>
            <w:noWrap/>
            <w:vAlign w:val="bottom"/>
            <w:hideMark/>
          </w:tcPr>
          <w:p w14:paraId="432A45D1" w14:textId="0DF0E9D1"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-6.8%</w:t>
            </w:r>
          </w:p>
        </w:tc>
        <w:tc>
          <w:tcPr>
            <w:tcW w:w="1332" w:type="dxa"/>
            <w:tcBorders>
              <w:top w:val="nil"/>
              <w:left w:val="nil"/>
              <w:bottom w:val="single" w:sz="4" w:space="0" w:color="auto"/>
              <w:right w:val="single" w:sz="8" w:space="0" w:color="auto"/>
            </w:tcBorders>
            <w:shd w:val="clear" w:color="auto" w:fill="auto"/>
            <w:noWrap/>
            <w:vAlign w:val="bottom"/>
            <w:hideMark/>
          </w:tcPr>
          <w:p w14:paraId="47C53067" w14:textId="5725244A"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-5.</w:t>
            </w:r>
            <w:r w:rsidR="00FE2D9C">
              <w:rPr>
                <w:rFonts w:ascii="Calibri" w:hAnsi="Calibri" w:cs="Calibri"/>
                <w:color w:val="000000"/>
              </w:rPr>
              <w:t>3</w:t>
            </w:r>
            <w:r>
              <w:rPr>
                <w:rFonts w:ascii="Calibri" w:hAnsi="Calibri" w:cs="Calibri"/>
                <w:color w:val="000000"/>
              </w:rPr>
              <w:t>%</w:t>
            </w:r>
          </w:p>
        </w:tc>
      </w:tr>
      <w:tr w:rsidR="0086236C" w:rsidRPr="00020AC1" w14:paraId="198444AD" w14:textId="77777777" w:rsidTr="0086236C">
        <w:trPr>
          <w:trHeight w:val="300"/>
        </w:trPr>
        <w:tc>
          <w:tcPr>
            <w:tcW w:w="1487" w:type="dxa"/>
            <w:tcBorders>
              <w:top w:val="nil"/>
              <w:left w:val="single" w:sz="8" w:space="0" w:color="auto"/>
              <w:bottom w:val="single" w:sz="4" w:space="0" w:color="auto"/>
              <w:right w:val="single" w:sz="4" w:space="0" w:color="auto"/>
            </w:tcBorders>
            <w:shd w:val="clear" w:color="auto" w:fill="auto"/>
            <w:noWrap/>
            <w:vAlign w:val="bottom"/>
            <w:hideMark/>
          </w:tcPr>
          <w:p w14:paraId="6467B6CE" w14:textId="094BE7CD" w:rsidR="0086236C" w:rsidRPr="00020AC1" w:rsidRDefault="0086236C" w:rsidP="0086236C">
            <w:pPr>
              <w:spacing w:after="0" w:line="240" w:lineRule="auto"/>
              <w:rPr>
                <w:rFonts w:ascii="Calibri" w:eastAsia="Times New Roman" w:hAnsi="Calibri" w:cs="Calibri"/>
                <w:color w:val="000000"/>
              </w:rPr>
            </w:pPr>
            <w:r w:rsidRPr="00020AC1">
              <w:rPr>
                <w:rFonts w:ascii="Calibri" w:eastAsia="Times New Roman" w:hAnsi="Calibri" w:cs="Calibri"/>
                <w:color w:val="000000"/>
              </w:rPr>
              <w:t>Colorado</w:t>
            </w:r>
          </w:p>
        </w:tc>
        <w:tc>
          <w:tcPr>
            <w:tcW w:w="1358" w:type="dxa"/>
            <w:tcBorders>
              <w:top w:val="nil"/>
              <w:left w:val="nil"/>
              <w:bottom w:val="single" w:sz="4" w:space="0" w:color="auto"/>
              <w:right w:val="single" w:sz="4" w:space="0" w:color="auto"/>
            </w:tcBorders>
            <w:shd w:val="clear" w:color="auto" w:fill="auto"/>
            <w:noWrap/>
            <w:vAlign w:val="bottom"/>
            <w:hideMark/>
          </w:tcPr>
          <w:p w14:paraId="79DCD9F8" w14:textId="196FCBCD"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1.74</w:t>
            </w:r>
          </w:p>
        </w:tc>
        <w:tc>
          <w:tcPr>
            <w:tcW w:w="1338" w:type="dxa"/>
            <w:tcBorders>
              <w:top w:val="nil"/>
              <w:left w:val="nil"/>
              <w:bottom w:val="single" w:sz="4" w:space="0" w:color="auto"/>
              <w:right w:val="single" w:sz="4" w:space="0" w:color="auto"/>
            </w:tcBorders>
            <w:shd w:val="clear" w:color="auto" w:fill="auto"/>
            <w:noWrap/>
            <w:vAlign w:val="bottom"/>
            <w:hideMark/>
          </w:tcPr>
          <w:p w14:paraId="28A2F6D5" w14:textId="46EE1C8D"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2.0</w:t>
            </w:r>
            <w:r w:rsidR="00F158B9">
              <w:rPr>
                <w:rFonts w:ascii="Calibri" w:hAnsi="Calibri" w:cs="Calibri"/>
                <w:color w:val="000000"/>
              </w:rPr>
              <w:t>5</w:t>
            </w:r>
          </w:p>
        </w:tc>
        <w:tc>
          <w:tcPr>
            <w:tcW w:w="1243" w:type="dxa"/>
            <w:tcBorders>
              <w:top w:val="nil"/>
              <w:left w:val="nil"/>
              <w:bottom w:val="single" w:sz="4" w:space="0" w:color="auto"/>
              <w:right w:val="single" w:sz="4" w:space="0" w:color="auto"/>
            </w:tcBorders>
            <w:shd w:val="clear" w:color="auto" w:fill="auto"/>
            <w:noWrap/>
            <w:vAlign w:val="bottom"/>
            <w:hideMark/>
          </w:tcPr>
          <w:p w14:paraId="0EE4070C" w14:textId="09FE96A0"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1.77</w:t>
            </w:r>
          </w:p>
        </w:tc>
        <w:tc>
          <w:tcPr>
            <w:tcW w:w="1355" w:type="dxa"/>
            <w:tcBorders>
              <w:top w:val="nil"/>
              <w:left w:val="nil"/>
              <w:bottom w:val="single" w:sz="4" w:space="0" w:color="auto"/>
              <w:right w:val="single" w:sz="4" w:space="0" w:color="auto"/>
            </w:tcBorders>
            <w:shd w:val="clear" w:color="auto" w:fill="auto"/>
            <w:noWrap/>
            <w:vAlign w:val="bottom"/>
            <w:hideMark/>
          </w:tcPr>
          <w:p w14:paraId="5CEF1DA4" w14:textId="37CA15C1"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w:t>
            </w:r>
            <w:r w:rsidR="00F158B9">
              <w:rPr>
                <w:rFonts w:ascii="Calibri" w:hAnsi="Calibri" w:cs="Calibri"/>
                <w:color w:val="000000"/>
              </w:rPr>
              <w:t>83</w:t>
            </w:r>
          </w:p>
        </w:tc>
        <w:tc>
          <w:tcPr>
            <w:tcW w:w="1338" w:type="dxa"/>
            <w:tcBorders>
              <w:top w:val="nil"/>
              <w:left w:val="nil"/>
              <w:bottom w:val="single" w:sz="4" w:space="0" w:color="auto"/>
              <w:right w:val="single" w:sz="4" w:space="0" w:color="auto"/>
            </w:tcBorders>
            <w:shd w:val="clear" w:color="auto" w:fill="auto"/>
            <w:noWrap/>
            <w:vAlign w:val="bottom"/>
            <w:hideMark/>
          </w:tcPr>
          <w:p w14:paraId="5C5104F4" w14:textId="2FD25D89"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1.7%</w:t>
            </w:r>
          </w:p>
        </w:tc>
        <w:tc>
          <w:tcPr>
            <w:tcW w:w="1332" w:type="dxa"/>
            <w:tcBorders>
              <w:top w:val="nil"/>
              <w:left w:val="nil"/>
              <w:bottom w:val="single" w:sz="4" w:space="0" w:color="auto"/>
              <w:right w:val="single" w:sz="8" w:space="0" w:color="auto"/>
            </w:tcBorders>
            <w:shd w:val="clear" w:color="auto" w:fill="auto"/>
            <w:noWrap/>
            <w:vAlign w:val="bottom"/>
            <w:hideMark/>
          </w:tcPr>
          <w:p w14:paraId="2B37DF75" w14:textId="5EB1605B"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w:t>
            </w:r>
            <w:r w:rsidR="00DE18C1">
              <w:rPr>
                <w:rFonts w:ascii="Calibri" w:hAnsi="Calibri" w:cs="Calibri"/>
                <w:color w:val="000000"/>
              </w:rPr>
              <w:t>10.7</w:t>
            </w:r>
            <w:r>
              <w:rPr>
                <w:rFonts w:ascii="Calibri" w:hAnsi="Calibri" w:cs="Calibri"/>
                <w:color w:val="000000"/>
              </w:rPr>
              <w:t>%</w:t>
            </w:r>
          </w:p>
        </w:tc>
      </w:tr>
      <w:tr w:rsidR="0086236C" w:rsidRPr="00020AC1" w14:paraId="0813A733" w14:textId="77777777" w:rsidTr="0086236C">
        <w:trPr>
          <w:trHeight w:val="300"/>
        </w:trPr>
        <w:tc>
          <w:tcPr>
            <w:tcW w:w="1487" w:type="dxa"/>
            <w:tcBorders>
              <w:top w:val="nil"/>
              <w:left w:val="single" w:sz="8" w:space="0" w:color="auto"/>
              <w:bottom w:val="single" w:sz="4" w:space="0" w:color="auto"/>
              <w:right w:val="single" w:sz="4" w:space="0" w:color="auto"/>
            </w:tcBorders>
            <w:shd w:val="clear" w:color="auto" w:fill="auto"/>
            <w:noWrap/>
            <w:vAlign w:val="bottom"/>
            <w:hideMark/>
          </w:tcPr>
          <w:p w14:paraId="024B6B08" w14:textId="336AFBF7" w:rsidR="0086236C" w:rsidRPr="00020AC1" w:rsidRDefault="0086236C" w:rsidP="0086236C">
            <w:pPr>
              <w:spacing w:after="0" w:line="240" w:lineRule="auto"/>
              <w:rPr>
                <w:rFonts w:ascii="Calibri" w:eastAsia="Times New Roman" w:hAnsi="Calibri" w:cs="Calibri"/>
                <w:color w:val="000000"/>
              </w:rPr>
            </w:pPr>
            <w:r w:rsidRPr="00020AC1">
              <w:rPr>
                <w:rFonts w:ascii="Calibri" w:eastAsia="Times New Roman" w:hAnsi="Calibri" w:cs="Calibri"/>
                <w:color w:val="000000"/>
              </w:rPr>
              <w:t>Idaho</w:t>
            </w:r>
          </w:p>
        </w:tc>
        <w:tc>
          <w:tcPr>
            <w:tcW w:w="1358" w:type="dxa"/>
            <w:tcBorders>
              <w:top w:val="nil"/>
              <w:left w:val="nil"/>
              <w:bottom w:val="single" w:sz="4" w:space="0" w:color="auto"/>
              <w:right w:val="single" w:sz="4" w:space="0" w:color="auto"/>
            </w:tcBorders>
            <w:shd w:val="clear" w:color="auto" w:fill="auto"/>
            <w:noWrap/>
            <w:vAlign w:val="bottom"/>
            <w:hideMark/>
          </w:tcPr>
          <w:p w14:paraId="2255BEA4" w14:textId="02564EF9"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2.68</w:t>
            </w:r>
          </w:p>
        </w:tc>
        <w:tc>
          <w:tcPr>
            <w:tcW w:w="1338" w:type="dxa"/>
            <w:tcBorders>
              <w:top w:val="nil"/>
              <w:left w:val="nil"/>
              <w:bottom w:val="single" w:sz="4" w:space="0" w:color="auto"/>
              <w:right w:val="single" w:sz="4" w:space="0" w:color="auto"/>
            </w:tcBorders>
            <w:shd w:val="clear" w:color="auto" w:fill="auto"/>
            <w:noWrap/>
            <w:vAlign w:val="bottom"/>
            <w:hideMark/>
          </w:tcPr>
          <w:p w14:paraId="4E7F5DEA" w14:textId="55CA7BB1"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3.6</w:t>
            </w:r>
            <w:r w:rsidR="00F379BA">
              <w:rPr>
                <w:rFonts w:ascii="Calibri" w:hAnsi="Calibri" w:cs="Calibri"/>
                <w:color w:val="000000"/>
              </w:rPr>
              <w:t>5</w:t>
            </w:r>
          </w:p>
        </w:tc>
        <w:tc>
          <w:tcPr>
            <w:tcW w:w="1243" w:type="dxa"/>
            <w:tcBorders>
              <w:top w:val="nil"/>
              <w:left w:val="nil"/>
              <w:bottom w:val="single" w:sz="4" w:space="0" w:color="auto"/>
              <w:right w:val="single" w:sz="4" w:space="0" w:color="auto"/>
            </w:tcBorders>
            <w:shd w:val="clear" w:color="auto" w:fill="auto"/>
            <w:noWrap/>
            <w:vAlign w:val="bottom"/>
            <w:hideMark/>
          </w:tcPr>
          <w:p w14:paraId="0742BDAB" w14:textId="1F81C2A8"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2.67</w:t>
            </w:r>
          </w:p>
        </w:tc>
        <w:tc>
          <w:tcPr>
            <w:tcW w:w="1355" w:type="dxa"/>
            <w:tcBorders>
              <w:top w:val="nil"/>
              <w:left w:val="nil"/>
              <w:bottom w:val="single" w:sz="4" w:space="0" w:color="auto"/>
              <w:right w:val="single" w:sz="4" w:space="0" w:color="auto"/>
            </w:tcBorders>
            <w:shd w:val="clear" w:color="auto" w:fill="auto"/>
            <w:noWrap/>
            <w:vAlign w:val="bottom"/>
            <w:hideMark/>
          </w:tcPr>
          <w:p w14:paraId="2672EC90" w14:textId="53F82013"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3.1</w:t>
            </w:r>
            <w:r w:rsidR="00550605">
              <w:rPr>
                <w:rFonts w:ascii="Calibri" w:hAnsi="Calibri" w:cs="Calibri"/>
                <w:color w:val="000000"/>
              </w:rPr>
              <w:t>6</w:t>
            </w:r>
          </w:p>
        </w:tc>
        <w:tc>
          <w:tcPr>
            <w:tcW w:w="1338" w:type="dxa"/>
            <w:tcBorders>
              <w:top w:val="nil"/>
              <w:left w:val="nil"/>
              <w:bottom w:val="single" w:sz="4" w:space="0" w:color="auto"/>
              <w:right w:val="single" w:sz="4" w:space="0" w:color="auto"/>
            </w:tcBorders>
            <w:shd w:val="clear" w:color="auto" w:fill="auto"/>
            <w:noWrap/>
            <w:vAlign w:val="bottom"/>
            <w:hideMark/>
          </w:tcPr>
          <w:p w14:paraId="21EA26EF" w14:textId="7BD8CB4A"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-0.4%</w:t>
            </w:r>
          </w:p>
        </w:tc>
        <w:tc>
          <w:tcPr>
            <w:tcW w:w="1332" w:type="dxa"/>
            <w:tcBorders>
              <w:top w:val="nil"/>
              <w:left w:val="nil"/>
              <w:bottom w:val="single" w:sz="4" w:space="0" w:color="auto"/>
              <w:right w:val="single" w:sz="8" w:space="0" w:color="auto"/>
            </w:tcBorders>
            <w:shd w:val="clear" w:color="auto" w:fill="auto"/>
            <w:noWrap/>
            <w:vAlign w:val="bottom"/>
            <w:hideMark/>
          </w:tcPr>
          <w:p w14:paraId="2EE45167" w14:textId="40CB7F6E"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w:t>
            </w:r>
            <w:r w:rsidR="00580B4E">
              <w:rPr>
                <w:rFonts w:ascii="Calibri" w:hAnsi="Calibri" w:cs="Calibri"/>
                <w:color w:val="000000"/>
              </w:rPr>
              <w:t>13</w:t>
            </w:r>
            <w:r>
              <w:rPr>
                <w:rFonts w:ascii="Calibri" w:hAnsi="Calibri" w:cs="Calibri"/>
                <w:color w:val="000000"/>
              </w:rPr>
              <w:t>.</w:t>
            </w:r>
            <w:r w:rsidR="00580B4E">
              <w:rPr>
                <w:rFonts w:ascii="Calibri" w:hAnsi="Calibri" w:cs="Calibri"/>
                <w:color w:val="000000"/>
              </w:rPr>
              <w:t>4</w:t>
            </w:r>
            <w:r>
              <w:rPr>
                <w:rFonts w:ascii="Calibri" w:hAnsi="Calibri" w:cs="Calibri"/>
                <w:color w:val="000000"/>
              </w:rPr>
              <w:t>%</w:t>
            </w:r>
          </w:p>
        </w:tc>
      </w:tr>
      <w:tr w:rsidR="0086236C" w:rsidRPr="00020AC1" w14:paraId="64DA7DF0" w14:textId="77777777" w:rsidTr="0086236C">
        <w:trPr>
          <w:trHeight w:val="300"/>
        </w:trPr>
        <w:tc>
          <w:tcPr>
            <w:tcW w:w="1487" w:type="dxa"/>
            <w:tcBorders>
              <w:top w:val="nil"/>
              <w:left w:val="single" w:sz="8" w:space="0" w:color="auto"/>
              <w:bottom w:val="single" w:sz="4" w:space="0" w:color="auto"/>
              <w:right w:val="single" w:sz="4" w:space="0" w:color="auto"/>
            </w:tcBorders>
            <w:shd w:val="clear" w:color="auto" w:fill="auto"/>
            <w:noWrap/>
            <w:vAlign w:val="bottom"/>
            <w:hideMark/>
          </w:tcPr>
          <w:p w14:paraId="75020DA4" w14:textId="1289B2A0" w:rsidR="0086236C" w:rsidRPr="00020AC1" w:rsidRDefault="0086236C" w:rsidP="0086236C">
            <w:pPr>
              <w:spacing w:after="0" w:line="240" w:lineRule="auto"/>
              <w:rPr>
                <w:rFonts w:ascii="Calibri" w:eastAsia="Times New Roman" w:hAnsi="Calibri" w:cs="Calibri"/>
                <w:color w:val="000000"/>
              </w:rPr>
            </w:pPr>
            <w:r w:rsidRPr="00020AC1">
              <w:rPr>
                <w:rFonts w:ascii="Calibri" w:eastAsia="Times New Roman" w:hAnsi="Calibri" w:cs="Calibri"/>
                <w:color w:val="000000"/>
              </w:rPr>
              <w:t>Montana</w:t>
            </w:r>
          </w:p>
        </w:tc>
        <w:tc>
          <w:tcPr>
            <w:tcW w:w="1358" w:type="dxa"/>
            <w:tcBorders>
              <w:top w:val="nil"/>
              <w:left w:val="nil"/>
              <w:bottom w:val="single" w:sz="4" w:space="0" w:color="auto"/>
              <w:right w:val="single" w:sz="4" w:space="0" w:color="auto"/>
            </w:tcBorders>
            <w:shd w:val="clear" w:color="auto" w:fill="auto"/>
            <w:noWrap/>
            <w:vAlign w:val="bottom"/>
            <w:hideMark/>
          </w:tcPr>
          <w:p w14:paraId="6AD23CAB" w14:textId="6ED95309"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1.12</w:t>
            </w:r>
          </w:p>
        </w:tc>
        <w:tc>
          <w:tcPr>
            <w:tcW w:w="1338" w:type="dxa"/>
            <w:tcBorders>
              <w:top w:val="nil"/>
              <w:left w:val="nil"/>
              <w:bottom w:val="single" w:sz="4" w:space="0" w:color="auto"/>
              <w:right w:val="single" w:sz="4" w:space="0" w:color="auto"/>
            </w:tcBorders>
            <w:shd w:val="clear" w:color="auto" w:fill="auto"/>
            <w:noWrap/>
            <w:vAlign w:val="bottom"/>
            <w:hideMark/>
          </w:tcPr>
          <w:p w14:paraId="1E6E6223" w14:textId="59E47534"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w:t>
            </w:r>
            <w:r w:rsidR="000A1A0B">
              <w:rPr>
                <w:rFonts w:ascii="Calibri" w:hAnsi="Calibri" w:cs="Calibri"/>
                <w:color w:val="000000"/>
              </w:rPr>
              <w:t>50</w:t>
            </w:r>
          </w:p>
        </w:tc>
        <w:tc>
          <w:tcPr>
            <w:tcW w:w="1243" w:type="dxa"/>
            <w:tcBorders>
              <w:top w:val="nil"/>
              <w:left w:val="nil"/>
              <w:bottom w:val="single" w:sz="4" w:space="0" w:color="auto"/>
              <w:right w:val="single" w:sz="4" w:space="0" w:color="auto"/>
            </w:tcBorders>
            <w:shd w:val="clear" w:color="auto" w:fill="auto"/>
            <w:noWrap/>
            <w:vAlign w:val="bottom"/>
            <w:hideMark/>
          </w:tcPr>
          <w:p w14:paraId="0BB78F7E" w14:textId="3F0A6BAF"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1.08</w:t>
            </w:r>
          </w:p>
        </w:tc>
        <w:tc>
          <w:tcPr>
            <w:tcW w:w="1355" w:type="dxa"/>
            <w:tcBorders>
              <w:top w:val="nil"/>
              <w:left w:val="nil"/>
              <w:bottom w:val="single" w:sz="4" w:space="0" w:color="auto"/>
              <w:right w:val="single" w:sz="4" w:space="0" w:color="auto"/>
            </w:tcBorders>
            <w:shd w:val="clear" w:color="auto" w:fill="auto"/>
            <w:noWrap/>
            <w:vAlign w:val="bottom"/>
            <w:hideMark/>
          </w:tcPr>
          <w:p w14:paraId="1C087FC9" w14:textId="2C71285B"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1.1</w:t>
            </w:r>
            <w:r w:rsidR="006D27A3">
              <w:rPr>
                <w:rFonts w:ascii="Calibri" w:hAnsi="Calibri" w:cs="Calibri"/>
                <w:color w:val="000000"/>
              </w:rPr>
              <w:t>8</w:t>
            </w:r>
          </w:p>
        </w:tc>
        <w:tc>
          <w:tcPr>
            <w:tcW w:w="1338" w:type="dxa"/>
            <w:tcBorders>
              <w:top w:val="nil"/>
              <w:left w:val="nil"/>
              <w:bottom w:val="single" w:sz="4" w:space="0" w:color="auto"/>
              <w:right w:val="single" w:sz="4" w:space="0" w:color="auto"/>
            </w:tcBorders>
            <w:shd w:val="clear" w:color="auto" w:fill="auto"/>
            <w:noWrap/>
            <w:vAlign w:val="bottom"/>
            <w:hideMark/>
          </w:tcPr>
          <w:p w14:paraId="0D1AFF8A" w14:textId="6386E809"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-3.6%</w:t>
            </w:r>
          </w:p>
        </w:tc>
        <w:tc>
          <w:tcPr>
            <w:tcW w:w="1332" w:type="dxa"/>
            <w:tcBorders>
              <w:top w:val="nil"/>
              <w:left w:val="nil"/>
              <w:bottom w:val="single" w:sz="4" w:space="0" w:color="auto"/>
              <w:right w:val="single" w:sz="8" w:space="0" w:color="auto"/>
            </w:tcBorders>
            <w:shd w:val="clear" w:color="auto" w:fill="auto"/>
            <w:noWrap/>
            <w:vAlign w:val="bottom"/>
            <w:hideMark/>
          </w:tcPr>
          <w:p w14:paraId="5FCA097A" w14:textId="24ABB5E0"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w:t>
            </w:r>
            <w:r w:rsidR="006D27A3">
              <w:rPr>
                <w:rFonts w:ascii="Calibri" w:hAnsi="Calibri" w:cs="Calibri"/>
                <w:color w:val="000000"/>
              </w:rPr>
              <w:t>21</w:t>
            </w:r>
            <w:r>
              <w:rPr>
                <w:rFonts w:ascii="Calibri" w:hAnsi="Calibri" w:cs="Calibri"/>
                <w:color w:val="000000"/>
              </w:rPr>
              <w:t>.</w:t>
            </w:r>
            <w:r w:rsidR="006D27A3">
              <w:rPr>
                <w:rFonts w:ascii="Calibri" w:hAnsi="Calibri" w:cs="Calibri"/>
                <w:color w:val="000000"/>
              </w:rPr>
              <w:t>3</w:t>
            </w:r>
            <w:r>
              <w:rPr>
                <w:rFonts w:ascii="Calibri" w:hAnsi="Calibri" w:cs="Calibri"/>
                <w:color w:val="000000"/>
              </w:rPr>
              <w:t>%</w:t>
            </w:r>
          </w:p>
        </w:tc>
      </w:tr>
      <w:tr w:rsidR="0086236C" w:rsidRPr="00020AC1" w14:paraId="65021FBF" w14:textId="77777777" w:rsidTr="0086236C">
        <w:trPr>
          <w:trHeight w:val="300"/>
        </w:trPr>
        <w:tc>
          <w:tcPr>
            <w:tcW w:w="1487" w:type="dxa"/>
            <w:tcBorders>
              <w:top w:val="nil"/>
              <w:left w:val="single" w:sz="8" w:space="0" w:color="auto"/>
              <w:bottom w:val="single" w:sz="4" w:space="0" w:color="auto"/>
              <w:right w:val="single" w:sz="4" w:space="0" w:color="auto"/>
            </w:tcBorders>
            <w:shd w:val="clear" w:color="auto" w:fill="auto"/>
            <w:noWrap/>
            <w:vAlign w:val="bottom"/>
            <w:hideMark/>
          </w:tcPr>
          <w:p w14:paraId="2D1E3A41" w14:textId="376A6619" w:rsidR="0086236C" w:rsidRPr="00020AC1" w:rsidRDefault="0086236C" w:rsidP="0086236C">
            <w:pPr>
              <w:spacing w:after="0" w:line="240" w:lineRule="auto"/>
              <w:rPr>
                <w:rFonts w:ascii="Calibri" w:eastAsia="Times New Roman" w:hAnsi="Calibri" w:cs="Calibri"/>
                <w:color w:val="000000"/>
              </w:rPr>
            </w:pPr>
            <w:r w:rsidRPr="00020AC1">
              <w:rPr>
                <w:rFonts w:ascii="Calibri" w:eastAsia="Times New Roman" w:hAnsi="Calibri" w:cs="Calibri"/>
                <w:color w:val="000000"/>
              </w:rPr>
              <w:t>Nevada</w:t>
            </w:r>
          </w:p>
        </w:tc>
        <w:tc>
          <w:tcPr>
            <w:tcW w:w="1358" w:type="dxa"/>
            <w:tcBorders>
              <w:top w:val="nil"/>
              <w:left w:val="nil"/>
              <w:bottom w:val="single" w:sz="4" w:space="0" w:color="auto"/>
              <w:right w:val="single" w:sz="4" w:space="0" w:color="auto"/>
            </w:tcBorders>
            <w:shd w:val="clear" w:color="auto" w:fill="auto"/>
            <w:noWrap/>
            <w:vAlign w:val="bottom"/>
            <w:hideMark/>
          </w:tcPr>
          <w:p w14:paraId="7BAD8FD3" w14:textId="0FAE1F47"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0.61</w:t>
            </w:r>
          </w:p>
        </w:tc>
        <w:tc>
          <w:tcPr>
            <w:tcW w:w="1338" w:type="dxa"/>
            <w:tcBorders>
              <w:top w:val="nil"/>
              <w:left w:val="nil"/>
              <w:bottom w:val="single" w:sz="4" w:space="0" w:color="auto"/>
              <w:right w:val="single" w:sz="4" w:space="0" w:color="auto"/>
            </w:tcBorders>
            <w:shd w:val="clear" w:color="auto" w:fill="auto"/>
            <w:noWrap/>
            <w:vAlign w:val="bottom"/>
            <w:hideMark/>
          </w:tcPr>
          <w:p w14:paraId="4C73850B" w14:textId="65CA899C"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0.50</w:t>
            </w:r>
          </w:p>
        </w:tc>
        <w:tc>
          <w:tcPr>
            <w:tcW w:w="1243" w:type="dxa"/>
            <w:tcBorders>
              <w:top w:val="nil"/>
              <w:left w:val="nil"/>
              <w:bottom w:val="single" w:sz="4" w:space="0" w:color="auto"/>
              <w:right w:val="single" w:sz="4" w:space="0" w:color="auto"/>
            </w:tcBorders>
            <w:shd w:val="clear" w:color="auto" w:fill="auto"/>
            <w:noWrap/>
            <w:vAlign w:val="bottom"/>
            <w:hideMark/>
          </w:tcPr>
          <w:p w14:paraId="06C3C659" w14:textId="04071FA2"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0.62</w:t>
            </w:r>
          </w:p>
        </w:tc>
        <w:tc>
          <w:tcPr>
            <w:tcW w:w="1355" w:type="dxa"/>
            <w:tcBorders>
              <w:top w:val="nil"/>
              <w:left w:val="nil"/>
              <w:bottom w:val="single" w:sz="4" w:space="0" w:color="auto"/>
              <w:right w:val="single" w:sz="4" w:space="0" w:color="auto"/>
            </w:tcBorders>
            <w:shd w:val="clear" w:color="auto" w:fill="auto"/>
            <w:noWrap/>
            <w:vAlign w:val="bottom"/>
            <w:hideMark/>
          </w:tcPr>
          <w:p w14:paraId="1F9D0586" w14:textId="6A6D0759"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0.4</w:t>
            </w:r>
            <w:r w:rsidR="00944904">
              <w:rPr>
                <w:rFonts w:ascii="Calibri" w:hAnsi="Calibri" w:cs="Calibri"/>
                <w:color w:val="000000"/>
              </w:rPr>
              <w:t>9</w:t>
            </w:r>
          </w:p>
        </w:tc>
        <w:tc>
          <w:tcPr>
            <w:tcW w:w="1338" w:type="dxa"/>
            <w:tcBorders>
              <w:top w:val="nil"/>
              <w:left w:val="nil"/>
              <w:bottom w:val="single" w:sz="4" w:space="0" w:color="auto"/>
              <w:right w:val="single" w:sz="4" w:space="0" w:color="auto"/>
            </w:tcBorders>
            <w:shd w:val="clear" w:color="auto" w:fill="auto"/>
            <w:noWrap/>
            <w:vAlign w:val="bottom"/>
            <w:hideMark/>
          </w:tcPr>
          <w:p w14:paraId="65E99A34" w14:textId="4BE771E9"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1.6%</w:t>
            </w:r>
          </w:p>
        </w:tc>
        <w:tc>
          <w:tcPr>
            <w:tcW w:w="1332" w:type="dxa"/>
            <w:tcBorders>
              <w:top w:val="nil"/>
              <w:left w:val="nil"/>
              <w:bottom w:val="single" w:sz="4" w:space="0" w:color="auto"/>
              <w:right w:val="single" w:sz="8" w:space="0" w:color="auto"/>
            </w:tcBorders>
            <w:shd w:val="clear" w:color="auto" w:fill="auto"/>
            <w:noWrap/>
            <w:vAlign w:val="bottom"/>
            <w:hideMark/>
          </w:tcPr>
          <w:p w14:paraId="4DCDA364" w14:textId="73BFCB47"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w:t>
            </w:r>
            <w:r w:rsidR="00944904">
              <w:rPr>
                <w:rFonts w:ascii="Calibri" w:hAnsi="Calibri" w:cs="Calibri"/>
                <w:color w:val="000000"/>
              </w:rPr>
              <w:t>2</w:t>
            </w:r>
            <w:r>
              <w:rPr>
                <w:rFonts w:ascii="Calibri" w:hAnsi="Calibri" w:cs="Calibri"/>
                <w:color w:val="000000"/>
              </w:rPr>
              <w:t>.0%</w:t>
            </w:r>
          </w:p>
        </w:tc>
      </w:tr>
      <w:tr w:rsidR="0086236C" w:rsidRPr="00020AC1" w14:paraId="15AF4289" w14:textId="77777777" w:rsidTr="0086236C">
        <w:trPr>
          <w:trHeight w:val="300"/>
        </w:trPr>
        <w:tc>
          <w:tcPr>
            <w:tcW w:w="1487" w:type="dxa"/>
            <w:tcBorders>
              <w:top w:val="nil"/>
              <w:left w:val="single" w:sz="8" w:space="0" w:color="auto"/>
              <w:bottom w:val="single" w:sz="4" w:space="0" w:color="auto"/>
              <w:right w:val="single" w:sz="4" w:space="0" w:color="auto"/>
            </w:tcBorders>
            <w:shd w:val="clear" w:color="auto" w:fill="auto"/>
            <w:noWrap/>
            <w:vAlign w:val="bottom"/>
            <w:hideMark/>
          </w:tcPr>
          <w:p w14:paraId="1D88DC39" w14:textId="524FD516" w:rsidR="0086236C" w:rsidRPr="00020AC1" w:rsidRDefault="0086236C" w:rsidP="0086236C">
            <w:pPr>
              <w:spacing w:after="0" w:line="240" w:lineRule="auto"/>
              <w:rPr>
                <w:rFonts w:ascii="Calibri" w:eastAsia="Times New Roman" w:hAnsi="Calibri" w:cs="Calibri"/>
                <w:color w:val="000000"/>
              </w:rPr>
            </w:pPr>
            <w:r w:rsidRPr="00020AC1">
              <w:rPr>
                <w:rFonts w:ascii="Calibri" w:eastAsia="Times New Roman" w:hAnsi="Calibri" w:cs="Calibri"/>
                <w:color w:val="000000"/>
              </w:rPr>
              <w:t>New Mexico</w:t>
            </w:r>
          </w:p>
        </w:tc>
        <w:tc>
          <w:tcPr>
            <w:tcW w:w="1358" w:type="dxa"/>
            <w:tcBorders>
              <w:top w:val="nil"/>
              <w:left w:val="nil"/>
              <w:bottom w:val="single" w:sz="4" w:space="0" w:color="auto"/>
              <w:right w:val="single" w:sz="4" w:space="0" w:color="auto"/>
            </w:tcBorders>
            <w:shd w:val="clear" w:color="auto" w:fill="auto"/>
            <w:noWrap/>
            <w:vAlign w:val="bottom"/>
            <w:hideMark/>
          </w:tcPr>
          <w:p w14:paraId="26753786" w14:textId="52ADDD15"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0.64</w:t>
            </w:r>
          </w:p>
        </w:tc>
        <w:tc>
          <w:tcPr>
            <w:tcW w:w="1338" w:type="dxa"/>
            <w:tcBorders>
              <w:top w:val="nil"/>
              <w:left w:val="nil"/>
              <w:bottom w:val="single" w:sz="4" w:space="0" w:color="auto"/>
              <w:right w:val="single" w:sz="4" w:space="0" w:color="auto"/>
            </w:tcBorders>
            <w:shd w:val="clear" w:color="auto" w:fill="auto"/>
            <w:noWrap/>
            <w:vAlign w:val="bottom"/>
            <w:hideMark/>
          </w:tcPr>
          <w:p w14:paraId="79DFC7B9" w14:textId="7BAD1BA8"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0.61</w:t>
            </w:r>
          </w:p>
        </w:tc>
        <w:tc>
          <w:tcPr>
            <w:tcW w:w="1243" w:type="dxa"/>
            <w:tcBorders>
              <w:top w:val="nil"/>
              <w:left w:val="nil"/>
              <w:bottom w:val="single" w:sz="4" w:space="0" w:color="auto"/>
              <w:right w:val="single" w:sz="4" w:space="0" w:color="auto"/>
            </w:tcBorders>
            <w:shd w:val="clear" w:color="auto" w:fill="auto"/>
            <w:noWrap/>
            <w:vAlign w:val="bottom"/>
            <w:hideMark/>
          </w:tcPr>
          <w:p w14:paraId="18FDFF51" w14:textId="2DDD6E2B"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0.61</w:t>
            </w:r>
          </w:p>
        </w:tc>
        <w:tc>
          <w:tcPr>
            <w:tcW w:w="1355" w:type="dxa"/>
            <w:tcBorders>
              <w:top w:val="nil"/>
              <w:left w:val="nil"/>
              <w:bottom w:val="single" w:sz="4" w:space="0" w:color="auto"/>
              <w:right w:val="single" w:sz="4" w:space="0" w:color="auto"/>
            </w:tcBorders>
            <w:shd w:val="clear" w:color="auto" w:fill="auto"/>
            <w:noWrap/>
            <w:vAlign w:val="bottom"/>
            <w:hideMark/>
          </w:tcPr>
          <w:p w14:paraId="63388AAF" w14:textId="1FE65CDA"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w:t>
            </w:r>
            <w:r w:rsidR="009F27CA">
              <w:rPr>
                <w:rFonts w:ascii="Calibri" w:hAnsi="Calibri" w:cs="Calibri"/>
                <w:color w:val="000000"/>
              </w:rPr>
              <w:t>60</w:t>
            </w:r>
          </w:p>
        </w:tc>
        <w:tc>
          <w:tcPr>
            <w:tcW w:w="1338" w:type="dxa"/>
            <w:tcBorders>
              <w:top w:val="nil"/>
              <w:left w:val="nil"/>
              <w:bottom w:val="single" w:sz="4" w:space="0" w:color="auto"/>
              <w:right w:val="single" w:sz="4" w:space="0" w:color="auto"/>
            </w:tcBorders>
            <w:shd w:val="clear" w:color="auto" w:fill="auto"/>
            <w:noWrap/>
            <w:vAlign w:val="bottom"/>
            <w:hideMark/>
          </w:tcPr>
          <w:p w14:paraId="0B2D47A0" w14:textId="11A6BD65"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-4.7%</w:t>
            </w:r>
          </w:p>
        </w:tc>
        <w:tc>
          <w:tcPr>
            <w:tcW w:w="1332" w:type="dxa"/>
            <w:tcBorders>
              <w:top w:val="nil"/>
              <w:left w:val="nil"/>
              <w:bottom w:val="single" w:sz="4" w:space="0" w:color="auto"/>
              <w:right w:val="single" w:sz="8" w:space="0" w:color="auto"/>
            </w:tcBorders>
            <w:shd w:val="clear" w:color="auto" w:fill="auto"/>
            <w:noWrap/>
            <w:vAlign w:val="bottom"/>
            <w:hideMark/>
          </w:tcPr>
          <w:p w14:paraId="632175C0" w14:textId="6384ECFD"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w:t>
            </w:r>
            <w:r w:rsidR="001D003F">
              <w:rPr>
                <w:rFonts w:ascii="Calibri" w:hAnsi="Calibri" w:cs="Calibri"/>
                <w:color w:val="000000"/>
              </w:rPr>
              <w:t>1.6</w:t>
            </w:r>
            <w:r>
              <w:rPr>
                <w:rFonts w:ascii="Calibri" w:hAnsi="Calibri" w:cs="Calibri"/>
                <w:color w:val="000000"/>
              </w:rPr>
              <w:t>%</w:t>
            </w:r>
          </w:p>
        </w:tc>
      </w:tr>
      <w:tr w:rsidR="0086236C" w:rsidRPr="00020AC1" w14:paraId="1F5BD39F" w14:textId="77777777" w:rsidTr="0086236C">
        <w:trPr>
          <w:trHeight w:val="300"/>
        </w:trPr>
        <w:tc>
          <w:tcPr>
            <w:tcW w:w="1487" w:type="dxa"/>
            <w:tcBorders>
              <w:top w:val="nil"/>
              <w:left w:val="single" w:sz="8" w:space="0" w:color="auto"/>
              <w:bottom w:val="single" w:sz="4" w:space="0" w:color="auto"/>
              <w:right w:val="single" w:sz="4" w:space="0" w:color="auto"/>
            </w:tcBorders>
            <w:shd w:val="clear" w:color="auto" w:fill="auto"/>
            <w:noWrap/>
            <w:vAlign w:val="bottom"/>
            <w:hideMark/>
          </w:tcPr>
          <w:p w14:paraId="7F9837F0" w14:textId="548CFF4F" w:rsidR="0086236C" w:rsidRPr="00020AC1" w:rsidRDefault="0086236C" w:rsidP="0086236C">
            <w:pPr>
              <w:spacing w:after="0" w:line="240" w:lineRule="auto"/>
              <w:rPr>
                <w:rFonts w:ascii="Calibri" w:eastAsia="Times New Roman" w:hAnsi="Calibri" w:cs="Calibri"/>
                <w:color w:val="000000"/>
              </w:rPr>
            </w:pPr>
            <w:r w:rsidRPr="00020AC1">
              <w:rPr>
                <w:rFonts w:ascii="Calibri" w:eastAsia="Times New Roman" w:hAnsi="Calibri" w:cs="Calibri"/>
                <w:color w:val="000000"/>
              </w:rPr>
              <w:t>Oregon</w:t>
            </w:r>
          </w:p>
        </w:tc>
        <w:tc>
          <w:tcPr>
            <w:tcW w:w="1358" w:type="dxa"/>
            <w:tcBorders>
              <w:top w:val="nil"/>
              <w:left w:val="nil"/>
              <w:bottom w:val="single" w:sz="4" w:space="0" w:color="auto"/>
              <w:right w:val="single" w:sz="4" w:space="0" w:color="auto"/>
            </w:tcBorders>
            <w:shd w:val="clear" w:color="auto" w:fill="auto"/>
            <w:noWrap/>
            <w:vAlign w:val="bottom"/>
            <w:hideMark/>
          </w:tcPr>
          <w:p w14:paraId="0DA6FEE8" w14:textId="5D4F9757"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1.28</w:t>
            </w:r>
          </w:p>
        </w:tc>
        <w:tc>
          <w:tcPr>
            <w:tcW w:w="1338" w:type="dxa"/>
            <w:tcBorders>
              <w:top w:val="nil"/>
              <w:left w:val="nil"/>
              <w:bottom w:val="single" w:sz="4" w:space="0" w:color="auto"/>
              <w:right w:val="single" w:sz="4" w:space="0" w:color="auto"/>
            </w:tcBorders>
            <w:shd w:val="clear" w:color="auto" w:fill="auto"/>
            <w:noWrap/>
            <w:vAlign w:val="bottom"/>
            <w:hideMark/>
          </w:tcPr>
          <w:p w14:paraId="5A8DC28D" w14:textId="7D847EEC"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w:t>
            </w:r>
            <w:r w:rsidR="001D003F">
              <w:rPr>
                <w:rFonts w:ascii="Calibri" w:hAnsi="Calibri" w:cs="Calibri"/>
                <w:color w:val="000000"/>
              </w:rPr>
              <w:t>19</w:t>
            </w:r>
          </w:p>
        </w:tc>
        <w:tc>
          <w:tcPr>
            <w:tcW w:w="1243" w:type="dxa"/>
            <w:tcBorders>
              <w:top w:val="nil"/>
              <w:left w:val="nil"/>
              <w:bottom w:val="single" w:sz="4" w:space="0" w:color="auto"/>
              <w:right w:val="single" w:sz="4" w:space="0" w:color="auto"/>
            </w:tcBorders>
            <w:shd w:val="clear" w:color="auto" w:fill="auto"/>
            <w:noWrap/>
            <w:vAlign w:val="bottom"/>
            <w:hideMark/>
          </w:tcPr>
          <w:p w14:paraId="0B6D84E0" w14:textId="33378E94"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1.21</w:t>
            </w:r>
          </w:p>
        </w:tc>
        <w:tc>
          <w:tcPr>
            <w:tcW w:w="1355" w:type="dxa"/>
            <w:tcBorders>
              <w:top w:val="nil"/>
              <w:left w:val="nil"/>
              <w:bottom w:val="single" w:sz="4" w:space="0" w:color="auto"/>
              <w:right w:val="single" w:sz="4" w:space="0" w:color="auto"/>
            </w:tcBorders>
            <w:shd w:val="clear" w:color="auto" w:fill="auto"/>
            <w:noWrap/>
            <w:vAlign w:val="bottom"/>
            <w:hideMark/>
          </w:tcPr>
          <w:p w14:paraId="038F3D33" w14:textId="5F061BD8"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1.0</w:t>
            </w:r>
            <w:r w:rsidR="00C744BF">
              <w:rPr>
                <w:rFonts w:ascii="Calibri" w:hAnsi="Calibri" w:cs="Calibri"/>
                <w:color w:val="000000"/>
              </w:rPr>
              <w:t>3</w:t>
            </w:r>
          </w:p>
        </w:tc>
        <w:tc>
          <w:tcPr>
            <w:tcW w:w="1338" w:type="dxa"/>
            <w:tcBorders>
              <w:top w:val="nil"/>
              <w:left w:val="nil"/>
              <w:bottom w:val="single" w:sz="4" w:space="0" w:color="auto"/>
              <w:right w:val="single" w:sz="4" w:space="0" w:color="auto"/>
            </w:tcBorders>
            <w:shd w:val="clear" w:color="auto" w:fill="auto"/>
            <w:noWrap/>
            <w:vAlign w:val="bottom"/>
            <w:hideMark/>
          </w:tcPr>
          <w:p w14:paraId="292B8D5E" w14:textId="2AACC025"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-5.5%</w:t>
            </w:r>
          </w:p>
        </w:tc>
        <w:tc>
          <w:tcPr>
            <w:tcW w:w="1332" w:type="dxa"/>
            <w:tcBorders>
              <w:top w:val="nil"/>
              <w:left w:val="nil"/>
              <w:bottom w:val="single" w:sz="4" w:space="0" w:color="auto"/>
              <w:right w:val="single" w:sz="8" w:space="0" w:color="auto"/>
            </w:tcBorders>
            <w:shd w:val="clear" w:color="auto" w:fill="auto"/>
            <w:noWrap/>
            <w:vAlign w:val="bottom"/>
            <w:hideMark/>
          </w:tcPr>
          <w:p w14:paraId="06DB1FB3" w14:textId="748D27FD"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w:t>
            </w:r>
            <w:r w:rsidR="00C744BF">
              <w:rPr>
                <w:rFonts w:ascii="Calibri" w:hAnsi="Calibri" w:cs="Calibri"/>
                <w:color w:val="000000"/>
              </w:rPr>
              <w:t>13</w:t>
            </w:r>
            <w:r>
              <w:rPr>
                <w:rFonts w:ascii="Calibri" w:hAnsi="Calibri" w:cs="Calibri"/>
                <w:color w:val="000000"/>
              </w:rPr>
              <w:t>.</w:t>
            </w:r>
            <w:r w:rsidR="00C744BF">
              <w:rPr>
                <w:rFonts w:ascii="Calibri" w:hAnsi="Calibri" w:cs="Calibri"/>
                <w:color w:val="000000"/>
              </w:rPr>
              <w:t>4</w:t>
            </w:r>
            <w:r>
              <w:rPr>
                <w:rFonts w:ascii="Calibri" w:hAnsi="Calibri" w:cs="Calibri"/>
                <w:color w:val="000000"/>
              </w:rPr>
              <w:t>%</w:t>
            </w:r>
          </w:p>
        </w:tc>
      </w:tr>
      <w:tr w:rsidR="0086236C" w:rsidRPr="00020AC1" w14:paraId="1E9F8543" w14:textId="77777777" w:rsidTr="0086236C">
        <w:trPr>
          <w:trHeight w:val="300"/>
        </w:trPr>
        <w:tc>
          <w:tcPr>
            <w:tcW w:w="1487" w:type="dxa"/>
            <w:tcBorders>
              <w:top w:val="nil"/>
              <w:left w:val="single" w:sz="8" w:space="0" w:color="auto"/>
              <w:bottom w:val="single" w:sz="4" w:space="0" w:color="auto"/>
              <w:right w:val="single" w:sz="4" w:space="0" w:color="auto"/>
            </w:tcBorders>
            <w:shd w:val="clear" w:color="auto" w:fill="auto"/>
            <w:noWrap/>
            <w:vAlign w:val="bottom"/>
            <w:hideMark/>
          </w:tcPr>
          <w:p w14:paraId="20D23A14" w14:textId="3417CB19" w:rsidR="0086236C" w:rsidRPr="00020AC1" w:rsidRDefault="0086236C" w:rsidP="0086236C">
            <w:pPr>
              <w:spacing w:after="0" w:line="240" w:lineRule="auto"/>
              <w:rPr>
                <w:rFonts w:ascii="Calibri" w:eastAsia="Times New Roman" w:hAnsi="Calibri" w:cs="Calibri"/>
                <w:color w:val="000000"/>
              </w:rPr>
            </w:pPr>
            <w:r w:rsidRPr="00020AC1">
              <w:rPr>
                <w:rFonts w:ascii="Calibri" w:eastAsia="Times New Roman" w:hAnsi="Calibri" w:cs="Calibri"/>
                <w:color w:val="000000"/>
              </w:rPr>
              <w:t>Utah</w:t>
            </w:r>
          </w:p>
        </w:tc>
        <w:tc>
          <w:tcPr>
            <w:tcW w:w="1358" w:type="dxa"/>
            <w:tcBorders>
              <w:top w:val="nil"/>
              <w:left w:val="nil"/>
              <w:bottom w:val="single" w:sz="4" w:space="0" w:color="auto"/>
              <w:right w:val="single" w:sz="4" w:space="0" w:color="auto"/>
            </w:tcBorders>
            <w:shd w:val="clear" w:color="auto" w:fill="auto"/>
            <w:noWrap/>
            <w:vAlign w:val="bottom"/>
            <w:hideMark/>
          </w:tcPr>
          <w:p w14:paraId="3C0AD766" w14:textId="4F2A5A63"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0.81</w:t>
            </w:r>
          </w:p>
        </w:tc>
        <w:tc>
          <w:tcPr>
            <w:tcW w:w="1338" w:type="dxa"/>
            <w:tcBorders>
              <w:top w:val="nil"/>
              <w:left w:val="nil"/>
              <w:bottom w:val="single" w:sz="4" w:space="0" w:color="auto"/>
              <w:right w:val="single" w:sz="4" w:space="0" w:color="auto"/>
            </w:tcBorders>
            <w:shd w:val="clear" w:color="auto" w:fill="auto"/>
            <w:noWrap/>
            <w:vAlign w:val="bottom"/>
            <w:hideMark/>
          </w:tcPr>
          <w:p w14:paraId="06F63E7F" w14:textId="21FE17FC"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0.89</w:t>
            </w:r>
          </w:p>
        </w:tc>
        <w:tc>
          <w:tcPr>
            <w:tcW w:w="1243" w:type="dxa"/>
            <w:tcBorders>
              <w:top w:val="nil"/>
              <w:left w:val="nil"/>
              <w:bottom w:val="single" w:sz="4" w:space="0" w:color="auto"/>
              <w:right w:val="single" w:sz="4" w:space="0" w:color="auto"/>
            </w:tcBorders>
            <w:shd w:val="clear" w:color="auto" w:fill="auto"/>
            <w:noWrap/>
            <w:vAlign w:val="bottom"/>
            <w:hideMark/>
          </w:tcPr>
          <w:p w14:paraId="2FC84AD4" w14:textId="6E7EB432"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0.90</w:t>
            </w:r>
          </w:p>
        </w:tc>
        <w:tc>
          <w:tcPr>
            <w:tcW w:w="1355" w:type="dxa"/>
            <w:tcBorders>
              <w:top w:val="nil"/>
              <w:left w:val="nil"/>
              <w:bottom w:val="single" w:sz="4" w:space="0" w:color="auto"/>
              <w:right w:val="single" w:sz="4" w:space="0" w:color="auto"/>
            </w:tcBorders>
            <w:shd w:val="clear" w:color="auto" w:fill="auto"/>
            <w:noWrap/>
            <w:vAlign w:val="bottom"/>
            <w:hideMark/>
          </w:tcPr>
          <w:p w14:paraId="31EB85CD" w14:textId="15049D72"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0.82</w:t>
            </w:r>
          </w:p>
        </w:tc>
        <w:tc>
          <w:tcPr>
            <w:tcW w:w="1338" w:type="dxa"/>
            <w:tcBorders>
              <w:top w:val="nil"/>
              <w:left w:val="nil"/>
              <w:bottom w:val="single" w:sz="4" w:space="0" w:color="auto"/>
              <w:right w:val="single" w:sz="4" w:space="0" w:color="auto"/>
            </w:tcBorders>
            <w:shd w:val="clear" w:color="auto" w:fill="auto"/>
            <w:noWrap/>
            <w:vAlign w:val="bottom"/>
            <w:hideMark/>
          </w:tcPr>
          <w:p w14:paraId="3378DAB2" w14:textId="6F9FE250"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11.1%</w:t>
            </w:r>
          </w:p>
        </w:tc>
        <w:tc>
          <w:tcPr>
            <w:tcW w:w="1332" w:type="dxa"/>
            <w:tcBorders>
              <w:top w:val="nil"/>
              <w:left w:val="nil"/>
              <w:bottom w:val="single" w:sz="4" w:space="0" w:color="auto"/>
              <w:right w:val="single" w:sz="8" w:space="0" w:color="auto"/>
            </w:tcBorders>
            <w:shd w:val="clear" w:color="auto" w:fill="auto"/>
            <w:noWrap/>
            <w:vAlign w:val="bottom"/>
            <w:hideMark/>
          </w:tcPr>
          <w:p w14:paraId="3E6AB49B" w14:textId="71E5426F"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-7.9%</w:t>
            </w:r>
          </w:p>
        </w:tc>
      </w:tr>
      <w:tr w:rsidR="0086236C" w:rsidRPr="00020AC1" w14:paraId="32B2E4D6" w14:textId="77777777" w:rsidTr="0086236C">
        <w:trPr>
          <w:trHeight w:val="300"/>
        </w:trPr>
        <w:tc>
          <w:tcPr>
            <w:tcW w:w="1487" w:type="dxa"/>
            <w:tcBorders>
              <w:top w:val="nil"/>
              <w:left w:val="single" w:sz="8" w:space="0" w:color="auto"/>
              <w:bottom w:val="single" w:sz="4" w:space="0" w:color="auto"/>
              <w:right w:val="single" w:sz="4" w:space="0" w:color="auto"/>
            </w:tcBorders>
            <w:shd w:val="clear" w:color="auto" w:fill="auto"/>
            <w:noWrap/>
            <w:vAlign w:val="bottom"/>
            <w:hideMark/>
          </w:tcPr>
          <w:p w14:paraId="68C824D8" w14:textId="470D9FD4" w:rsidR="0086236C" w:rsidRPr="00020AC1" w:rsidRDefault="0086236C" w:rsidP="0086236C">
            <w:pPr>
              <w:spacing w:after="0" w:line="240" w:lineRule="auto"/>
              <w:rPr>
                <w:rFonts w:ascii="Calibri" w:eastAsia="Times New Roman" w:hAnsi="Calibri" w:cs="Calibri"/>
                <w:color w:val="000000"/>
              </w:rPr>
            </w:pPr>
            <w:r w:rsidRPr="00020AC1">
              <w:rPr>
                <w:rFonts w:ascii="Calibri" w:eastAsia="Times New Roman" w:hAnsi="Calibri" w:cs="Calibri"/>
                <w:color w:val="000000"/>
              </w:rPr>
              <w:t>Washington</w:t>
            </w:r>
          </w:p>
        </w:tc>
        <w:tc>
          <w:tcPr>
            <w:tcW w:w="1358" w:type="dxa"/>
            <w:tcBorders>
              <w:top w:val="nil"/>
              <w:left w:val="nil"/>
              <w:bottom w:val="single" w:sz="4" w:space="0" w:color="auto"/>
              <w:right w:val="single" w:sz="4" w:space="0" w:color="auto"/>
            </w:tcBorders>
            <w:shd w:val="clear" w:color="auto" w:fill="auto"/>
            <w:noWrap/>
            <w:vAlign w:val="bottom"/>
            <w:hideMark/>
          </w:tcPr>
          <w:p w14:paraId="613A5393" w14:textId="12539E17"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1.40</w:t>
            </w:r>
          </w:p>
        </w:tc>
        <w:tc>
          <w:tcPr>
            <w:tcW w:w="1338" w:type="dxa"/>
            <w:tcBorders>
              <w:top w:val="nil"/>
              <w:left w:val="nil"/>
              <w:bottom w:val="single" w:sz="4" w:space="0" w:color="auto"/>
              <w:right w:val="single" w:sz="4" w:space="0" w:color="auto"/>
            </w:tcBorders>
            <w:shd w:val="clear" w:color="auto" w:fill="auto"/>
            <w:noWrap/>
            <w:vAlign w:val="bottom"/>
            <w:hideMark/>
          </w:tcPr>
          <w:p w14:paraId="15A517D4" w14:textId="66440347"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w:t>
            </w:r>
            <w:r w:rsidR="00B37BD6">
              <w:rPr>
                <w:rFonts w:ascii="Calibri" w:hAnsi="Calibri" w:cs="Calibri"/>
                <w:color w:val="000000"/>
              </w:rPr>
              <w:t>40</w:t>
            </w:r>
          </w:p>
        </w:tc>
        <w:tc>
          <w:tcPr>
            <w:tcW w:w="1243" w:type="dxa"/>
            <w:tcBorders>
              <w:top w:val="nil"/>
              <w:left w:val="nil"/>
              <w:bottom w:val="single" w:sz="4" w:space="0" w:color="auto"/>
              <w:right w:val="single" w:sz="4" w:space="0" w:color="auto"/>
            </w:tcBorders>
            <w:shd w:val="clear" w:color="auto" w:fill="auto"/>
            <w:noWrap/>
            <w:vAlign w:val="bottom"/>
            <w:hideMark/>
          </w:tcPr>
          <w:p w14:paraId="798FE94B" w14:textId="7068CCFD"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1.31</w:t>
            </w:r>
          </w:p>
        </w:tc>
        <w:tc>
          <w:tcPr>
            <w:tcW w:w="1355" w:type="dxa"/>
            <w:tcBorders>
              <w:top w:val="nil"/>
              <w:left w:val="nil"/>
              <w:bottom w:val="single" w:sz="4" w:space="0" w:color="auto"/>
              <w:right w:val="single" w:sz="4" w:space="0" w:color="auto"/>
            </w:tcBorders>
            <w:shd w:val="clear" w:color="auto" w:fill="auto"/>
            <w:noWrap/>
            <w:vAlign w:val="bottom"/>
            <w:hideMark/>
          </w:tcPr>
          <w:p w14:paraId="20F5D4D0" w14:textId="5A3EAA0F"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w:t>
            </w:r>
            <w:r w:rsidR="00114A5A">
              <w:rPr>
                <w:rFonts w:ascii="Calibri" w:hAnsi="Calibri" w:cs="Calibri"/>
                <w:color w:val="000000"/>
              </w:rPr>
              <w:t>22</w:t>
            </w:r>
          </w:p>
        </w:tc>
        <w:tc>
          <w:tcPr>
            <w:tcW w:w="1338" w:type="dxa"/>
            <w:tcBorders>
              <w:top w:val="nil"/>
              <w:left w:val="nil"/>
              <w:bottom w:val="single" w:sz="4" w:space="0" w:color="auto"/>
              <w:right w:val="single" w:sz="4" w:space="0" w:color="auto"/>
            </w:tcBorders>
            <w:shd w:val="clear" w:color="auto" w:fill="auto"/>
            <w:noWrap/>
            <w:vAlign w:val="bottom"/>
            <w:hideMark/>
          </w:tcPr>
          <w:p w14:paraId="11F1FF11" w14:textId="5F95AD1B"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-6.4%</w:t>
            </w:r>
          </w:p>
        </w:tc>
        <w:tc>
          <w:tcPr>
            <w:tcW w:w="1332" w:type="dxa"/>
            <w:tcBorders>
              <w:top w:val="nil"/>
              <w:left w:val="nil"/>
              <w:bottom w:val="single" w:sz="4" w:space="0" w:color="auto"/>
              <w:right w:val="single" w:sz="8" w:space="0" w:color="auto"/>
            </w:tcBorders>
            <w:shd w:val="clear" w:color="auto" w:fill="auto"/>
            <w:noWrap/>
            <w:vAlign w:val="bottom"/>
            <w:hideMark/>
          </w:tcPr>
          <w:p w14:paraId="0BD2D7F1" w14:textId="155357A6"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-12.9%</w:t>
            </w:r>
          </w:p>
        </w:tc>
      </w:tr>
      <w:tr w:rsidR="0086236C" w:rsidRPr="00020AC1" w14:paraId="0C4FF03D" w14:textId="77777777" w:rsidTr="0086236C">
        <w:trPr>
          <w:trHeight w:val="300"/>
        </w:trPr>
        <w:tc>
          <w:tcPr>
            <w:tcW w:w="1487" w:type="dxa"/>
            <w:tcBorders>
              <w:top w:val="nil"/>
              <w:left w:val="single" w:sz="8" w:space="0" w:color="auto"/>
              <w:bottom w:val="single" w:sz="4" w:space="0" w:color="auto"/>
              <w:right w:val="single" w:sz="4" w:space="0" w:color="auto"/>
            </w:tcBorders>
            <w:shd w:val="clear" w:color="auto" w:fill="auto"/>
            <w:noWrap/>
            <w:vAlign w:val="bottom"/>
            <w:hideMark/>
          </w:tcPr>
          <w:p w14:paraId="1401A6A2" w14:textId="3B10F789" w:rsidR="0086236C" w:rsidRPr="00020AC1" w:rsidRDefault="0086236C" w:rsidP="0086236C">
            <w:pPr>
              <w:spacing w:after="0" w:line="240" w:lineRule="auto"/>
              <w:rPr>
                <w:rFonts w:ascii="Calibri" w:eastAsia="Times New Roman" w:hAnsi="Calibri" w:cs="Calibri"/>
                <w:color w:val="000000"/>
              </w:rPr>
            </w:pPr>
            <w:r w:rsidRPr="00020AC1">
              <w:rPr>
                <w:rFonts w:ascii="Calibri" w:eastAsia="Times New Roman" w:hAnsi="Calibri" w:cs="Calibri"/>
                <w:color w:val="000000"/>
              </w:rPr>
              <w:t>Wyoming</w:t>
            </w:r>
          </w:p>
        </w:tc>
        <w:tc>
          <w:tcPr>
            <w:tcW w:w="1358" w:type="dxa"/>
            <w:tcBorders>
              <w:top w:val="nil"/>
              <w:left w:val="nil"/>
              <w:bottom w:val="single" w:sz="4" w:space="0" w:color="auto"/>
              <w:right w:val="single" w:sz="4" w:space="0" w:color="auto"/>
            </w:tcBorders>
            <w:shd w:val="clear" w:color="auto" w:fill="auto"/>
            <w:noWrap/>
            <w:vAlign w:val="bottom"/>
            <w:hideMark/>
          </w:tcPr>
          <w:p w14:paraId="1E6253DE" w14:textId="1885B34C"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1.28</w:t>
            </w:r>
          </w:p>
        </w:tc>
        <w:tc>
          <w:tcPr>
            <w:tcW w:w="1338" w:type="dxa"/>
            <w:tcBorders>
              <w:top w:val="nil"/>
              <w:left w:val="nil"/>
              <w:bottom w:val="single" w:sz="4" w:space="0" w:color="auto"/>
              <w:right w:val="single" w:sz="4" w:space="0" w:color="auto"/>
            </w:tcBorders>
            <w:shd w:val="clear" w:color="auto" w:fill="auto"/>
            <w:noWrap/>
            <w:vAlign w:val="bottom"/>
            <w:hideMark/>
          </w:tcPr>
          <w:p w14:paraId="3D383C46" w14:textId="310EF78A"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1.0</w:t>
            </w:r>
            <w:r w:rsidR="002F4F11">
              <w:rPr>
                <w:rFonts w:ascii="Calibri" w:hAnsi="Calibri" w:cs="Calibri"/>
                <w:color w:val="000000"/>
              </w:rPr>
              <w:t>7</w:t>
            </w:r>
          </w:p>
        </w:tc>
        <w:tc>
          <w:tcPr>
            <w:tcW w:w="1243" w:type="dxa"/>
            <w:tcBorders>
              <w:top w:val="nil"/>
              <w:left w:val="nil"/>
              <w:bottom w:val="single" w:sz="4" w:space="0" w:color="auto"/>
              <w:right w:val="single" w:sz="4" w:space="0" w:color="auto"/>
            </w:tcBorders>
            <w:shd w:val="clear" w:color="auto" w:fill="auto"/>
            <w:noWrap/>
            <w:vAlign w:val="bottom"/>
            <w:hideMark/>
          </w:tcPr>
          <w:p w14:paraId="316D0DFE" w14:textId="029BAA96"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1.12</w:t>
            </w:r>
          </w:p>
        </w:tc>
        <w:tc>
          <w:tcPr>
            <w:tcW w:w="1355" w:type="dxa"/>
            <w:tcBorders>
              <w:top w:val="nil"/>
              <w:left w:val="nil"/>
              <w:bottom w:val="single" w:sz="4" w:space="0" w:color="auto"/>
              <w:right w:val="single" w:sz="4" w:space="0" w:color="auto"/>
            </w:tcBorders>
            <w:shd w:val="clear" w:color="auto" w:fill="auto"/>
            <w:noWrap/>
            <w:vAlign w:val="bottom"/>
            <w:hideMark/>
          </w:tcPr>
          <w:p w14:paraId="3FBE8478" w14:textId="263B26CD"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0.8</w:t>
            </w:r>
            <w:r w:rsidR="002F4F11">
              <w:rPr>
                <w:rFonts w:ascii="Calibri" w:hAnsi="Calibri" w:cs="Calibri"/>
                <w:color w:val="000000"/>
              </w:rPr>
              <w:t>4</w:t>
            </w:r>
          </w:p>
        </w:tc>
        <w:tc>
          <w:tcPr>
            <w:tcW w:w="1338" w:type="dxa"/>
            <w:tcBorders>
              <w:top w:val="nil"/>
              <w:left w:val="nil"/>
              <w:bottom w:val="single" w:sz="4" w:space="0" w:color="auto"/>
              <w:right w:val="single" w:sz="4" w:space="0" w:color="auto"/>
            </w:tcBorders>
            <w:shd w:val="clear" w:color="auto" w:fill="auto"/>
            <w:noWrap/>
            <w:vAlign w:val="bottom"/>
            <w:hideMark/>
          </w:tcPr>
          <w:p w14:paraId="0AECB61B" w14:textId="30D90021"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-12.5%</w:t>
            </w:r>
          </w:p>
        </w:tc>
        <w:tc>
          <w:tcPr>
            <w:tcW w:w="1332" w:type="dxa"/>
            <w:tcBorders>
              <w:top w:val="nil"/>
              <w:left w:val="nil"/>
              <w:bottom w:val="single" w:sz="4" w:space="0" w:color="auto"/>
              <w:right w:val="single" w:sz="8" w:space="0" w:color="auto"/>
            </w:tcBorders>
            <w:shd w:val="clear" w:color="auto" w:fill="auto"/>
            <w:noWrap/>
            <w:vAlign w:val="bottom"/>
            <w:hideMark/>
          </w:tcPr>
          <w:p w14:paraId="3612DA5D" w14:textId="464C4CC1" w:rsidR="0086236C" w:rsidRPr="00020AC1" w:rsidRDefault="0086236C" w:rsidP="0086236C">
            <w:pPr>
              <w:spacing w:after="0" w:line="240" w:lineRule="auto"/>
              <w:jc w:val="right"/>
              <w:rPr>
                <w:rFonts w:ascii="Calibri" w:eastAsia="Times New Roman" w:hAnsi="Calibri" w:cs="Calibri"/>
                <w:color w:val="000000"/>
              </w:rPr>
            </w:pPr>
            <w:r>
              <w:rPr>
                <w:rFonts w:ascii="Calibri" w:hAnsi="Calibri" w:cs="Calibri"/>
                <w:color w:val="000000"/>
              </w:rPr>
              <w:t>-2</w:t>
            </w:r>
            <w:r w:rsidR="007A0692">
              <w:rPr>
                <w:rFonts w:ascii="Calibri" w:hAnsi="Calibri" w:cs="Calibri"/>
                <w:color w:val="000000"/>
              </w:rPr>
              <w:t>1</w:t>
            </w:r>
            <w:r>
              <w:rPr>
                <w:rFonts w:ascii="Calibri" w:hAnsi="Calibri" w:cs="Calibri"/>
                <w:color w:val="000000"/>
              </w:rPr>
              <w:t>.5%</w:t>
            </w:r>
          </w:p>
        </w:tc>
      </w:tr>
    </w:tbl>
    <w:p w14:paraId="7D9E03C1" w14:textId="12C711A3" w:rsidR="000D4906" w:rsidRPr="00400A72" w:rsidRDefault="00400A72">
      <w:pPr>
        <w:rPr>
          <w:rFonts w:ascii="Times New Roman" w:hAnsi="Times New Roman" w:cs="Times New Roman"/>
          <w:b/>
          <w:bCs/>
        </w:rPr>
      </w:pPr>
      <w:r w:rsidRPr="00400A72">
        <w:rPr>
          <w:rFonts w:ascii="Times New Roman" w:hAnsi="Times New Roman" w:cs="Times New Roman"/>
          <w:b/>
          <w:bCs/>
        </w:rPr>
        <w:t>Table S1.</w:t>
      </w:r>
      <w:r>
        <w:rPr>
          <w:rFonts w:ascii="Times New Roman" w:hAnsi="Times New Roman" w:cs="Times New Roman"/>
          <w:b/>
          <w:bCs/>
        </w:rPr>
        <w:t xml:space="preserve"> </w:t>
      </w:r>
      <w:r>
        <w:rPr>
          <w:rFonts w:ascii="Times New Roman" w:hAnsi="Times New Roman" w:cs="Times New Roman"/>
        </w:rPr>
        <w:t>Comparing</w:t>
      </w:r>
      <w:r w:rsidR="00706F2C">
        <w:rPr>
          <w:rFonts w:ascii="Times New Roman" w:hAnsi="Times New Roman" w:cs="Times New Roman"/>
        </w:rPr>
        <w:t xml:space="preserve"> simulated versus observed irrigated land use areas </w:t>
      </w:r>
      <w:r w:rsidR="001609A9">
        <w:rPr>
          <w:rFonts w:ascii="Times New Roman" w:hAnsi="Times New Roman" w:cs="Times New Roman"/>
        </w:rPr>
        <w:t xml:space="preserve">(in millions of acres) </w:t>
      </w:r>
      <w:r w:rsidR="00706F2C">
        <w:rPr>
          <w:rFonts w:ascii="Times New Roman" w:hAnsi="Times New Roman" w:cs="Times New Roman"/>
        </w:rPr>
        <w:t>for the early to mid 2000s</w:t>
      </w:r>
      <w:r w:rsidR="00B93927">
        <w:rPr>
          <w:rFonts w:ascii="Times New Roman" w:hAnsi="Times New Roman" w:cs="Times New Roman"/>
        </w:rPr>
        <w:t xml:space="preserve"> for </w:t>
      </w:r>
      <w:r w:rsidR="001609A9">
        <w:rPr>
          <w:rFonts w:ascii="Times New Roman" w:hAnsi="Times New Roman" w:cs="Times New Roman"/>
        </w:rPr>
        <w:t>eleven</w:t>
      </w:r>
      <w:r w:rsidR="00B93927">
        <w:rPr>
          <w:rFonts w:ascii="Times New Roman" w:hAnsi="Times New Roman" w:cs="Times New Roman"/>
        </w:rPr>
        <w:t xml:space="preserve"> </w:t>
      </w:r>
      <w:r w:rsidR="001609A9">
        <w:rPr>
          <w:rFonts w:ascii="Times New Roman" w:hAnsi="Times New Roman" w:cs="Times New Roman"/>
        </w:rPr>
        <w:t>states across the Western United States</w:t>
      </w:r>
      <w:r w:rsidR="00706F2C">
        <w:rPr>
          <w:rFonts w:ascii="Times New Roman" w:hAnsi="Times New Roman" w:cs="Times New Roman"/>
        </w:rPr>
        <w:t>.</w:t>
      </w:r>
    </w:p>
    <w:p w14:paraId="20CB8AC1" w14:textId="260BD83E" w:rsidR="00400A72" w:rsidRDefault="00325FB4">
      <w:pPr>
        <w:rPr>
          <w:rFonts w:ascii="Times New Roman" w:hAnsi="Times New Roman" w:cs="Times New Roman"/>
        </w:rPr>
      </w:pPr>
      <w:r>
        <w:rPr>
          <w:rFonts w:ascii="Times New Roman" w:hAnsi="Times New Roman" w:cs="Times New Roman"/>
        </w:rPr>
        <w:lastRenderedPageBreak/>
        <w:t xml:space="preserve">The comparison of the simulated and USDA irrigated land use areas indicate </w:t>
      </w:r>
      <w:r w:rsidR="00FB1506">
        <w:rPr>
          <w:rFonts w:ascii="Times New Roman" w:hAnsi="Times New Roman" w:cs="Times New Roman"/>
        </w:rPr>
        <w:t xml:space="preserve">that the model performs reasonably well in capturing irrigated land use changes over the </w:t>
      </w:r>
      <w:r w:rsidR="00F267BE">
        <w:rPr>
          <w:rFonts w:ascii="Times New Roman" w:hAnsi="Times New Roman" w:cs="Times New Roman"/>
        </w:rPr>
        <w:t xml:space="preserve">period of interest, especially for the states in which reliance on irrigation is most prominent. In California for example, the </w:t>
      </w:r>
      <w:r w:rsidR="00246262">
        <w:rPr>
          <w:rFonts w:ascii="Times New Roman" w:hAnsi="Times New Roman" w:cs="Times New Roman"/>
        </w:rPr>
        <w:t>model indicates a decrease in irrigated land use of 5.</w:t>
      </w:r>
      <w:r w:rsidR="00130120">
        <w:rPr>
          <w:rFonts w:ascii="Times New Roman" w:hAnsi="Times New Roman" w:cs="Times New Roman"/>
        </w:rPr>
        <w:t xml:space="preserve">3 </w:t>
      </w:r>
      <w:r w:rsidR="00246262">
        <w:rPr>
          <w:rFonts w:ascii="Times New Roman" w:hAnsi="Times New Roman" w:cs="Times New Roman"/>
        </w:rPr>
        <w:t>percent (from 7.</w:t>
      </w:r>
      <w:r w:rsidR="00485EC1">
        <w:rPr>
          <w:rFonts w:ascii="Times New Roman" w:hAnsi="Times New Roman" w:cs="Times New Roman"/>
        </w:rPr>
        <w:t xml:space="preserve">78M </w:t>
      </w:r>
      <w:r w:rsidR="00246262">
        <w:rPr>
          <w:rFonts w:ascii="Times New Roman" w:hAnsi="Times New Roman" w:cs="Times New Roman"/>
        </w:rPr>
        <w:t>acres to 7.</w:t>
      </w:r>
      <w:r w:rsidR="00485EC1">
        <w:rPr>
          <w:rFonts w:ascii="Times New Roman" w:hAnsi="Times New Roman" w:cs="Times New Roman"/>
        </w:rPr>
        <w:t xml:space="preserve">37M </w:t>
      </w:r>
      <w:r w:rsidR="00246262">
        <w:rPr>
          <w:rFonts w:ascii="Times New Roman" w:hAnsi="Times New Roman" w:cs="Times New Roman"/>
        </w:rPr>
        <w:t xml:space="preserve">acres), while the USDA survey data indicates a 6.8 percent decrease </w:t>
      </w:r>
      <w:r w:rsidR="00223F3B">
        <w:rPr>
          <w:rFonts w:ascii="Times New Roman" w:hAnsi="Times New Roman" w:cs="Times New Roman"/>
        </w:rPr>
        <w:t>(</w:t>
      </w:r>
      <w:r w:rsidR="00A70A9F">
        <w:rPr>
          <w:rFonts w:ascii="Times New Roman" w:hAnsi="Times New Roman" w:cs="Times New Roman"/>
        </w:rPr>
        <w:t>7.40M acres to 6.90 acres</w:t>
      </w:r>
      <w:r w:rsidR="00223F3B">
        <w:rPr>
          <w:rFonts w:ascii="Times New Roman" w:hAnsi="Times New Roman" w:cs="Times New Roman"/>
        </w:rPr>
        <w:t xml:space="preserve">). The states with the largest discrepancy between modeled and observed irrigated land use changes include </w:t>
      </w:r>
      <w:r w:rsidR="005160DE">
        <w:rPr>
          <w:rFonts w:ascii="Times New Roman" w:hAnsi="Times New Roman" w:cs="Times New Roman"/>
        </w:rPr>
        <w:t>Colorado, Idaho, Montana, Utah, and Oregon.</w:t>
      </w:r>
      <w:r w:rsidR="00152C6C">
        <w:rPr>
          <w:rFonts w:ascii="Times New Roman" w:hAnsi="Times New Roman" w:cs="Times New Roman"/>
        </w:rPr>
        <w:t xml:space="preserve"> We note that the</w:t>
      </w:r>
      <w:r w:rsidR="00DF69A3">
        <w:rPr>
          <w:rFonts w:ascii="Times New Roman" w:hAnsi="Times New Roman" w:cs="Times New Roman"/>
        </w:rPr>
        <w:t xml:space="preserve"> most arid</w:t>
      </w:r>
      <w:r w:rsidR="00152C6C">
        <w:rPr>
          <w:rFonts w:ascii="Times New Roman" w:hAnsi="Times New Roman" w:cs="Times New Roman"/>
        </w:rPr>
        <w:t xml:space="preserve"> states with the heaviest reliance on irrigation for agriculture (</w:t>
      </w:r>
      <w:r w:rsidR="00DF69A3">
        <w:rPr>
          <w:rFonts w:ascii="Times New Roman" w:hAnsi="Times New Roman" w:cs="Times New Roman"/>
        </w:rPr>
        <w:t>e.g., California, Arizona, Nevada)</w:t>
      </w:r>
      <w:r w:rsidR="004D60F0">
        <w:rPr>
          <w:rFonts w:ascii="Times New Roman" w:hAnsi="Times New Roman" w:cs="Times New Roman"/>
        </w:rPr>
        <w:t xml:space="preserve"> show reasonably close percentage changes to the USDA data</w:t>
      </w:r>
      <w:r w:rsidR="00C51A70">
        <w:rPr>
          <w:rFonts w:ascii="Times New Roman" w:hAnsi="Times New Roman" w:cs="Times New Roman"/>
        </w:rPr>
        <w:t>, possibly pointing to the limitations of the comparison</w:t>
      </w:r>
      <w:r w:rsidR="00F30084">
        <w:rPr>
          <w:rFonts w:ascii="Times New Roman" w:hAnsi="Times New Roman" w:cs="Times New Roman"/>
        </w:rPr>
        <w:t>. Specifically, comparing simulated results against USDA harvested cropland that is entirely irrigated</w:t>
      </w:r>
      <w:r w:rsidR="009E1454">
        <w:rPr>
          <w:rFonts w:ascii="Times New Roman" w:hAnsi="Times New Roman" w:cs="Times New Roman"/>
        </w:rPr>
        <w:t xml:space="preserve"> </w:t>
      </w:r>
      <w:r w:rsidR="001A3386">
        <w:rPr>
          <w:rFonts w:ascii="Times New Roman" w:hAnsi="Times New Roman" w:cs="Times New Roman"/>
        </w:rPr>
        <w:t>introduces an inconsistency in the comparison</w:t>
      </w:r>
      <w:r w:rsidR="00F30084">
        <w:rPr>
          <w:rFonts w:ascii="Times New Roman" w:hAnsi="Times New Roman" w:cs="Times New Roman"/>
        </w:rPr>
        <w:t xml:space="preserve"> (in many of the </w:t>
      </w:r>
      <w:r w:rsidR="00EC0C7C">
        <w:rPr>
          <w:rFonts w:ascii="Times New Roman" w:hAnsi="Times New Roman" w:cs="Times New Roman"/>
        </w:rPr>
        <w:t>less arid states, cropland might only be partially or periodically irrigated depending on climatic conditions)</w:t>
      </w:r>
      <w:r w:rsidR="001A3386">
        <w:rPr>
          <w:rFonts w:ascii="Times New Roman" w:hAnsi="Times New Roman" w:cs="Times New Roman"/>
        </w:rPr>
        <w:t xml:space="preserve">. </w:t>
      </w:r>
      <w:r w:rsidR="00665A78">
        <w:rPr>
          <w:rFonts w:ascii="Times New Roman" w:hAnsi="Times New Roman" w:cs="Times New Roman"/>
        </w:rPr>
        <w:t>Such inconsistencies potential</w:t>
      </w:r>
      <w:r w:rsidR="00EC43C6">
        <w:rPr>
          <w:rFonts w:ascii="Times New Roman" w:hAnsi="Times New Roman" w:cs="Times New Roman"/>
        </w:rPr>
        <w:t>ly</w:t>
      </w:r>
      <w:r w:rsidR="00665A78">
        <w:rPr>
          <w:rFonts w:ascii="Times New Roman" w:hAnsi="Times New Roman" w:cs="Times New Roman"/>
        </w:rPr>
        <w:t xml:space="preserve"> explain the discrepancies between modeled and observed results in the less arid states included in the comparison.</w:t>
      </w:r>
    </w:p>
    <w:p w14:paraId="71E657C1" w14:textId="7FF6EE0A" w:rsidR="00B11BAF" w:rsidRPr="00EE74AB" w:rsidRDefault="00B11BAF">
      <w:pPr>
        <w:rPr>
          <w:rFonts w:ascii="Times New Roman" w:hAnsi="Times New Roman" w:cs="Times New Roman"/>
        </w:rPr>
      </w:pPr>
      <w:r>
        <w:rPr>
          <w:rFonts w:ascii="Times New Roman" w:hAnsi="Times New Roman" w:cs="Times New Roman"/>
        </w:rPr>
        <w:t xml:space="preserve">We reiterate that the comparison only provides a first-order </w:t>
      </w:r>
      <w:r w:rsidR="00A94E4D">
        <w:rPr>
          <w:rFonts w:ascii="Times New Roman" w:hAnsi="Times New Roman" w:cs="Times New Roman"/>
        </w:rPr>
        <w:t>evaluation of model plausibility, providing an initial indication that the model behaves reasonably during periods of water shortage in regions of high irrigation activity.</w:t>
      </w:r>
      <w:r w:rsidR="00EF7D65">
        <w:rPr>
          <w:rFonts w:ascii="Times New Roman" w:hAnsi="Times New Roman" w:cs="Times New Roman"/>
        </w:rPr>
        <w:t xml:space="preserve"> </w:t>
      </w:r>
      <w:r w:rsidR="002E31B0">
        <w:rPr>
          <w:rFonts w:ascii="Times New Roman" w:hAnsi="Times New Roman" w:cs="Times New Roman"/>
        </w:rPr>
        <w:t>T</w:t>
      </w:r>
      <w:r w:rsidR="00EF7D65">
        <w:rPr>
          <w:rFonts w:ascii="Times New Roman" w:hAnsi="Times New Roman" w:cs="Times New Roman"/>
        </w:rPr>
        <w:t>o fully evaluate the performance of the model</w:t>
      </w:r>
      <w:r w:rsidR="002E31B0">
        <w:rPr>
          <w:rFonts w:ascii="Times New Roman" w:hAnsi="Times New Roman" w:cs="Times New Roman"/>
        </w:rPr>
        <w:t xml:space="preserve"> in reproducing historical observations</w:t>
      </w:r>
      <w:r w:rsidR="00EF7D65">
        <w:rPr>
          <w:rFonts w:ascii="Times New Roman" w:hAnsi="Times New Roman" w:cs="Times New Roman"/>
        </w:rPr>
        <w:t xml:space="preserve">, a more extensive comparison exercise would need to be conducted in which </w:t>
      </w:r>
      <w:r w:rsidR="00162005">
        <w:rPr>
          <w:rFonts w:ascii="Times New Roman" w:hAnsi="Times New Roman" w:cs="Times New Roman"/>
        </w:rPr>
        <w:t xml:space="preserve">non-hydrological factors (e.g., crop prices, production costs, etc.) are also input as exogenous time series to the model, matching observed conditions over the period of comparison. </w:t>
      </w:r>
      <w:r w:rsidR="00C276B3">
        <w:rPr>
          <w:rFonts w:ascii="Times New Roman" w:hAnsi="Times New Roman" w:cs="Times New Roman"/>
        </w:rPr>
        <w:t xml:space="preserve">The comparison would also be enhanced through identification </w:t>
      </w:r>
      <w:r w:rsidR="00E63809">
        <w:rPr>
          <w:rFonts w:ascii="Times New Roman" w:hAnsi="Times New Roman" w:cs="Times New Roman"/>
        </w:rPr>
        <w:t>or</w:t>
      </w:r>
      <w:r w:rsidR="00C276B3">
        <w:rPr>
          <w:rFonts w:ascii="Times New Roman" w:hAnsi="Times New Roman" w:cs="Times New Roman"/>
        </w:rPr>
        <w:t xml:space="preserve"> development of observed irrigated land use datasets at </w:t>
      </w:r>
      <w:r w:rsidR="00A70A9F">
        <w:rPr>
          <w:rFonts w:ascii="Times New Roman" w:hAnsi="Times New Roman" w:cs="Times New Roman"/>
        </w:rPr>
        <w:t>higher temporal frequency and spatial resolution.</w:t>
      </w:r>
    </w:p>
    <w:p w14:paraId="20BA4B19" w14:textId="31B120FA" w:rsidR="006D6D3A" w:rsidRDefault="00185042">
      <w:pPr>
        <w:rPr>
          <w:rFonts w:ascii="Times New Roman" w:hAnsi="Times New Roman" w:cs="Times New Roman"/>
          <w:b/>
          <w:bCs/>
        </w:rPr>
      </w:pPr>
      <w:r>
        <w:rPr>
          <w:rFonts w:ascii="Times New Roman" w:hAnsi="Times New Roman" w:cs="Times New Roman"/>
          <w:b/>
          <w:bCs/>
        </w:rPr>
        <w:t>Matching crop categories between datasets</w:t>
      </w:r>
    </w:p>
    <w:p w14:paraId="4E9776D4" w14:textId="2525EC3E" w:rsidR="00451292" w:rsidRDefault="008C3300">
      <w:pPr>
        <w:rPr>
          <w:rFonts w:ascii="Times New Roman" w:hAnsi="Times New Roman" w:cs="Times New Roman"/>
        </w:rPr>
      </w:pPr>
      <w:r>
        <w:rPr>
          <w:rFonts w:ascii="Times New Roman" w:hAnsi="Times New Roman" w:cs="Times New Roman"/>
        </w:rPr>
        <w:t xml:space="preserve">For the model, we use 10 general crop categories that </w:t>
      </w:r>
      <w:r w:rsidR="000F2E89">
        <w:rPr>
          <w:rFonts w:ascii="Times New Roman" w:hAnsi="Times New Roman" w:cs="Times New Roman"/>
        </w:rPr>
        <w:t>closely follow</w:t>
      </w:r>
      <w:r>
        <w:rPr>
          <w:rFonts w:ascii="Times New Roman" w:hAnsi="Times New Roman" w:cs="Times New Roman"/>
        </w:rPr>
        <w:t xml:space="preserve"> </w:t>
      </w:r>
      <w:r w:rsidR="000F2E89">
        <w:rPr>
          <w:rFonts w:ascii="Times New Roman" w:hAnsi="Times New Roman" w:cs="Times New Roman"/>
        </w:rPr>
        <w:t>those used in the</w:t>
      </w:r>
      <w:r>
        <w:rPr>
          <w:rFonts w:ascii="Times New Roman" w:hAnsi="Times New Roman" w:cs="Times New Roman"/>
        </w:rPr>
        <w:t xml:space="preserve"> Global Change Assessment Model (GCAM), which include: </w:t>
      </w:r>
      <w:r w:rsidR="00DC2B37">
        <w:rPr>
          <w:rFonts w:ascii="Times New Roman" w:hAnsi="Times New Roman" w:cs="Times New Roman"/>
        </w:rPr>
        <w:t xml:space="preserve">corn, </w:t>
      </w:r>
      <w:r w:rsidR="00B62F54">
        <w:rPr>
          <w:rFonts w:ascii="Times New Roman" w:hAnsi="Times New Roman" w:cs="Times New Roman"/>
        </w:rPr>
        <w:t xml:space="preserve">fiber, </w:t>
      </w:r>
      <w:r w:rsidR="00DC2B37">
        <w:rPr>
          <w:rFonts w:ascii="Times New Roman" w:hAnsi="Times New Roman" w:cs="Times New Roman"/>
        </w:rPr>
        <w:t>fodder,</w:t>
      </w:r>
      <w:r w:rsidR="00B62F54">
        <w:rPr>
          <w:rFonts w:ascii="Times New Roman" w:hAnsi="Times New Roman" w:cs="Times New Roman"/>
        </w:rPr>
        <w:t xml:space="preserve"> grain,</w:t>
      </w:r>
      <w:r w:rsidR="00DC2B37">
        <w:rPr>
          <w:rFonts w:ascii="Times New Roman" w:hAnsi="Times New Roman" w:cs="Times New Roman"/>
        </w:rPr>
        <w:t xml:space="preserve"> miscellaneous, </w:t>
      </w:r>
      <w:r w:rsidR="00B62F54">
        <w:rPr>
          <w:rFonts w:ascii="Times New Roman" w:hAnsi="Times New Roman" w:cs="Times New Roman"/>
        </w:rPr>
        <w:t xml:space="preserve">oil, </w:t>
      </w:r>
      <w:r w:rsidR="00DC2B37">
        <w:rPr>
          <w:rFonts w:ascii="Times New Roman" w:hAnsi="Times New Roman" w:cs="Times New Roman"/>
        </w:rPr>
        <w:t>rice,</w:t>
      </w:r>
      <w:r w:rsidR="00B62F54">
        <w:rPr>
          <w:rFonts w:ascii="Times New Roman" w:hAnsi="Times New Roman" w:cs="Times New Roman"/>
        </w:rPr>
        <w:t xml:space="preserve"> root tuber,</w:t>
      </w:r>
      <w:r w:rsidR="00DC2B37">
        <w:rPr>
          <w:rFonts w:ascii="Times New Roman" w:hAnsi="Times New Roman" w:cs="Times New Roman"/>
        </w:rPr>
        <w:t xml:space="preserve"> sugar</w:t>
      </w:r>
      <w:r w:rsidR="00B62F54">
        <w:rPr>
          <w:rFonts w:ascii="Times New Roman" w:hAnsi="Times New Roman" w:cs="Times New Roman"/>
        </w:rPr>
        <w:t xml:space="preserve">, and wheat. </w:t>
      </w:r>
      <w:r w:rsidR="00220887">
        <w:rPr>
          <w:rFonts w:ascii="Times New Roman" w:hAnsi="Times New Roman" w:cs="Times New Roman"/>
        </w:rPr>
        <w:t xml:space="preserve">Each of the datasets used to calibrate the farmer agents (USDA Farm and Ranch Irrigation Survey, USDA Cropland Data Layer, </w:t>
      </w:r>
      <w:r w:rsidR="006C24AB">
        <w:rPr>
          <w:rFonts w:ascii="Times New Roman" w:hAnsi="Times New Roman" w:cs="Times New Roman"/>
        </w:rPr>
        <w:t>and USDA Economic Research Service’s Commodity Costs and Return datasets</w:t>
      </w:r>
      <w:r w:rsidR="000B7D0C">
        <w:rPr>
          <w:rFonts w:ascii="Times New Roman" w:hAnsi="Times New Roman" w:cs="Times New Roman"/>
        </w:rPr>
        <w:t>)</w:t>
      </w:r>
      <w:r w:rsidR="006C24AB">
        <w:rPr>
          <w:rFonts w:ascii="Times New Roman" w:hAnsi="Times New Roman" w:cs="Times New Roman"/>
        </w:rPr>
        <w:t xml:space="preserve"> </w:t>
      </w:r>
      <w:r w:rsidR="00356EAC">
        <w:rPr>
          <w:rFonts w:ascii="Times New Roman" w:hAnsi="Times New Roman" w:cs="Times New Roman"/>
        </w:rPr>
        <w:t>reports on crop statistics using different (typically more detailed) crop categorizations compared to GCAM. We accordingly assign crop</w:t>
      </w:r>
      <w:r w:rsidR="00CA0C6D">
        <w:rPr>
          <w:rFonts w:ascii="Times New Roman" w:hAnsi="Times New Roman" w:cs="Times New Roman"/>
        </w:rPr>
        <w:t xml:space="preserve"> types from the various datasets to one of the general GCAM crop categories using the crop category mapping provided </w:t>
      </w:r>
      <w:r w:rsidR="00FC5469">
        <w:rPr>
          <w:rFonts w:ascii="Times New Roman" w:hAnsi="Times New Roman" w:cs="Times New Roman"/>
        </w:rPr>
        <w:t>i</w:t>
      </w:r>
      <w:r w:rsidR="00CA0C6D">
        <w:rPr>
          <w:rFonts w:ascii="Times New Roman" w:hAnsi="Times New Roman" w:cs="Times New Roman"/>
        </w:rPr>
        <w:t>n Table S</w:t>
      </w:r>
      <w:r w:rsidR="00FC5469">
        <w:rPr>
          <w:rFonts w:ascii="Times New Roman" w:hAnsi="Times New Roman" w:cs="Times New Roman"/>
        </w:rPr>
        <w:t>2</w:t>
      </w:r>
      <w:r w:rsidR="00CA0C6D">
        <w:rPr>
          <w:rFonts w:ascii="Times New Roman" w:hAnsi="Times New Roman" w:cs="Times New Roman"/>
        </w:rPr>
        <w:t>.</w:t>
      </w:r>
    </w:p>
    <w:p w14:paraId="296EFBA2" w14:textId="628E2EC2" w:rsidR="00B91DB1" w:rsidRDefault="00445045">
      <w:pPr>
        <w:rPr>
          <w:rFonts w:ascii="Times New Roman" w:hAnsi="Times New Roman" w:cs="Times New Roman"/>
        </w:rPr>
      </w:pPr>
      <w:r>
        <w:rPr>
          <w:rFonts w:ascii="Times New Roman" w:hAnsi="Times New Roman" w:cs="Times New Roman"/>
        </w:rPr>
        <w:t>The utilizat</w:t>
      </w:r>
      <w:r w:rsidR="00514DBE">
        <w:rPr>
          <w:rFonts w:ascii="Times New Roman" w:hAnsi="Times New Roman" w:cs="Times New Roman"/>
        </w:rPr>
        <w:t xml:space="preserve">ion of the 10 general crop categories for the model </w:t>
      </w:r>
      <w:r w:rsidR="00745442">
        <w:rPr>
          <w:rFonts w:ascii="Times New Roman" w:hAnsi="Times New Roman" w:cs="Times New Roman"/>
        </w:rPr>
        <w:t xml:space="preserve">introduces simplifications in modeled crop representations with </w:t>
      </w:r>
      <w:r w:rsidR="00EA554A">
        <w:rPr>
          <w:rFonts w:ascii="Times New Roman" w:hAnsi="Times New Roman" w:cs="Times New Roman"/>
        </w:rPr>
        <w:t xml:space="preserve">potential implications for model results. For example, over 50 crops from the CDL dataset are assigned to the miscellaneous crop category, with the model only tracking irrigated areas for </w:t>
      </w:r>
      <w:r w:rsidR="00DE289E">
        <w:rPr>
          <w:rFonts w:ascii="Times New Roman" w:hAnsi="Times New Roman" w:cs="Times New Roman"/>
        </w:rPr>
        <w:t xml:space="preserve">all these crops combined into a single category. Similarly, each </w:t>
      </w:r>
      <w:r w:rsidR="008A7A28">
        <w:rPr>
          <w:rFonts w:ascii="Times New Roman" w:hAnsi="Times New Roman" w:cs="Times New Roman"/>
        </w:rPr>
        <w:t xml:space="preserve">general crop category is characterized by a </w:t>
      </w:r>
      <w:r w:rsidR="00A27991">
        <w:rPr>
          <w:rFonts w:ascii="Times New Roman" w:hAnsi="Times New Roman" w:cs="Times New Roman"/>
        </w:rPr>
        <w:t>representative</w:t>
      </w:r>
      <w:r w:rsidR="008A7A28">
        <w:rPr>
          <w:rFonts w:ascii="Times New Roman" w:hAnsi="Times New Roman" w:cs="Times New Roman"/>
        </w:rPr>
        <w:t xml:space="preserve"> </w:t>
      </w:r>
      <w:r w:rsidR="00F66220">
        <w:rPr>
          <w:rFonts w:ascii="Times New Roman" w:hAnsi="Times New Roman" w:cs="Times New Roman"/>
        </w:rPr>
        <w:t>economic price/cost (e.g., the miscellaneous crop category is characterized by a single</w:t>
      </w:r>
      <w:r w:rsidR="0053659F">
        <w:rPr>
          <w:rFonts w:ascii="Times New Roman" w:hAnsi="Times New Roman" w:cs="Times New Roman"/>
        </w:rPr>
        <w:t xml:space="preserve"> representative</w:t>
      </w:r>
      <w:r w:rsidR="00F66220">
        <w:rPr>
          <w:rFonts w:ascii="Times New Roman" w:hAnsi="Times New Roman" w:cs="Times New Roman"/>
        </w:rPr>
        <w:t xml:space="preserve"> </w:t>
      </w:r>
      <w:r w:rsidR="0053659F">
        <w:rPr>
          <w:rFonts w:ascii="Times New Roman" w:hAnsi="Times New Roman" w:cs="Times New Roman"/>
        </w:rPr>
        <w:t xml:space="preserve">price, though this price can vary between regions/agents). </w:t>
      </w:r>
      <w:r w:rsidR="0073079D">
        <w:rPr>
          <w:rFonts w:ascii="Times New Roman" w:hAnsi="Times New Roman" w:cs="Times New Roman"/>
        </w:rPr>
        <w:t>Such an aggregation of economic prices/costs could introduce significant bias in the calibration p</w:t>
      </w:r>
      <w:r w:rsidR="00D177F4">
        <w:rPr>
          <w:rFonts w:ascii="Times New Roman" w:hAnsi="Times New Roman" w:cs="Times New Roman"/>
        </w:rPr>
        <w:t xml:space="preserve">rocedure, specifically as cost data from the USDA ERS dataset is limited to a select group of crops. For miscellaneous crops for example, </w:t>
      </w:r>
      <w:r w:rsidR="00AC28A2">
        <w:rPr>
          <w:rFonts w:ascii="Times New Roman" w:hAnsi="Times New Roman" w:cs="Times New Roman"/>
        </w:rPr>
        <w:t>the economic data for peanuts is utilized as the representative crop for all other miscellaneous crops</w:t>
      </w:r>
      <w:r w:rsidR="000A0E52">
        <w:rPr>
          <w:rFonts w:ascii="Times New Roman" w:hAnsi="Times New Roman" w:cs="Times New Roman"/>
        </w:rPr>
        <w:t xml:space="preserve"> due to limitations in the USDA ERS dataset.</w:t>
      </w:r>
    </w:p>
    <w:p w14:paraId="6BA3871B" w14:textId="651D0D61" w:rsidR="00C36528" w:rsidRDefault="00F37890">
      <w:pPr>
        <w:rPr>
          <w:rFonts w:ascii="Times New Roman" w:hAnsi="Times New Roman" w:cs="Times New Roman"/>
        </w:rPr>
      </w:pPr>
      <w:r>
        <w:rPr>
          <w:rFonts w:ascii="Times New Roman" w:hAnsi="Times New Roman" w:cs="Times New Roman"/>
        </w:rPr>
        <w:t xml:space="preserve">While such aggregation and mapping of crops introduces limitations and potential inaccuracies in the model calibration and outcomes, </w:t>
      </w:r>
      <w:r w:rsidR="00896D5B">
        <w:rPr>
          <w:rFonts w:ascii="Times New Roman" w:hAnsi="Times New Roman" w:cs="Times New Roman"/>
        </w:rPr>
        <w:t xml:space="preserve">we argue that such aggregation is necessary and reasonable given the large-scale nature of the modeling endeavor and limited data </w:t>
      </w:r>
      <w:r w:rsidR="00D5701D">
        <w:rPr>
          <w:rFonts w:ascii="Times New Roman" w:hAnsi="Times New Roman" w:cs="Times New Roman"/>
        </w:rPr>
        <w:t xml:space="preserve">at more detailed levels of crop categories at CONUS-scale. </w:t>
      </w:r>
      <w:r w:rsidR="00704ECB">
        <w:rPr>
          <w:rFonts w:ascii="Times New Roman" w:hAnsi="Times New Roman" w:cs="Times New Roman"/>
        </w:rPr>
        <w:t xml:space="preserve">The introduction of additional or more detailed crop categories would also result in excessive computational burden (each new crop is an additional decision variable in the farmer’s </w:t>
      </w:r>
      <w:r w:rsidR="00704ECB">
        <w:rPr>
          <w:rFonts w:ascii="Times New Roman" w:hAnsi="Times New Roman" w:cs="Times New Roman"/>
        </w:rPr>
        <w:lastRenderedPageBreak/>
        <w:t xml:space="preserve">optimization problem) for such a large-scale effort. </w:t>
      </w:r>
      <w:r w:rsidR="00651407">
        <w:rPr>
          <w:rFonts w:ascii="Times New Roman" w:hAnsi="Times New Roman" w:cs="Times New Roman"/>
        </w:rPr>
        <w:t xml:space="preserve">For future research, we recommend evaluating the sensitivity of model results to these crop categories and </w:t>
      </w:r>
      <w:r w:rsidR="00C36528">
        <w:rPr>
          <w:rFonts w:ascii="Times New Roman" w:hAnsi="Times New Roman" w:cs="Times New Roman"/>
        </w:rPr>
        <w:t>the underlying data inputs used for each crop category during model calibration.</w:t>
      </w:r>
      <w:r w:rsidR="00704ECB">
        <w:rPr>
          <w:rFonts w:ascii="Times New Roman" w:hAnsi="Times New Roman" w:cs="Times New Roman"/>
        </w:rPr>
        <w:t xml:space="preserve"> </w:t>
      </w:r>
    </w:p>
    <w:tbl>
      <w:tblPr>
        <w:tblW w:w="9980" w:type="dxa"/>
        <w:tblLook w:val="04A0" w:firstRow="1" w:lastRow="0" w:firstColumn="1" w:lastColumn="0" w:noHBand="0" w:noVBand="1"/>
      </w:tblPr>
      <w:tblGrid>
        <w:gridCol w:w="1487"/>
        <w:gridCol w:w="1616"/>
        <w:gridCol w:w="1202"/>
        <w:gridCol w:w="5675"/>
      </w:tblGrid>
      <w:tr w:rsidR="00B91DB1" w:rsidRPr="00B91DB1" w14:paraId="455B4F1C" w14:textId="77777777" w:rsidTr="004909FB">
        <w:trPr>
          <w:trHeight w:val="610"/>
        </w:trPr>
        <w:tc>
          <w:tcPr>
            <w:tcW w:w="1423"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1C6C8885" w14:textId="77777777" w:rsidR="00B91DB1" w:rsidRPr="00B91DB1" w:rsidRDefault="00B91DB1" w:rsidP="00B91DB1">
            <w:pPr>
              <w:spacing w:after="0" w:line="240" w:lineRule="auto"/>
              <w:jc w:val="center"/>
              <w:rPr>
                <w:rFonts w:ascii="Times New Roman" w:eastAsia="Times New Roman" w:hAnsi="Times New Roman" w:cs="Times New Roman"/>
                <w:b/>
                <w:bCs/>
                <w:color w:val="000000"/>
              </w:rPr>
            </w:pPr>
            <w:r w:rsidRPr="00B91DB1">
              <w:rPr>
                <w:rFonts w:ascii="Times New Roman" w:eastAsia="Times New Roman" w:hAnsi="Times New Roman" w:cs="Times New Roman"/>
                <w:b/>
                <w:bCs/>
                <w:color w:val="000000"/>
              </w:rPr>
              <w:t>GCAM Category</w:t>
            </w:r>
          </w:p>
        </w:tc>
        <w:tc>
          <w:tcPr>
            <w:tcW w:w="1621" w:type="dxa"/>
            <w:tcBorders>
              <w:top w:val="single" w:sz="8" w:space="0" w:color="auto"/>
              <w:left w:val="nil"/>
              <w:bottom w:val="single" w:sz="8" w:space="0" w:color="auto"/>
              <w:right w:val="single" w:sz="4" w:space="0" w:color="auto"/>
            </w:tcBorders>
            <w:shd w:val="clear" w:color="auto" w:fill="auto"/>
            <w:vAlign w:val="bottom"/>
            <w:hideMark/>
          </w:tcPr>
          <w:p w14:paraId="0ABE0DB1" w14:textId="77777777" w:rsidR="00B91DB1" w:rsidRPr="00B91DB1" w:rsidRDefault="00B91DB1" w:rsidP="00B91DB1">
            <w:pPr>
              <w:spacing w:after="0" w:line="240" w:lineRule="auto"/>
              <w:jc w:val="center"/>
              <w:rPr>
                <w:rFonts w:ascii="Times New Roman" w:eastAsia="Times New Roman" w:hAnsi="Times New Roman" w:cs="Times New Roman"/>
                <w:b/>
                <w:bCs/>
                <w:color w:val="000000"/>
              </w:rPr>
            </w:pPr>
            <w:r w:rsidRPr="00B91DB1">
              <w:rPr>
                <w:rFonts w:ascii="Times New Roman" w:eastAsia="Times New Roman" w:hAnsi="Times New Roman" w:cs="Times New Roman"/>
                <w:b/>
                <w:bCs/>
                <w:color w:val="000000"/>
              </w:rPr>
              <w:t>USDA FRIS Crops</w:t>
            </w:r>
          </w:p>
        </w:tc>
        <w:tc>
          <w:tcPr>
            <w:tcW w:w="1203" w:type="dxa"/>
            <w:tcBorders>
              <w:top w:val="single" w:sz="8" w:space="0" w:color="auto"/>
              <w:left w:val="nil"/>
              <w:bottom w:val="single" w:sz="8" w:space="0" w:color="auto"/>
              <w:right w:val="single" w:sz="4" w:space="0" w:color="auto"/>
            </w:tcBorders>
            <w:shd w:val="clear" w:color="auto" w:fill="auto"/>
            <w:vAlign w:val="bottom"/>
            <w:hideMark/>
          </w:tcPr>
          <w:p w14:paraId="381FFBB2" w14:textId="77777777" w:rsidR="00B91DB1" w:rsidRPr="00B91DB1" w:rsidRDefault="00B91DB1" w:rsidP="00B91DB1">
            <w:pPr>
              <w:spacing w:after="0" w:line="240" w:lineRule="auto"/>
              <w:jc w:val="center"/>
              <w:rPr>
                <w:rFonts w:ascii="Times New Roman" w:eastAsia="Times New Roman" w:hAnsi="Times New Roman" w:cs="Times New Roman"/>
                <w:b/>
                <w:bCs/>
                <w:color w:val="000000"/>
              </w:rPr>
            </w:pPr>
            <w:r w:rsidRPr="00B91DB1">
              <w:rPr>
                <w:rFonts w:ascii="Times New Roman" w:eastAsia="Times New Roman" w:hAnsi="Times New Roman" w:cs="Times New Roman"/>
                <w:b/>
                <w:bCs/>
                <w:color w:val="000000"/>
              </w:rPr>
              <w:t>USDA ERS</w:t>
            </w:r>
          </w:p>
        </w:tc>
        <w:tc>
          <w:tcPr>
            <w:tcW w:w="5733" w:type="dxa"/>
            <w:tcBorders>
              <w:top w:val="single" w:sz="8" w:space="0" w:color="auto"/>
              <w:left w:val="nil"/>
              <w:bottom w:val="single" w:sz="8" w:space="0" w:color="auto"/>
              <w:right w:val="single" w:sz="8" w:space="0" w:color="auto"/>
            </w:tcBorders>
            <w:shd w:val="clear" w:color="auto" w:fill="auto"/>
            <w:vAlign w:val="bottom"/>
            <w:hideMark/>
          </w:tcPr>
          <w:p w14:paraId="3E079E93" w14:textId="77777777" w:rsidR="00B91DB1" w:rsidRPr="00B91DB1" w:rsidRDefault="00B91DB1" w:rsidP="00B91DB1">
            <w:pPr>
              <w:spacing w:after="0" w:line="240" w:lineRule="auto"/>
              <w:jc w:val="center"/>
              <w:rPr>
                <w:rFonts w:ascii="Times New Roman" w:eastAsia="Times New Roman" w:hAnsi="Times New Roman" w:cs="Times New Roman"/>
                <w:b/>
                <w:bCs/>
                <w:color w:val="000000"/>
              </w:rPr>
            </w:pPr>
            <w:r w:rsidRPr="00B91DB1">
              <w:rPr>
                <w:rFonts w:ascii="Times New Roman" w:eastAsia="Times New Roman" w:hAnsi="Times New Roman" w:cs="Times New Roman"/>
                <w:b/>
                <w:bCs/>
                <w:color w:val="000000"/>
              </w:rPr>
              <w:t>CDL Crops</w:t>
            </w:r>
          </w:p>
        </w:tc>
      </w:tr>
      <w:tr w:rsidR="00B91DB1" w:rsidRPr="00B91DB1" w14:paraId="7743E294" w14:textId="77777777" w:rsidTr="00B91DB1">
        <w:trPr>
          <w:trHeight w:val="1260"/>
        </w:trPr>
        <w:tc>
          <w:tcPr>
            <w:tcW w:w="1423" w:type="dxa"/>
            <w:tcBorders>
              <w:top w:val="nil"/>
              <w:left w:val="single" w:sz="8" w:space="0" w:color="auto"/>
              <w:bottom w:val="single" w:sz="4" w:space="0" w:color="auto"/>
              <w:right w:val="single" w:sz="4" w:space="0" w:color="auto"/>
            </w:tcBorders>
            <w:shd w:val="clear" w:color="auto" w:fill="auto"/>
            <w:vAlign w:val="bottom"/>
            <w:hideMark/>
          </w:tcPr>
          <w:p w14:paraId="5AF6B99D"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Corn</w:t>
            </w:r>
          </w:p>
        </w:tc>
        <w:tc>
          <w:tcPr>
            <w:tcW w:w="1621" w:type="dxa"/>
            <w:tcBorders>
              <w:top w:val="nil"/>
              <w:left w:val="nil"/>
              <w:bottom w:val="single" w:sz="4" w:space="0" w:color="auto"/>
              <w:right w:val="single" w:sz="4" w:space="0" w:color="auto"/>
            </w:tcBorders>
            <w:shd w:val="clear" w:color="auto" w:fill="auto"/>
            <w:vAlign w:val="bottom"/>
            <w:hideMark/>
          </w:tcPr>
          <w:p w14:paraId="463BB113"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 xml:space="preserve">Corn for grain or seed, Alfalfa, Corn for Silage or </w:t>
            </w:r>
            <w:proofErr w:type="spellStart"/>
            <w:r w:rsidRPr="00B91DB1">
              <w:rPr>
                <w:rFonts w:ascii="Times New Roman" w:eastAsia="Times New Roman" w:hAnsi="Times New Roman" w:cs="Times New Roman"/>
                <w:color w:val="000000"/>
              </w:rPr>
              <w:t>Greenchop</w:t>
            </w:r>
            <w:proofErr w:type="spellEnd"/>
          </w:p>
        </w:tc>
        <w:tc>
          <w:tcPr>
            <w:tcW w:w="1203" w:type="dxa"/>
            <w:tcBorders>
              <w:top w:val="nil"/>
              <w:left w:val="nil"/>
              <w:bottom w:val="single" w:sz="4" w:space="0" w:color="auto"/>
              <w:right w:val="single" w:sz="4" w:space="0" w:color="auto"/>
            </w:tcBorders>
            <w:shd w:val="clear" w:color="auto" w:fill="auto"/>
            <w:vAlign w:val="bottom"/>
            <w:hideMark/>
          </w:tcPr>
          <w:p w14:paraId="7B04F519"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Corn</w:t>
            </w:r>
          </w:p>
        </w:tc>
        <w:tc>
          <w:tcPr>
            <w:tcW w:w="5733" w:type="dxa"/>
            <w:tcBorders>
              <w:top w:val="nil"/>
              <w:left w:val="nil"/>
              <w:bottom w:val="single" w:sz="4" w:space="0" w:color="auto"/>
              <w:right w:val="single" w:sz="8" w:space="0" w:color="auto"/>
            </w:tcBorders>
            <w:shd w:val="clear" w:color="auto" w:fill="auto"/>
            <w:vAlign w:val="bottom"/>
            <w:hideMark/>
          </w:tcPr>
          <w:p w14:paraId="083BC010"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 xml:space="preserve">Corn, Sweet Corn, Por or </w:t>
            </w:r>
            <w:proofErr w:type="spellStart"/>
            <w:r w:rsidRPr="00B91DB1">
              <w:rPr>
                <w:rFonts w:ascii="Times New Roman" w:eastAsia="Times New Roman" w:hAnsi="Times New Roman" w:cs="Times New Roman"/>
                <w:color w:val="000000"/>
              </w:rPr>
              <w:t>Orn</w:t>
            </w:r>
            <w:proofErr w:type="spellEnd"/>
            <w:r w:rsidRPr="00B91DB1">
              <w:rPr>
                <w:rFonts w:ascii="Times New Roman" w:eastAsia="Times New Roman" w:hAnsi="Times New Roman" w:cs="Times New Roman"/>
                <w:color w:val="000000"/>
              </w:rPr>
              <w:t xml:space="preserve"> Corn,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Barley/Corn,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Corn/Soybeans</w:t>
            </w:r>
          </w:p>
        </w:tc>
      </w:tr>
      <w:tr w:rsidR="00B91DB1" w:rsidRPr="00B91DB1" w14:paraId="309D9B9A" w14:textId="77777777" w:rsidTr="00B91DB1">
        <w:trPr>
          <w:trHeight w:val="315"/>
        </w:trPr>
        <w:tc>
          <w:tcPr>
            <w:tcW w:w="1423" w:type="dxa"/>
            <w:tcBorders>
              <w:top w:val="nil"/>
              <w:left w:val="single" w:sz="8" w:space="0" w:color="auto"/>
              <w:bottom w:val="single" w:sz="4" w:space="0" w:color="auto"/>
              <w:right w:val="single" w:sz="4" w:space="0" w:color="auto"/>
            </w:tcBorders>
            <w:shd w:val="clear" w:color="auto" w:fill="auto"/>
            <w:vAlign w:val="bottom"/>
            <w:hideMark/>
          </w:tcPr>
          <w:p w14:paraId="02582D86"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Fiber</w:t>
            </w:r>
          </w:p>
        </w:tc>
        <w:tc>
          <w:tcPr>
            <w:tcW w:w="1621" w:type="dxa"/>
            <w:tcBorders>
              <w:top w:val="nil"/>
              <w:left w:val="nil"/>
              <w:bottom w:val="single" w:sz="4" w:space="0" w:color="auto"/>
              <w:right w:val="single" w:sz="4" w:space="0" w:color="auto"/>
            </w:tcBorders>
            <w:shd w:val="clear" w:color="auto" w:fill="auto"/>
            <w:vAlign w:val="bottom"/>
            <w:hideMark/>
          </w:tcPr>
          <w:p w14:paraId="0BD71492"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All cotton</w:t>
            </w:r>
          </w:p>
        </w:tc>
        <w:tc>
          <w:tcPr>
            <w:tcW w:w="1203" w:type="dxa"/>
            <w:tcBorders>
              <w:top w:val="nil"/>
              <w:left w:val="nil"/>
              <w:bottom w:val="single" w:sz="4" w:space="0" w:color="auto"/>
              <w:right w:val="single" w:sz="4" w:space="0" w:color="auto"/>
            </w:tcBorders>
            <w:shd w:val="clear" w:color="auto" w:fill="auto"/>
            <w:vAlign w:val="bottom"/>
            <w:hideMark/>
          </w:tcPr>
          <w:p w14:paraId="553CE2EE"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Cotton</w:t>
            </w:r>
          </w:p>
        </w:tc>
        <w:tc>
          <w:tcPr>
            <w:tcW w:w="5733" w:type="dxa"/>
            <w:tcBorders>
              <w:top w:val="nil"/>
              <w:left w:val="nil"/>
              <w:bottom w:val="single" w:sz="4" w:space="0" w:color="auto"/>
              <w:right w:val="single" w:sz="8" w:space="0" w:color="auto"/>
            </w:tcBorders>
            <w:shd w:val="clear" w:color="auto" w:fill="auto"/>
            <w:vAlign w:val="bottom"/>
            <w:hideMark/>
          </w:tcPr>
          <w:p w14:paraId="1BDAB6A5"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Cotton</w:t>
            </w:r>
          </w:p>
        </w:tc>
      </w:tr>
      <w:tr w:rsidR="00B91DB1" w:rsidRPr="00B91DB1" w14:paraId="159B0EDB" w14:textId="77777777" w:rsidTr="00B91DB1">
        <w:trPr>
          <w:trHeight w:val="630"/>
        </w:trPr>
        <w:tc>
          <w:tcPr>
            <w:tcW w:w="1423" w:type="dxa"/>
            <w:tcBorders>
              <w:top w:val="nil"/>
              <w:left w:val="single" w:sz="8" w:space="0" w:color="auto"/>
              <w:bottom w:val="single" w:sz="4" w:space="0" w:color="auto"/>
              <w:right w:val="single" w:sz="4" w:space="0" w:color="auto"/>
            </w:tcBorders>
            <w:shd w:val="clear" w:color="auto" w:fill="auto"/>
            <w:vAlign w:val="bottom"/>
            <w:hideMark/>
          </w:tcPr>
          <w:p w14:paraId="29673D9C"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Fodder</w:t>
            </w:r>
          </w:p>
        </w:tc>
        <w:tc>
          <w:tcPr>
            <w:tcW w:w="1621" w:type="dxa"/>
            <w:tcBorders>
              <w:top w:val="nil"/>
              <w:left w:val="nil"/>
              <w:bottom w:val="single" w:sz="4" w:space="0" w:color="auto"/>
              <w:right w:val="single" w:sz="4" w:space="0" w:color="auto"/>
            </w:tcBorders>
            <w:shd w:val="clear" w:color="auto" w:fill="auto"/>
            <w:vAlign w:val="bottom"/>
            <w:hideMark/>
          </w:tcPr>
          <w:p w14:paraId="78B35B44"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 xml:space="preserve">All other hay, </w:t>
            </w:r>
          </w:p>
        </w:tc>
        <w:tc>
          <w:tcPr>
            <w:tcW w:w="1203" w:type="dxa"/>
            <w:tcBorders>
              <w:top w:val="nil"/>
              <w:left w:val="nil"/>
              <w:bottom w:val="single" w:sz="4" w:space="0" w:color="auto"/>
              <w:right w:val="single" w:sz="4" w:space="0" w:color="auto"/>
            </w:tcBorders>
            <w:shd w:val="clear" w:color="auto" w:fill="auto"/>
            <w:vAlign w:val="bottom"/>
            <w:hideMark/>
          </w:tcPr>
          <w:p w14:paraId="13C1387E"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Grain Sorghum*</w:t>
            </w:r>
          </w:p>
        </w:tc>
        <w:tc>
          <w:tcPr>
            <w:tcW w:w="5733" w:type="dxa"/>
            <w:tcBorders>
              <w:top w:val="nil"/>
              <w:left w:val="nil"/>
              <w:bottom w:val="single" w:sz="4" w:space="0" w:color="auto"/>
              <w:right w:val="single" w:sz="8" w:space="0" w:color="auto"/>
            </w:tcBorders>
            <w:shd w:val="clear" w:color="auto" w:fill="auto"/>
            <w:vAlign w:val="bottom"/>
            <w:hideMark/>
          </w:tcPr>
          <w:p w14:paraId="76A0E5C1"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Alfalfa, Other Hay/Non Alfalfa</w:t>
            </w:r>
          </w:p>
        </w:tc>
      </w:tr>
      <w:tr w:rsidR="00B91DB1" w:rsidRPr="00B91DB1" w14:paraId="1A41A692" w14:textId="77777777" w:rsidTr="00B91DB1">
        <w:trPr>
          <w:trHeight w:val="1575"/>
        </w:trPr>
        <w:tc>
          <w:tcPr>
            <w:tcW w:w="1423" w:type="dxa"/>
            <w:tcBorders>
              <w:top w:val="nil"/>
              <w:left w:val="single" w:sz="8" w:space="0" w:color="auto"/>
              <w:bottom w:val="single" w:sz="4" w:space="0" w:color="auto"/>
              <w:right w:val="single" w:sz="4" w:space="0" w:color="auto"/>
            </w:tcBorders>
            <w:shd w:val="clear" w:color="auto" w:fill="auto"/>
            <w:vAlign w:val="bottom"/>
            <w:hideMark/>
          </w:tcPr>
          <w:p w14:paraId="7895B734"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Grain</w:t>
            </w:r>
          </w:p>
        </w:tc>
        <w:tc>
          <w:tcPr>
            <w:tcW w:w="1621" w:type="dxa"/>
            <w:tcBorders>
              <w:top w:val="nil"/>
              <w:left w:val="nil"/>
              <w:bottom w:val="single" w:sz="4" w:space="0" w:color="auto"/>
              <w:right w:val="single" w:sz="4" w:space="0" w:color="auto"/>
            </w:tcBorders>
            <w:shd w:val="clear" w:color="auto" w:fill="auto"/>
            <w:vAlign w:val="bottom"/>
            <w:hideMark/>
          </w:tcPr>
          <w:p w14:paraId="22A24951"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Other small grains, Sorghum for grain or seed</w:t>
            </w:r>
          </w:p>
        </w:tc>
        <w:tc>
          <w:tcPr>
            <w:tcW w:w="1203" w:type="dxa"/>
            <w:tcBorders>
              <w:top w:val="nil"/>
              <w:left w:val="nil"/>
              <w:bottom w:val="single" w:sz="4" w:space="0" w:color="auto"/>
              <w:right w:val="single" w:sz="4" w:space="0" w:color="auto"/>
            </w:tcBorders>
            <w:shd w:val="clear" w:color="auto" w:fill="auto"/>
            <w:vAlign w:val="bottom"/>
            <w:hideMark/>
          </w:tcPr>
          <w:p w14:paraId="46E372FB"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Barley, Oats, Sorghum</w:t>
            </w:r>
          </w:p>
        </w:tc>
        <w:tc>
          <w:tcPr>
            <w:tcW w:w="5733" w:type="dxa"/>
            <w:tcBorders>
              <w:top w:val="nil"/>
              <w:left w:val="nil"/>
              <w:bottom w:val="single" w:sz="4" w:space="0" w:color="auto"/>
              <w:right w:val="single" w:sz="8" w:space="0" w:color="auto"/>
            </w:tcBorders>
            <w:shd w:val="clear" w:color="auto" w:fill="auto"/>
            <w:vAlign w:val="bottom"/>
            <w:hideMark/>
          </w:tcPr>
          <w:p w14:paraId="1EBED6C3"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 xml:space="preserve">Sorghum, Barley, Other Small Grains, Rye, Oats, Millet, Speltz, Buckwheat, Triticale,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Oats/Corn,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Lettuce/Barley,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Durum </w:t>
            </w:r>
            <w:proofErr w:type="spellStart"/>
            <w:r w:rsidRPr="00B91DB1">
              <w:rPr>
                <w:rFonts w:ascii="Times New Roman" w:eastAsia="Times New Roman" w:hAnsi="Times New Roman" w:cs="Times New Roman"/>
                <w:color w:val="000000"/>
              </w:rPr>
              <w:t>Wht</w:t>
            </w:r>
            <w:proofErr w:type="spellEnd"/>
            <w:r w:rsidRPr="00B91DB1">
              <w:rPr>
                <w:rFonts w:ascii="Times New Roman" w:eastAsia="Times New Roman" w:hAnsi="Times New Roman" w:cs="Times New Roman"/>
                <w:color w:val="000000"/>
              </w:rPr>
              <w:t xml:space="preserve">/Sorghum,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Barley/Sorghum,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w:t>
            </w:r>
            <w:proofErr w:type="spellStart"/>
            <w:r w:rsidRPr="00B91DB1">
              <w:rPr>
                <w:rFonts w:ascii="Times New Roman" w:eastAsia="Times New Roman" w:hAnsi="Times New Roman" w:cs="Times New Roman"/>
                <w:color w:val="000000"/>
              </w:rPr>
              <w:t>WinWht</w:t>
            </w:r>
            <w:proofErr w:type="spellEnd"/>
            <w:r w:rsidRPr="00B91DB1">
              <w:rPr>
                <w:rFonts w:ascii="Times New Roman" w:eastAsia="Times New Roman" w:hAnsi="Times New Roman" w:cs="Times New Roman"/>
                <w:color w:val="000000"/>
              </w:rPr>
              <w:t xml:space="preserve">/Sorghum,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Soybeans/Oats,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Barley/Soybeans</w:t>
            </w:r>
          </w:p>
        </w:tc>
      </w:tr>
      <w:tr w:rsidR="00B91DB1" w:rsidRPr="00B91DB1" w14:paraId="154F0CAC" w14:textId="77777777" w:rsidTr="00B91DB1">
        <w:trPr>
          <w:trHeight w:val="3780"/>
        </w:trPr>
        <w:tc>
          <w:tcPr>
            <w:tcW w:w="1423" w:type="dxa"/>
            <w:tcBorders>
              <w:top w:val="nil"/>
              <w:left w:val="single" w:sz="8" w:space="0" w:color="auto"/>
              <w:bottom w:val="single" w:sz="4" w:space="0" w:color="auto"/>
              <w:right w:val="single" w:sz="4" w:space="0" w:color="auto"/>
            </w:tcBorders>
            <w:shd w:val="clear" w:color="auto" w:fill="auto"/>
            <w:vAlign w:val="bottom"/>
            <w:hideMark/>
          </w:tcPr>
          <w:p w14:paraId="639FFD90"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Miscellaneous</w:t>
            </w:r>
          </w:p>
        </w:tc>
        <w:tc>
          <w:tcPr>
            <w:tcW w:w="1621" w:type="dxa"/>
            <w:tcBorders>
              <w:top w:val="nil"/>
              <w:left w:val="nil"/>
              <w:bottom w:val="single" w:sz="4" w:space="0" w:color="auto"/>
              <w:right w:val="single" w:sz="4" w:space="0" w:color="auto"/>
            </w:tcBorders>
            <w:shd w:val="clear" w:color="auto" w:fill="auto"/>
            <w:vAlign w:val="bottom"/>
            <w:hideMark/>
          </w:tcPr>
          <w:p w14:paraId="0BCF64F1" w14:textId="1E3447B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 xml:space="preserve">Beans, Tomato, Berries, Orchards, Vegetable, Lettuce, Peanuts, Sweet </w:t>
            </w:r>
            <w:r w:rsidR="00445045">
              <w:rPr>
                <w:rFonts w:ascii="Times New Roman" w:eastAsia="Times New Roman" w:hAnsi="Times New Roman" w:cs="Times New Roman"/>
                <w:color w:val="000000"/>
              </w:rPr>
              <w:t>C</w:t>
            </w:r>
            <w:r w:rsidRPr="00B91DB1">
              <w:rPr>
                <w:rFonts w:ascii="Times New Roman" w:eastAsia="Times New Roman" w:hAnsi="Times New Roman" w:cs="Times New Roman"/>
                <w:color w:val="000000"/>
              </w:rPr>
              <w:t>orn, Tomatoes</w:t>
            </w:r>
          </w:p>
        </w:tc>
        <w:tc>
          <w:tcPr>
            <w:tcW w:w="1203" w:type="dxa"/>
            <w:tcBorders>
              <w:top w:val="nil"/>
              <w:left w:val="nil"/>
              <w:bottom w:val="single" w:sz="4" w:space="0" w:color="auto"/>
              <w:right w:val="single" w:sz="4" w:space="0" w:color="auto"/>
            </w:tcBorders>
            <w:shd w:val="clear" w:color="auto" w:fill="auto"/>
            <w:vAlign w:val="bottom"/>
            <w:hideMark/>
          </w:tcPr>
          <w:p w14:paraId="2E602D0C"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Peanut</w:t>
            </w:r>
          </w:p>
        </w:tc>
        <w:tc>
          <w:tcPr>
            <w:tcW w:w="5733" w:type="dxa"/>
            <w:tcBorders>
              <w:top w:val="nil"/>
              <w:left w:val="nil"/>
              <w:bottom w:val="single" w:sz="4" w:space="0" w:color="auto"/>
              <w:right w:val="single" w:sz="8" w:space="0" w:color="auto"/>
            </w:tcBorders>
            <w:shd w:val="clear" w:color="auto" w:fill="auto"/>
            <w:vAlign w:val="bottom"/>
            <w:hideMark/>
          </w:tcPr>
          <w:p w14:paraId="3AACE161" w14:textId="5AD743E9"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 xml:space="preserve">Tobacco, Mint, Mustard, Dry Beans, Other Crops, </w:t>
            </w:r>
            <w:proofErr w:type="spellStart"/>
            <w:r w:rsidRPr="00B91DB1">
              <w:rPr>
                <w:rFonts w:ascii="Times New Roman" w:eastAsia="Times New Roman" w:hAnsi="Times New Roman" w:cs="Times New Roman"/>
                <w:color w:val="000000"/>
              </w:rPr>
              <w:t>Misc</w:t>
            </w:r>
            <w:proofErr w:type="spellEnd"/>
            <w:r w:rsidRPr="00B91DB1">
              <w:rPr>
                <w:rFonts w:ascii="Times New Roman" w:eastAsia="Times New Roman" w:hAnsi="Times New Roman" w:cs="Times New Roman"/>
                <w:color w:val="000000"/>
              </w:rPr>
              <w:t xml:space="preserve"> Vegs &amp; Fruits, Watermelons, Onions, Cucumbers, Chick Peas, Lentils, Peas, Tomatoes, </w:t>
            </w:r>
            <w:proofErr w:type="spellStart"/>
            <w:r w:rsidRPr="00B91DB1">
              <w:rPr>
                <w:rFonts w:ascii="Times New Roman" w:eastAsia="Times New Roman" w:hAnsi="Times New Roman" w:cs="Times New Roman"/>
                <w:color w:val="000000"/>
              </w:rPr>
              <w:t>Caneberries</w:t>
            </w:r>
            <w:proofErr w:type="spellEnd"/>
            <w:r w:rsidRPr="00B91DB1">
              <w:rPr>
                <w:rFonts w:ascii="Times New Roman" w:eastAsia="Times New Roman" w:hAnsi="Times New Roman" w:cs="Times New Roman"/>
                <w:color w:val="000000"/>
              </w:rPr>
              <w:t>, Hops, Herbs, Clover/Wildflowers, Sod/Grass Seed, Cherries, Peaches, Apples, Grapes, Christmas Trees, Other Tree Crops, Citrus, Pecans, Almonds, Walnuts, Pears, Pistachios, Asparagus, Garlic, Cantaloupes, Prunes, Oranges, Hone</w:t>
            </w:r>
            <w:r w:rsidR="00EA554A">
              <w:rPr>
                <w:rFonts w:ascii="Times New Roman" w:eastAsia="Times New Roman" w:hAnsi="Times New Roman" w:cs="Times New Roman"/>
                <w:color w:val="000000"/>
              </w:rPr>
              <w:t>y</w:t>
            </w:r>
            <w:r w:rsidRPr="00B91DB1">
              <w:rPr>
                <w:rFonts w:ascii="Times New Roman" w:eastAsia="Times New Roman" w:hAnsi="Times New Roman" w:cs="Times New Roman"/>
                <w:color w:val="000000"/>
              </w:rPr>
              <w:t xml:space="preserve">dew Melons, Broccoli, Peppers, Pomegranates, Nectarines, Greens, Plums, Strawberries, Squash, Apricots, Vetch, Lettuce, Pumpkins,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Lettuce/Cantaloupe,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Lettuce/Cotton, Blueberries, Cabbage, Cauliflower, Celery, Eggplants, Gourds, Cranberries</w:t>
            </w:r>
          </w:p>
        </w:tc>
      </w:tr>
      <w:tr w:rsidR="00B91DB1" w:rsidRPr="00B91DB1" w14:paraId="554DA6C0" w14:textId="77777777" w:rsidTr="00B91DB1">
        <w:trPr>
          <w:trHeight w:val="630"/>
        </w:trPr>
        <w:tc>
          <w:tcPr>
            <w:tcW w:w="1423" w:type="dxa"/>
            <w:tcBorders>
              <w:top w:val="nil"/>
              <w:left w:val="single" w:sz="8" w:space="0" w:color="auto"/>
              <w:bottom w:val="single" w:sz="4" w:space="0" w:color="auto"/>
              <w:right w:val="single" w:sz="4" w:space="0" w:color="auto"/>
            </w:tcBorders>
            <w:shd w:val="clear" w:color="auto" w:fill="auto"/>
            <w:vAlign w:val="bottom"/>
            <w:hideMark/>
          </w:tcPr>
          <w:p w14:paraId="14A5F270"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Oil</w:t>
            </w:r>
          </w:p>
        </w:tc>
        <w:tc>
          <w:tcPr>
            <w:tcW w:w="1621" w:type="dxa"/>
            <w:tcBorders>
              <w:top w:val="nil"/>
              <w:left w:val="nil"/>
              <w:bottom w:val="single" w:sz="4" w:space="0" w:color="auto"/>
              <w:right w:val="single" w:sz="4" w:space="0" w:color="auto"/>
            </w:tcBorders>
            <w:shd w:val="clear" w:color="auto" w:fill="auto"/>
            <w:vAlign w:val="bottom"/>
            <w:hideMark/>
          </w:tcPr>
          <w:p w14:paraId="3D525EE5"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Soybeans for beans</w:t>
            </w:r>
          </w:p>
        </w:tc>
        <w:tc>
          <w:tcPr>
            <w:tcW w:w="1203" w:type="dxa"/>
            <w:tcBorders>
              <w:top w:val="nil"/>
              <w:left w:val="nil"/>
              <w:bottom w:val="single" w:sz="4" w:space="0" w:color="auto"/>
              <w:right w:val="single" w:sz="4" w:space="0" w:color="auto"/>
            </w:tcBorders>
            <w:shd w:val="clear" w:color="auto" w:fill="auto"/>
            <w:vAlign w:val="bottom"/>
            <w:hideMark/>
          </w:tcPr>
          <w:p w14:paraId="1C0F577A"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Soybean</w:t>
            </w:r>
          </w:p>
        </w:tc>
        <w:tc>
          <w:tcPr>
            <w:tcW w:w="5733" w:type="dxa"/>
            <w:tcBorders>
              <w:top w:val="nil"/>
              <w:left w:val="nil"/>
              <w:bottom w:val="single" w:sz="4" w:space="0" w:color="auto"/>
              <w:right w:val="single" w:sz="8" w:space="0" w:color="auto"/>
            </w:tcBorders>
            <w:shd w:val="clear" w:color="auto" w:fill="auto"/>
            <w:vAlign w:val="bottom"/>
            <w:hideMark/>
          </w:tcPr>
          <w:p w14:paraId="139BA676"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 xml:space="preserve">Soybeans, Sunflower, Peanuts, Canola, Flaxseed, Safflower, Rape Seed, Camelina, Olives,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Soybeans/Cotton</w:t>
            </w:r>
          </w:p>
        </w:tc>
      </w:tr>
      <w:tr w:rsidR="00B91DB1" w:rsidRPr="00B91DB1" w14:paraId="64776272" w14:textId="77777777" w:rsidTr="00B91DB1">
        <w:trPr>
          <w:trHeight w:val="315"/>
        </w:trPr>
        <w:tc>
          <w:tcPr>
            <w:tcW w:w="1423" w:type="dxa"/>
            <w:tcBorders>
              <w:top w:val="nil"/>
              <w:left w:val="single" w:sz="8" w:space="0" w:color="auto"/>
              <w:bottom w:val="single" w:sz="4" w:space="0" w:color="auto"/>
              <w:right w:val="single" w:sz="4" w:space="0" w:color="auto"/>
            </w:tcBorders>
            <w:shd w:val="clear" w:color="auto" w:fill="auto"/>
            <w:vAlign w:val="bottom"/>
            <w:hideMark/>
          </w:tcPr>
          <w:p w14:paraId="1F030232"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Rice</w:t>
            </w:r>
          </w:p>
        </w:tc>
        <w:tc>
          <w:tcPr>
            <w:tcW w:w="1621" w:type="dxa"/>
            <w:tcBorders>
              <w:top w:val="nil"/>
              <w:left w:val="nil"/>
              <w:bottom w:val="single" w:sz="4" w:space="0" w:color="auto"/>
              <w:right w:val="single" w:sz="4" w:space="0" w:color="auto"/>
            </w:tcBorders>
            <w:shd w:val="clear" w:color="auto" w:fill="auto"/>
            <w:vAlign w:val="bottom"/>
            <w:hideMark/>
          </w:tcPr>
          <w:p w14:paraId="517807F6"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Rice</w:t>
            </w:r>
          </w:p>
        </w:tc>
        <w:tc>
          <w:tcPr>
            <w:tcW w:w="1203" w:type="dxa"/>
            <w:tcBorders>
              <w:top w:val="nil"/>
              <w:left w:val="nil"/>
              <w:bottom w:val="single" w:sz="4" w:space="0" w:color="auto"/>
              <w:right w:val="single" w:sz="4" w:space="0" w:color="auto"/>
            </w:tcBorders>
            <w:shd w:val="clear" w:color="auto" w:fill="auto"/>
            <w:vAlign w:val="bottom"/>
            <w:hideMark/>
          </w:tcPr>
          <w:p w14:paraId="04D6535E"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Rice</w:t>
            </w:r>
          </w:p>
        </w:tc>
        <w:tc>
          <w:tcPr>
            <w:tcW w:w="5733" w:type="dxa"/>
            <w:tcBorders>
              <w:top w:val="nil"/>
              <w:left w:val="nil"/>
              <w:bottom w:val="single" w:sz="4" w:space="0" w:color="auto"/>
              <w:right w:val="single" w:sz="8" w:space="0" w:color="auto"/>
            </w:tcBorders>
            <w:shd w:val="clear" w:color="auto" w:fill="auto"/>
            <w:vAlign w:val="bottom"/>
            <w:hideMark/>
          </w:tcPr>
          <w:p w14:paraId="2D48FF50"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Rice</w:t>
            </w:r>
          </w:p>
        </w:tc>
      </w:tr>
      <w:tr w:rsidR="00B91DB1" w:rsidRPr="00B91DB1" w14:paraId="1A77A626" w14:textId="77777777" w:rsidTr="00B91DB1">
        <w:trPr>
          <w:trHeight w:val="630"/>
        </w:trPr>
        <w:tc>
          <w:tcPr>
            <w:tcW w:w="1423" w:type="dxa"/>
            <w:tcBorders>
              <w:top w:val="nil"/>
              <w:left w:val="single" w:sz="8" w:space="0" w:color="auto"/>
              <w:bottom w:val="single" w:sz="4" w:space="0" w:color="auto"/>
              <w:right w:val="single" w:sz="4" w:space="0" w:color="auto"/>
            </w:tcBorders>
            <w:shd w:val="clear" w:color="auto" w:fill="auto"/>
            <w:vAlign w:val="bottom"/>
            <w:hideMark/>
          </w:tcPr>
          <w:p w14:paraId="5308AD11"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Root Tuber</w:t>
            </w:r>
          </w:p>
        </w:tc>
        <w:tc>
          <w:tcPr>
            <w:tcW w:w="1621" w:type="dxa"/>
            <w:tcBorders>
              <w:top w:val="nil"/>
              <w:left w:val="nil"/>
              <w:bottom w:val="single" w:sz="4" w:space="0" w:color="auto"/>
              <w:right w:val="single" w:sz="4" w:space="0" w:color="auto"/>
            </w:tcBorders>
            <w:shd w:val="clear" w:color="auto" w:fill="auto"/>
            <w:vAlign w:val="bottom"/>
            <w:hideMark/>
          </w:tcPr>
          <w:p w14:paraId="0EE45678"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Potatoes</w:t>
            </w:r>
          </w:p>
        </w:tc>
        <w:tc>
          <w:tcPr>
            <w:tcW w:w="1203" w:type="dxa"/>
            <w:tcBorders>
              <w:top w:val="nil"/>
              <w:left w:val="nil"/>
              <w:bottom w:val="single" w:sz="4" w:space="0" w:color="auto"/>
              <w:right w:val="single" w:sz="4" w:space="0" w:color="auto"/>
            </w:tcBorders>
            <w:shd w:val="clear" w:color="auto" w:fill="auto"/>
            <w:vAlign w:val="bottom"/>
            <w:hideMark/>
          </w:tcPr>
          <w:p w14:paraId="68D605A5"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Potatoes*</w:t>
            </w:r>
          </w:p>
        </w:tc>
        <w:tc>
          <w:tcPr>
            <w:tcW w:w="5733" w:type="dxa"/>
            <w:tcBorders>
              <w:top w:val="nil"/>
              <w:left w:val="nil"/>
              <w:bottom w:val="single" w:sz="4" w:space="0" w:color="auto"/>
              <w:right w:val="single" w:sz="8" w:space="0" w:color="auto"/>
            </w:tcBorders>
            <w:shd w:val="clear" w:color="auto" w:fill="auto"/>
            <w:vAlign w:val="bottom"/>
            <w:hideMark/>
          </w:tcPr>
          <w:p w14:paraId="75A372CA"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Potatoes, Sweet Potatoes, Carrots, Radishes, Turnips</w:t>
            </w:r>
          </w:p>
        </w:tc>
      </w:tr>
      <w:tr w:rsidR="00B91DB1" w:rsidRPr="00B91DB1" w14:paraId="155B942F" w14:textId="77777777" w:rsidTr="00B91DB1">
        <w:trPr>
          <w:trHeight w:val="315"/>
        </w:trPr>
        <w:tc>
          <w:tcPr>
            <w:tcW w:w="1423" w:type="dxa"/>
            <w:tcBorders>
              <w:top w:val="nil"/>
              <w:left w:val="single" w:sz="8" w:space="0" w:color="auto"/>
              <w:bottom w:val="single" w:sz="4" w:space="0" w:color="auto"/>
              <w:right w:val="single" w:sz="4" w:space="0" w:color="auto"/>
            </w:tcBorders>
            <w:shd w:val="clear" w:color="auto" w:fill="auto"/>
            <w:vAlign w:val="bottom"/>
            <w:hideMark/>
          </w:tcPr>
          <w:p w14:paraId="7B2DAF88"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Sugar</w:t>
            </w:r>
          </w:p>
        </w:tc>
        <w:tc>
          <w:tcPr>
            <w:tcW w:w="1621" w:type="dxa"/>
            <w:tcBorders>
              <w:top w:val="nil"/>
              <w:left w:val="nil"/>
              <w:bottom w:val="single" w:sz="4" w:space="0" w:color="auto"/>
              <w:right w:val="single" w:sz="4" w:space="0" w:color="auto"/>
            </w:tcBorders>
            <w:shd w:val="clear" w:color="auto" w:fill="auto"/>
            <w:vAlign w:val="bottom"/>
            <w:hideMark/>
          </w:tcPr>
          <w:p w14:paraId="22B3E94C" w14:textId="77777777" w:rsidR="00B91DB1" w:rsidRPr="00B91DB1" w:rsidRDefault="00B91DB1" w:rsidP="00B91DB1">
            <w:pPr>
              <w:spacing w:after="0" w:line="240" w:lineRule="auto"/>
              <w:rPr>
                <w:rFonts w:ascii="Times New Roman" w:eastAsia="Times New Roman" w:hAnsi="Times New Roman" w:cs="Times New Roman"/>
                <w:color w:val="000000"/>
              </w:rPr>
            </w:pPr>
            <w:proofErr w:type="spellStart"/>
            <w:r w:rsidRPr="00B91DB1">
              <w:rPr>
                <w:rFonts w:ascii="Times New Roman" w:eastAsia="Times New Roman" w:hAnsi="Times New Roman" w:cs="Times New Roman"/>
                <w:color w:val="000000"/>
              </w:rPr>
              <w:t>Sugarbeets</w:t>
            </w:r>
            <w:proofErr w:type="spellEnd"/>
            <w:r w:rsidRPr="00B91DB1">
              <w:rPr>
                <w:rFonts w:ascii="Times New Roman" w:eastAsia="Times New Roman" w:hAnsi="Times New Roman" w:cs="Times New Roman"/>
                <w:color w:val="000000"/>
              </w:rPr>
              <w:t>*</w:t>
            </w:r>
          </w:p>
        </w:tc>
        <w:tc>
          <w:tcPr>
            <w:tcW w:w="1203" w:type="dxa"/>
            <w:tcBorders>
              <w:top w:val="nil"/>
              <w:left w:val="nil"/>
              <w:bottom w:val="single" w:sz="4" w:space="0" w:color="auto"/>
              <w:right w:val="single" w:sz="4" w:space="0" w:color="auto"/>
            </w:tcBorders>
            <w:shd w:val="clear" w:color="auto" w:fill="auto"/>
            <w:vAlign w:val="bottom"/>
            <w:hideMark/>
          </w:tcPr>
          <w:p w14:paraId="6B09C9DF"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Beets</w:t>
            </w:r>
          </w:p>
        </w:tc>
        <w:tc>
          <w:tcPr>
            <w:tcW w:w="5733" w:type="dxa"/>
            <w:tcBorders>
              <w:top w:val="nil"/>
              <w:left w:val="nil"/>
              <w:bottom w:val="single" w:sz="4" w:space="0" w:color="auto"/>
              <w:right w:val="single" w:sz="8" w:space="0" w:color="auto"/>
            </w:tcBorders>
            <w:shd w:val="clear" w:color="auto" w:fill="auto"/>
            <w:vAlign w:val="bottom"/>
            <w:hideMark/>
          </w:tcPr>
          <w:p w14:paraId="719251DE" w14:textId="77777777" w:rsidR="00B91DB1" w:rsidRPr="00B91DB1" w:rsidRDefault="00B91DB1" w:rsidP="00B91DB1">
            <w:pPr>
              <w:spacing w:after="0" w:line="240" w:lineRule="auto"/>
              <w:rPr>
                <w:rFonts w:ascii="Times New Roman" w:eastAsia="Times New Roman" w:hAnsi="Times New Roman" w:cs="Times New Roman"/>
                <w:color w:val="000000"/>
              </w:rPr>
            </w:pPr>
            <w:proofErr w:type="spellStart"/>
            <w:r w:rsidRPr="00B91DB1">
              <w:rPr>
                <w:rFonts w:ascii="Times New Roman" w:eastAsia="Times New Roman" w:hAnsi="Times New Roman" w:cs="Times New Roman"/>
                <w:color w:val="000000"/>
              </w:rPr>
              <w:t>Sugarbeets</w:t>
            </w:r>
            <w:proofErr w:type="spellEnd"/>
            <w:r w:rsidRPr="00B91DB1">
              <w:rPr>
                <w:rFonts w:ascii="Times New Roman" w:eastAsia="Times New Roman" w:hAnsi="Times New Roman" w:cs="Times New Roman"/>
                <w:color w:val="000000"/>
              </w:rPr>
              <w:t>, Sugarcane</w:t>
            </w:r>
          </w:p>
        </w:tc>
      </w:tr>
      <w:tr w:rsidR="00B91DB1" w:rsidRPr="00B91DB1" w14:paraId="1B05E007" w14:textId="77777777" w:rsidTr="00B91DB1">
        <w:trPr>
          <w:trHeight w:val="960"/>
        </w:trPr>
        <w:tc>
          <w:tcPr>
            <w:tcW w:w="1423" w:type="dxa"/>
            <w:tcBorders>
              <w:top w:val="nil"/>
              <w:left w:val="single" w:sz="8" w:space="0" w:color="auto"/>
              <w:bottom w:val="single" w:sz="8" w:space="0" w:color="auto"/>
              <w:right w:val="single" w:sz="4" w:space="0" w:color="auto"/>
            </w:tcBorders>
            <w:shd w:val="clear" w:color="auto" w:fill="auto"/>
            <w:vAlign w:val="bottom"/>
            <w:hideMark/>
          </w:tcPr>
          <w:p w14:paraId="75507D27"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Wheat</w:t>
            </w:r>
          </w:p>
        </w:tc>
        <w:tc>
          <w:tcPr>
            <w:tcW w:w="1621" w:type="dxa"/>
            <w:tcBorders>
              <w:top w:val="nil"/>
              <w:left w:val="nil"/>
              <w:bottom w:val="single" w:sz="8" w:space="0" w:color="auto"/>
              <w:right w:val="single" w:sz="4" w:space="0" w:color="auto"/>
            </w:tcBorders>
            <w:shd w:val="clear" w:color="auto" w:fill="auto"/>
            <w:vAlign w:val="bottom"/>
            <w:hideMark/>
          </w:tcPr>
          <w:p w14:paraId="2BDE3635"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Wheat for grain or seed</w:t>
            </w:r>
          </w:p>
        </w:tc>
        <w:tc>
          <w:tcPr>
            <w:tcW w:w="1203" w:type="dxa"/>
            <w:tcBorders>
              <w:top w:val="nil"/>
              <w:left w:val="nil"/>
              <w:bottom w:val="single" w:sz="8" w:space="0" w:color="auto"/>
              <w:right w:val="single" w:sz="4" w:space="0" w:color="auto"/>
            </w:tcBorders>
            <w:shd w:val="clear" w:color="auto" w:fill="auto"/>
            <w:vAlign w:val="bottom"/>
            <w:hideMark/>
          </w:tcPr>
          <w:p w14:paraId="06D25E9B"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Wheat</w:t>
            </w:r>
          </w:p>
        </w:tc>
        <w:tc>
          <w:tcPr>
            <w:tcW w:w="5733" w:type="dxa"/>
            <w:tcBorders>
              <w:top w:val="nil"/>
              <w:left w:val="nil"/>
              <w:bottom w:val="single" w:sz="8" w:space="0" w:color="auto"/>
              <w:right w:val="single" w:sz="8" w:space="0" w:color="auto"/>
            </w:tcBorders>
            <w:shd w:val="clear" w:color="auto" w:fill="auto"/>
            <w:vAlign w:val="bottom"/>
            <w:hideMark/>
          </w:tcPr>
          <w:p w14:paraId="4F84217F" w14:textId="77777777" w:rsidR="00B91DB1" w:rsidRPr="00B91DB1" w:rsidRDefault="00B91DB1" w:rsidP="00B91DB1">
            <w:pPr>
              <w:spacing w:after="0" w:line="240" w:lineRule="auto"/>
              <w:rPr>
                <w:rFonts w:ascii="Times New Roman" w:eastAsia="Times New Roman" w:hAnsi="Times New Roman" w:cs="Times New Roman"/>
                <w:color w:val="000000"/>
              </w:rPr>
            </w:pPr>
            <w:r w:rsidRPr="00B91DB1">
              <w:rPr>
                <w:rFonts w:ascii="Times New Roman" w:eastAsia="Times New Roman" w:hAnsi="Times New Roman" w:cs="Times New Roman"/>
                <w:color w:val="000000"/>
              </w:rPr>
              <w:t xml:space="preserve">Durum Wheat, Spring Wheat, Winter Wheat,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w:t>
            </w:r>
            <w:proofErr w:type="spellStart"/>
            <w:r w:rsidRPr="00B91DB1">
              <w:rPr>
                <w:rFonts w:ascii="Times New Roman" w:eastAsia="Times New Roman" w:hAnsi="Times New Roman" w:cs="Times New Roman"/>
                <w:color w:val="000000"/>
              </w:rPr>
              <w:t>WinWht</w:t>
            </w:r>
            <w:proofErr w:type="spellEnd"/>
            <w:r w:rsidRPr="00B91DB1">
              <w:rPr>
                <w:rFonts w:ascii="Times New Roman" w:eastAsia="Times New Roman" w:hAnsi="Times New Roman" w:cs="Times New Roman"/>
                <w:color w:val="000000"/>
              </w:rPr>
              <w:t xml:space="preserve">/Soybeans,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Lettuce/Durum </w:t>
            </w:r>
            <w:proofErr w:type="spellStart"/>
            <w:r w:rsidRPr="00B91DB1">
              <w:rPr>
                <w:rFonts w:ascii="Times New Roman" w:eastAsia="Times New Roman" w:hAnsi="Times New Roman" w:cs="Times New Roman"/>
                <w:color w:val="000000"/>
              </w:rPr>
              <w:t>Wht</w:t>
            </w:r>
            <w:proofErr w:type="spellEnd"/>
            <w:r w:rsidRPr="00B91DB1">
              <w:rPr>
                <w:rFonts w:ascii="Times New Roman" w:eastAsia="Times New Roman" w:hAnsi="Times New Roman" w:cs="Times New Roman"/>
                <w:color w:val="000000"/>
              </w:rPr>
              <w:t xml:space="preserve">, </w:t>
            </w:r>
            <w:proofErr w:type="spellStart"/>
            <w:r w:rsidRPr="00B91DB1">
              <w:rPr>
                <w:rFonts w:ascii="Times New Roman" w:eastAsia="Times New Roman" w:hAnsi="Times New Roman" w:cs="Times New Roman"/>
                <w:color w:val="000000"/>
              </w:rPr>
              <w:t>Dbl</w:t>
            </w:r>
            <w:proofErr w:type="spellEnd"/>
            <w:r w:rsidRPr="00B91DB1">
              <w:rPr>
                <w:rFonts w:ascii="Times New Roman" w:eastAsia="Times New Roman" w:hAnsi="Times New Roman" w:cs="Times New Roman"/>
                <w:color w:val="000000"/>
              </w:rPr>
              <w:t xml:space="preserve"> Crop </w:t>
            </w:r>
            <w:proofErr w:type="spellStart"/>
            <w:r w:rsidRPr="00B91DB1">
              <w:rPr>
                <w:rFonts w:ascii="Times New Roman" w:eastAsia="Times New Roman" w:hAnsi="Times New Roman" w:cs="Times New Roman"/>
                <w:color w:val="000000"/>
              </w:rPr>
              <w:t>WinWht</w:t>
            </w:r>
            <w:proofErr w:type="spellEnd"/>
            <w:r w:rsidRPr="00B91DB1">
              <w:rPr>
                <w:rFonts w:ascii="Times New Roman" w:eastAsia="Times New Roman" w:hAnsi="Times New Roman" w:cs="Times New Roman"/>
                <w:color w:val="000000"/>
              </w:rPr>
              <w:t>/Cotton</w:t>
            </w:r>
          </w:p>
        </w:tc>
      </w:tr>
    </w:tbl>
    <w:p w14:paraId="43BC8478" w14:textId="4462E5E6" w:rsidR="002C11F0" w:rsidRPr="00451292" w:rsidRDefault="00FC5469">
      <w:pPr>
        <w:rPr>
          <w:rFonts w:ascii="Times New Roman" w:hAnsi="Times New Roman" w:cs="Times New Roman"/>
        </w:rPr>
      </w:pPr>
      <w:r w:rsidRPr="00FC5469">
        <w:rPr>
          <w:rFonts w:ascii="Times New Roman" w:hAnsi="Times New Roman" w:cs="Times New Roman"/>
          <w:b/>
          <w:bCs/>
        </w:rPr>
        <w:t>Table S2</w:t>
      </w:r>
      <w:r>
        <w:rPr>
          <w:rFonts w:ascii="Times New Roman" w:hAnsi="Times New Roman" w:cs="Times New Roman"/>
        </w:rPr>
        <w:t>. Crop category mappings between datasets.</w:t>
      </w:r>
    </w:p>
    <w:p w14:paraId="12F3E533" w14:textId="77777777" w:rsidR="00B34BB4" w:rsidRDefault="00B34BB4">
      <w:pPr>
        <w:rPr>
          <w:rFonts w:ascii="Times New Roman" w:hAnsi="Times New Roman" w:cs="Times New Roman"/>
          <w:b/>
          <w:bCs/>
        </w:rPr>
      </w:pPr>
    </w:p>
    <w:p w14:paraId="7D3644F1" w14:textId="26973C60" w:rsidR="00C040CB" w:rsidRDefault="00C040CB">
      <w:pPr>
        <w:rPr>
          <w:rFonts w:ascii="Times New Roman" w:hAnsi="Times New Roman" w:cs="Times New Roman"/>
          <w:b/>
          <w:bCs/>
        </w:rPr>
      </w:pPr>
      <w:r>
        <w:rPr>
          <w:rFonts w:ascii="Times New Roman" w:hAnsi="Times New Roman" w:cs="Times New Roman"/>
          <w:b/>
          <w:bCs/>
        </w:rPr>
        <w:lastRenderedPageBreak/>
        <w:t>USDA Economic Research Service’s (ERS) Commodity Costs and Return Datasets</w:t>
      </w:r>
    </w:p>
    <w:p w14:paraId="566B6DDB" w14:textId="69E5DAC6" w:rsidR="000259C2" w:rsidRPr="00A073B1" w:rsidRDefault="00A073B1">
      <w:pPr>
        <w:rPr>
          <w:rFonts w:ascii="Times New Roman" w:hAnsi="Times New Roman" w:cs="Times New Roman"/>
        </w:rPr>
      </w:pPr>
      <w:r>
        <w:rPr>
          <w:rFonts w:ascii="Times New Roman" w:hAnsi="Times New Roman" w:cs="Times New Roman"/>
        </w:rPr>
        <w:t>Economic data</w:t>
      </w:r>
      <w:r w:rsidR="007C1B5D">
        <w:rPr>
          <w:rFonts w:ascii="Times New Roman" w:hAnsi="Times New Roman" w:cs="Times New Roman"/>
        </w:rPr>
        <w:t xml:space="preserve"> on </w:t>
      </w:r>
      <w:r w:rsidR="004179AB">
        <w:rPr>
          <w:rFonts w:ascii="Times New Roman" w:hAnsi="Times New Roman" w:cs="Times New Roman"/>
        </w:rPr>
        <w:t>agricultural crop prices and productions costs</w:t>
      </w:r>
      <w:r>
        <w:rPr>
          <w:rFonts w:ascii="Times New Roman" w:hAnsi="Times New Roman" w:cs="Times New Roman"/>
        </w:rPr>
        <w:t xml:space="preserve"> for calibration of the </w:t>
      </w:r>
      <w:r w:rsidR="00FE5FFC">
        <w:rPr>
          <w:rFonts w:ascii="Times New Roman" w:hAnsi="Times New Roman" w:cs="Times New Roman"/>
        </w:rPr>
        <w:t>farmer agent model is obtained from the USDA ERS Commodity Costs and Return Datasets</w:t>
      </w:r>
      <w:r w:rsidR="00DD34F0">
        <w:rPr>
          <w:rFonts w:ascii="Times New Roman" w:hAnsi="Times New Roman" w:cs="Times New Roman"/>
        </w:rPr>
        <w:t xml:space="preserve"> (USDA, 2022)</w:t>
      </w:r>
      <w:r w:rsidR="00FE5FFC">
        <w:rPr>
          <w:rFonts w:ascii="Times New Roman" w:hAnsi="Times New Roman" w:cs="Times New Roman"/>
        </w:rPr>
        <w:t>.</w:t>
      </w:r>
      <w:r w:rsidR="004179AB">
        <w:rPr>
          <w:rFonts w:ascii="Times New Roman" w:hAnsi="Times New Roman" w:cs="Times New Roman"/>
        </w:rPr>
        <w:t xml:space="preserve"> </w:t>
      </w:r>
      <w:r w:rsidR="00C835B6">
        <w:rPr>
          <w:rFonts w:ascii="Times New Roman" w:hAnsi="Times New Roman" w:cs="Times New Roman"/>
        </w:rPr>
        <w:t xml:space="preserve">The </w:t>
      </w:r>
      <w:r w:rsidR="00746070">
        <w:rPr>
          <w:rFonts w:ascii="Times New Roman" w:hAnsi="Times New Roman" w:cs="Times New Roman"/>
        </w:rPr>
        <w:t>USDA has estimated annual agricultural production costs and returns since 1975, with the annual estimates based upon producer surveys that are conducted ever</w:t>
      </w:r>
      <w:r w:rsidR="00886D23">
        <w:rPr>
          <w:rFonts w:ascii="Times New Roman" w:hAnsi="Times New Roman" w:cs="Times New Roman"/>
        </w:rPr>
        <w:t xml:space="preserve">y 4-8 years depending upon the </w:t>
      </w:r>
      <w:r w:rsidR="006F4866">
        <w:rPr>
          <w:rFonts w:ascii="Times New Roman" w:hAnsi="Times New Roman" w:cs="Times New Roman"/>
        </w:rPr>
        <w:t xml:space="preserve">commodity. </w:t>
      </w:r>
      <w:r w:rsidR="0082350C">
        <w:rPr>
          <w:rFonts w:ascii="Times New Roman" w:hAnsi="Times New Roman" w:cs="Times New Roman"/>
        </w:rPr>
        <w:t xml:space="preserve">As reported in </w:t>
      </w:r>
      <w:r w:rsidR="00850305">
        <w:rPr>
          <w:rFonts w:ascii="Times New Roman" w:hAnsi="Times New Roman" w:cs="Times New Roman"/>
        </w:rPr>
        <w:t>the USDA ERS documentation, “</w:t>
      </w:r>
      <w:r w:rsidR="00850305" w:rsidRPr="00850305">
        <w:rPr>
          <w:rFonts w:ascii="Times New Roman" w:hAnsi="Times New Roman" w:cs="Times New Roman"/>
        </w:rPr>
        <w:t>The theoretical basis and accounting methods used for the most recent estimates of commodity costs and returns conform with standards recommended by the American Agricultural Economics Association (AAEA) Task Force on Commodity Costs and Returns</w:t>
      </w:r>
      <w:r w:rsidR="00850305">
        <w:rPr>
          <w:rFonts w:ascii="Times New Roman" w:hAnsi="Times New Roman" w:cs="Times New Roman"/>
        </w:rPr>
        <w:t>.”</w:t>
      </w:r>
      <w:r w:rsidR="0000732E">
        <w:rPr>
          <w:rFonts w:ascii="Times New Roman" w:hAnsi="Times New Roman" w:cs="Times New Roman"/>
        </w:rPr>
        <w:t xml:space="preserve"> </w:t>
      </w:r>
      <w:r w:rsidR="000259C2" w:rsidRPr="000259C2">
        <w:rPr>
          <w:rFonts w:ascii="Times New Roman" w:hAnsi="Times New Roman" w:cs="Times New Roman"/>
        </w:rPr>
        <w:t xml:space="preserve">While some previous studies deploy similar economic costs and returns, these are typically focused on specific locales or regions. </w:t>
      </w:r>
      <w:r w:rsidR="00AE65F5">
        <w:rPr>
          <w:rFonts w:ascii="Times New Roman" w:hAnsi="Times New Roman" w:cs="Times New Roman"/>
        </w:rPr>
        <w:t xml:space="preserve">While datasets collected for specific locales might provide a more accurate </w:t>
      </w:r>
      <w:r w:rsidR="00F377A1">
        <w:rPr>
          <w:rFonts w:ascii="Times New Roman" w:hAnsi="Times New Roman" w:cs="Times New Roman"/>
        </w:rPr>
        <w:t xml:space="preserve">economic farm information, </w:t>
      </w:r>
      <w:r w:rsidR="00102591">
        <w:rPr>
          <w:rFonts w:ascii="Times New Roman" w:hAnsi="Times New Roman" w:cs="Times New Roman"/>
        </w:rPr>
        <w:t>such local studies likel</w:t>
      </w:r>
      <w:r w:rsidR="005B3F04">
        <w:rPr>
          <w:rFonts w:ascii="Times New Roman" w:hAnsi="Times New Roman" w:cs="Times New Roman"/>
        </w:rPr>
        <w:t>y</w:t>
      </w:r>
      <w:r w:rsidR="000259C2" w:rsidRPr="000259C2">
        <w:rPr>
          <w:rFonts w:ascii="Times New Roman" w:hAnsi="Times New Roman" w:cs="Times New Roman"/>
        </w:rPr>
        <w:t xml:space="preserve"> </w:t>
      </w:r>
      <w:r w:rsidR="009E7D6C">
        <w:rPr>
          <w:rFonts w:ascii="Times New Roman" w:hAnsi="Times New Roman" w:cs="Times New Roman"/>
        </w:rPr>
        <w:t xml:space="preserve">adopt different </w:t>
      </w:r>
      <w:r w:rsidR="000259C2" w:rsidRPr="000259C2">
        <w:rPr>
          <w:rFonts w:ascii="Times New Roman" w:hAnsi="Times New Roman" w:cs="Times New Roman"/>
        </w:rPr>
        <w:t xml:space="preserve">data collection methods and estimates </w:t>
      </w:r>
      <w:r w:rsidR="009E7D6C">
        <w:rPr>
          <w:rFonts w:ascii="Times New Roman" w:hAnsi="Times New Roman" w:cs="Times New Roman"/>
        </w:rPr>
        <w:t>potentially leading to regional biases in model results if</w:t>
      </w:r>
      <w:r w:rsidR="00A56856">
        <w:rPr>
          <w:rFonts w:ascii="Times New Roman" w:hAnsi="Times New Roman" w:cs="Times New Roman"/>
        </w:rPr>
        <w:t xml:space="preserve"> consolidated for</w:t>
      </w:r>
      <w:r w:rsidR="009E7D6C">
        <w:rPr>
          <w:rFonts w:ascii="Times New Roman" w:hAnsi="Times New Roman" w:cs="Times New Roman"/>
        </w:rPr>
        <w:t xml:space="preserve"> u</w:t>
      </w:r>
      <w:r w:rsidR="00A56856">
        <w:rPr>
          <w:rFonts w:ascii="Times New Roman" w:hAnsi="Times New Roman" w:cs="Times New Roman"/>
        </w:rPr>
        <w:t>se in</w:t>
      </w:r>
      <w:r w:rsidR="009E7D6C">
        <w:rPr>
          <w:rFonts w:ascii="Times New Roman" w:hAnsi="Times New Roman" w:cs="Times New Roman"/>
        </w:rPr>
        <w:t xml:space="preserve"> our analysis</w:t>
      </w:r>
      <w:r w:rsidR="000259C2" w:rsidRPr="000259C2">
        <w:rPr>
          <w:rFonts w:ascii="Times New Roman" w:hAnsi="Times New Roman" w:cs="Times New Roman"/>
        </w:rPr>
        <w:t xml:space="preserve">. As </w:t>
      </w:r>
      <w:r w:rsidR="00897EB0">
        <w:rPr>
          <w:rFonts w:ascii="Times New Roman" w:hAnsi="Times New Roman" w:cs="Times New Roman"/>
        </w:rPr>
        <w:t xml:space="preserve">such the, USDA ERS commodity costs and returns dataset </w:t>
      </w:r>
      <w:r w:rsidR="0000732E">
        <w:rPr>
          <w:rFonts w:ascii="Times New Roman" w:hAnsi="Times New Roman" w:cs="Times New Roman"/>
        </w:rPr>
        <w:t>is adopted for the current analysis, given its national coverage and consistent data collection and estimation approach across all regions.</w:t>
      </w:r>
    </w:p>
    <w:p w14:paraId="2792614A" w14:textId="67C2ED25" w:rsidR="0034370F" w:rsidRDefault="0034370F">
      <w:pPr>
        <w:rPr>
          <w:rFonts w:ascii="Times New Roman" w:hAnsi="Times New Roman" w:cs="Times New Roman"/>
          <w:b/>
          <w:bCs/>
        </w:rPr>
      </w:pPr>
      <w:r>
        <w:rPr>
          <w:rFonts w:ascii="Times New Roman" w:hAnsi="Times New Roman" w:cs="Times New Roman"/>
          <w:b/>
          <w:bCs/>
        </w:rPr>
        <w:t>Reservoir Management in WM</w:t>
      </w:r>
    </w:p>
    <w:p w14:paraId="324B65CC" w14:textId="58502AA8" w:rsidR="0083004F" w:rsidRDefault="0083004F" w:rsidP="0083004F">
      <w:pPr>
        <w:rPr>
          <w:rFonts w:ascii="Times New Roman" w:hAnsi="Times New Roman" w:cs="Times New Roman"/>
        </w:rPr>
      </w:pPr>
      <w:r>
        <w:rPr>
          <w:rFonts w:ascii="Times New Roman" w:hAnsi="Times New Roman" w:cs="Times New Roman"/>
        </w:rPr>
        <w:t>WM has two components – reservoir operations which influence the seasonality of flow and river storage, and water supply management which</w:t>
      </w:r>
      <w:r w:rsidR="004E4CEA">
        <w:rPr>
          <w:rFonts w:ascii="Times New Roman" w:hAnsi="Times New Roman" w:cs="Times New Roman"/>
        </w:rPr>
        <w:t xml:space="preserve"> allocates supply from reservoirs to </w:t>
      </w:r>
      <w:r>
        <w:rPr>
          <w:rFonts w:ascii="Times New Roman" w:hAnsi="Times New Roman" w:cs="Times New Roman"/>
        </w:rPr>
        <w:t>spatially distributed demand</w:t>
      </w:r>
      <w:r w:rsidR="004E4CEA">
        <w:rPr>
          <w:rFonts w:ascii="Times New Roman" w:hAnsi="Times New Roman" w:cs="Times New Roman"/>
        </w:rPr>
        <w:t>s across grid cells</w:t>
      </w:r>
      <w:r>
        <w:rPr>
          <w:rFonts w:ascii="Times New Roman" w:hAnsi="Times New Roman" w:cs="Times New Roman"/>
        </w:rPr>
        <w:t>. Our CONUS set up of</w:t>
      </w:r>
      <w:r w:rsidRPr="00F14BAD">
        <w:rPr>
          <w:rFonts w:ascii="Times New Roman" w:hAnsi="Times New Roman" w:cs="Times New Roman"/>
        </w:rPr>
        <w:t xml:space="preserve"> MOSART-WM model includes all </w:t>
      </w:r>
      <w:r>
        <w:rPr>
          <w:rFonts w:ascii="Times New Roman" w:hAnsi="Times New Roman" w:cs="Times New Roman"/>
        </w:rPr>
        <w:t>(1</w:t>
      </w:r>
      <w:r w:rsidR="004E4CEA">
        <w:rPr>
          <w:rFonts w:ascii="Times New Roman" w:hAnsi="Times New Roman" w:cs="Times New Roman"/>
        </w:rPr>
        <w:t>,</w:t>
      </w:r>
      <w:r>
        <w:rPr>
          <w:rFonts w:ascii="Times New Roman" w:hAnsi="Times New Roman" w:cs="Times New Roman"/>
        </w:rPr>
        <w:t xml:space="preserve">848) </w:t>
      </w:r>
      <w:r w:rsidRPr="00F14BAD">
        <w:rPr>
          <w:rFonts w:ascii="Times New Roman" w:hAnsi="Times New Roman" w:cs="Times New Roman"/>
        </w:rPr>
        <w:t>reservoirs with a storage capacity larger than 10 million m</w:t>
      </w:r>
      <w:r w:rsidRPr="009E7D6C">
        <w:rPr>
          <w:rFonts w:ascii="Times New Roman" w:hAnsi="Times New Roman" w:cs="Times New Roman"/>
          <w:vertAlign w:val="superscript"/>
        </w:rPr>
        <w:t>3</w:t>
      </w:r>
      <w:r w:rsidRPr="00F14BAD">
        <w:rPr>
          <w:rFonts w:ascii="Times New Roman" w:hAnsi="Times New Roman" w:cs="Times New Roman"/>
        </w:rPr>
        <w:t xml:space="preserve">, </w:t>
      </w:r>
      <w:r>
        <w:rPr>
          <w:rFonts w:ascii="Times New Roman" w:hAnsi="Times New Roman" w:cs="Times New Roman"/>
        </w:rPr>
        <w:t xml:space="preserve">i.e. </w:t>
      </w:r>
      <w:r w:rsidRPr="00F14BAD">
        <w:rPr>
          <w:rFonts w:ascii="Times New Roman" w:hAnsi="Times New Roman" w:cs="Times New Roman"/>
        </w:rPr>
        <w:t xml:space="preserve">focusing on reservoirs that most influence river discharge. </w:t>
      </w:r>
      <w:r w:rsidRPr="00F14BAD">
        <w:rPr>
          <w:rFonts w:ascii="Times New Roman" w:eastAsia="Times New Roman" w:hAnsi="Times New Roman" w:cs="Times New Roman"/>
        </w:rPr>
        <w:t>The reservoir database and locations are obtained from the Global Reservoir and Dam Database (</w:t>
      </w:r>
      <w:proofErr w:type="spellStart"/>
      <w:r w:rsidRPr="00F14BAD">
        <w:rPr>
          <w:rFonts w:ascii="Times New Roman" w:eastAsia="Times New Roman" w:hAnsi="Times New Roman" w:cs="Times New Roman"/>
        </w:rPr>
        <w:t>GRanD</w:t>
      </w:r>
      <w:proofErr w:type="spellEnd"/>
      <w:r w:rsidRPr="00F14BAD">
        <w:rPr>
          <w:rFonts w:ascii="Times New Roman" w:eastAsia="Times New Roman" w:hAnsi="Times New Roman" w:cs="Times New Roman"/>
        </w:rPr>
        <w:t xml:space="preserve">) reservoir database </w:t>
      </w:r>
      <w:r w:rsidRPr="00F14BAD">
        <w:rPr>
          <w:rFonts w:ascii="Times New Roman" w:eastAsia="Times New Roman" w:hAnsi="Times New Roman" w:cs="Times New Roman"/>
        </w:rPr>
        <w:fldChar w:fldCharType="begin"/>
      </w:r>
      <w:r w:rsidRPr="00F14BAD">
        <w:rPr>
          <w:rFonts w:ascii="Times New Roman" w:eastAsia="Times New Roman" w:hAnsi="Times New Roman" w:cs="Times New Roman"/>
        </w:rPr>
        <w:instrText xml:space="preserve"> ADDIN ZOTERO_ITEM CSL_CITATION {"citationID":"lwwIEqUN","properties":{"formattedCitation":"(Lehner et al., 2011)","plainCitation":"(Lehner et al., 2011)","noteIndex":0},"citationItems":[{"id":5263,"uris":["http://zotero.org/users/1083901/items/GIV3DKV2"],"uri":["http://zotero.org/users/1083901/items/GIV3DKV2"],"itemData":{"id":5263,"type":"article-journal","container-title":"Technical Documentation, Version","page":"1–14","source":"Google Scholar","title":"Global reservoir and dam (grand) database","volume":"1","author":[{"family":"Lehner","given":"Bernhard"},{"family":"Liermann","given":"Catherine Reidy"},{"family":"Revenga","given":"Carmen"},{"family":"Vörösmarty","given":"Charles"},{"family":"Fekete","given":"Balazs"},{"family":"Crouzet","given":"Philippe"},{"family":"Döll","given":"Petra"},{"family":"Endejan","given":"Marcel"},{"family":"Frenken","given":"Karen"},{"family":"Magome","given":"Jun"}],"issued":{"date-parts":[["2011"]]}}}],"schema":"https://github.com/citation-style-language/schema/raw/master/csl-citation.json"} </w:instrText>
      </w:r>
      <w:r w:rsidRPr="00F14BAD">
        <w:rPr>
          <w:rFonts w:ascii="Times New Roman" w:eastAsia="Times New Roman" w:hAnsi="Times New Roman" w:cs="Times New Roman"/>
        </w:rPr>
        <w:fldChar w:fldCharType="separate"/>
      </w:r>
      <w:r w:rsidRPr="00F14BAD">
        <w:rPr>
          <w:rFonts w:ascii="Times New Roman" w:eastAsia="Times New Roman" w:hAnsi="Times New Roman" w:cs="Times New Roman"/>
          <w:noProof/>
        </w:rPr>
        <w:t>(Lehner et al., 2011)</w:t>
      </w:r>
      <w:r w:rsidRPr="00F14BAD">
        <w:rPr>
          <w:rFonts w:ascii="Times New Roman" w:eastAsia="Times New Roman" w:hAnsi="Times New Roman" w:cs="Times New Roman"/>
        </w:rPr>
        <w:fldChar w:fldCharType="end"/>
      </w:r>
      <w:r w:rsidRPr="00F14BAD">
        <w:rPr>
          <w:rFonts w:ascii="Times New Roman" w:eastAsia="Times New Roman" w:hAnsi="Times New Roman" w:cs="Times New Roman"/>
        </w:rPr>
        <w:t xml:space="preserve">. </w:t>
      </w:r>
      <w:r>
        <w:rPr>
          <w:rFonts w:ascii="Times New Roman" w:eastAsia="Times New Roman" w:hAnsi="Times New Roman" w:cs="Times New Roman"/>
        </w:rPr>
        <w:t xml:space="preserve">For daily reservoir storage and release operations, </w:t>
      </w:r>
      <w:r w:rsidRPr="00F14BAD">
        <w:rPr>
          <w:rFonts w:ascii="Times New Roman" w:eastAsia="Times New Roman" w:hAnsi="Times New Roman" w:cs="Times New Roman"/>
        </w:rPr>
        <w:t xml:space="preserve">MOSART-WM </w:t>
      </w:r>
      <w:r w:rsidRPr="00F14BAD">
        <w:rPr>
          <w:rFonts w:ascii="Times New Roman" w:hAnsi="Times New Roman" w:cs="Times New Roman"/>
        </w:rPr>
        <w:t>adopts generic operating rules that mimic monthly release</w:t>
      </w:r>
      <w:r>
        <w:rPr>
          <w:rFonts w:ascii="Times New Roman" w:hAnsi="Times New Roman" w:cs="Times New Roman"/>
        </w:rPr>
        <w:t xml:space="preserve"> and storage</w:t>
      </w:r>
      <w:r w:rsidRPr="00F14BAD">
        <w:rPr>
          <w:rFonts w:ascii="Times New Roman" w:hAnsi="Times New Roman" w:cs="Times New Roman"/>
        </w:rPr>
        <w:t xml:space="preserve"> patterns based on the objective of the reservoir (e.g., flood control, irrigation, etc.), its physical characteristics </w:t>
      </w:r>
      <w:r>
        <w:rPr>
          <w:rFonts w:ascii="Times New Roman" w:hAnsi="Times New Roman" w:cs="Times New Roman"/>
        </w:rPr>
        <w:t xml:space="preserve">(storage) </w:t>
      </w:r>
      <w:r w:rsidRPr="00F14BAD">
        <w:rPr>
          <w:rFonts w:ascii="Times New Roman" w:hAnsi="Times New Roman" w:cs="Times New Roman"/>
        </w:rPr>
        <w:t xml:space="preserve">and </w:t>
      </w:r>
      <w:r>
        <w:rPr>
          <w:rFonts w:ascii="Times New Roman" w:hAnsi="Times New Roman" w:cs="Times New Roman"/>
        </w:rPr>
        <w:t xml:space="preserve">monthly </w:t>
      </w:r>
      <w:proofErr w:type="spellStart"/>
      <w:r>
        <w:rPr>
          <w:rFonts w:ascii="Times New Roman" w:hAnsi="Times New Roman" w:cs="Times New Roman"/>
        </w:rPr>
        <w:t>climatologies</w:t>
      </w:r>
      <w:proofErr w:type="spellEnd"/>
      <w:r>
        <w:rPr>
          <w:rFonts w:ascii="Times New Roman" w:hAnsi="Times New Roman" w:cs="Times New Roman"/>
        </w:rPr>
        <w:t xml:space="preserve"> of </w:t>
      </w:r>
      <w:r w:rsidRPr="00F14BAD">
        <w:rPr>
          <w:rFonts w:ascii="Times New Roman" w:hAnsi="Times New Roman" w:cs="Times New Roman"/>
        </w:rPr>
        <w:t xml:space="preserve">inflow </w:t>
      </w:r>
      <w:r>
        <w:rPr>
          <w:rFonts w:ascii="Times New Roman" w:hAnsi="Times New Roman" w:cs="Times New Roman"/>
        </w:rPr>
        <w:t xml:space="preserve">(from VIC) and demand (from </w:t>
      </w:r>
      <w:r w:rsidR="00D56BBD">
        <w:rPr>
          <w:rFonts w:ascii="Times New Roman" w:hAnsi="Times New Roman" w:cs="Times New Roman"/>
        </w:rPr>
        <w:t>USGS</w:t>
      </w:r>
      <w:r>
        <w:rPr>
          <w:rFonts w:ascii="Times New Roman" w:hAnsi="Times New Roman" w:cs="Times New Roman"/>
        </w:rPr>
        <w:t>)</w:t>
      </w:r>
      <w:r w:rsidRPr="00F14BAD">
        <w:rPr>
          <w:rFonts w:ascii="Times New Roman" w:hAnsi="Times New Roman" w:cs="Times New Roman"/>
        </w:rPr>
        <w:t>, and follows daily constraints for minimum environmental flow, and minimum and maximum storage volumes.</w:t>
      </w:r>
      <w:r>
        <w:rPr>
          <w:rFonts w:ascii="Times New Roman" w:hAnsi="Times New Roman" w:cs="Times New Roman"/>
        </w:rPr>
        <w:t xml:space="preserve"> While called generic rules due </w:t>
      </w:r>
      <w:r w:rsidR="00E61061">
        <w:rPr>
          <w:rFonts w:ascii="Times New Roman" w:hAnsi="Times New Roman" w:cs="Times New Roman"/>
        </w:rPr>
        <w:t xml:space="preserve">to </w:t>
      </w:r>
      <w:r>
        <w:rPr>
          <w:rFonts w:ascii="Times New Roman" w:hAnsi="Times New Roman" w:cs="Times New Roman"/>
        </w:rPr>
        <w:t>a common set of equations, each reservoi</w:t>
      </w:r>
      <w:r w:rsidR="00E61061">
        <w:rPr>
          <w:rFonts w:ascii="Times New Roman" w:hAnsi="Times New Roman" w:cs="Times New Roman"/>
        </w:rPr>
        <w:t>r</w:t>
      </w:r>
      <w:r w:rsidR="00A97D08">
        <w:rPr>
          <w:rFonts w:ascii="Times New Roman" w:hAnsi="Times New Roman" w:cs="Times New Roman"/>
        </w:rPr>
        <w:t>’</w:t>
      </w:r>
      <w:r w:rsidR="00E61061">
        <w:rPr>
          <w:rFonts w:ascii="Times New Roman" w:hAnsi="Times New Roman" w:cs="Times New Roman"/>
        </w:rPr>
        <w:t>s operating rules are individually parameterized</w:t>
      </w:r>
      <w:r>
        <w:rPr>
          <w:rFonts w:ascii="Times New Roman" w:hAnsi="Times New Roman" w:cs="Times New Roman"/>
        </w:rPr>
        <w:t xml:space="preserve">. </w:t>
      </w:r>
    </w:p>
    <w:p w14:paraId="118D20B3" w14:textId="628FB8F1" w:rsidR="0083004F" w:rsidRDefault="0083004F" w:rsidP="0083004F">
      <w:pPr>
        <w:rPr>
          <w:rFonts w:ascii="Times New Roman" w:hAnsi="Times New Roman" w:cs="Times New Roman"/>
        </w:rPr>
      </w:pPr>
      <w:r w:rsidRPr="00F14BAD">
        <w:rPr>
          <w:rFonts w:ascii="Times New Roman" w:hAnsi="Times New Roman" w:cs="Times New Roman"/>
        </w:rPr>
        <w:t xml:space="preserve">The reservoir model builds upon generic operating rules first detailed in Biemans et al. (2011) and </w:t>
      </w:r>
      <w:proofErr w:type="spellStart"/>
      <w:r w:rsidRPr="00F14BAD">
        <w:rPr>
          <w:rFonts w:ascii="Times New Roman" w:hAnsi="Times New Roman" w:cs="Times New Roman"/>
        </w:rPr>
        <w:t>Hanasaki</w:t>
      </w:r>
      <w:proofErr w:type="spellEnd"/>
      <w:r w:rsidRPr="00F14BAD">
        <w:rPr>
          <w:rFonts w:ascii="Times New Roman" w:hAnsi="Times New Roman" w:cs="Times New Roman"/>
        </w:rPr>
        <w:t xml:space="preserve"> et al. (2006)</w:t>
      </w:r>
      <w:r>
        <w:rPr>
          <w:rFonts w:ascii="Times New Roman" w:hAnsi="Times New Roman" w:cs="Times New Roman"/>
        </w:rPr>
        <w:t xml:space="preserve"> and improved for multi objective operations (Voisin et al. 2013)</w:t>
      </w:r>
      <w:r w:rsidRPr="00F14BAD">
        <w:rPr>
          <w:rFonts w:ascii="Times New Roman" w:hAnsi="Times New Roman" w:cs="Times New Roman"/>
        </w:rPr>
        <w:t xml:space="preserve">. In brief, </w:t>
      </w:r>
      <w:r>
        <w:rPr>
          <w:rFonts w:ascii="Times New Roman" w:hAnsi="Times New Roman" w:cs="Times New Roman"/>
        </w:rPr>
        <w:t xml:space="preserve">monthly </w:t>
      </w:r>
      <w:r w:rsidRPr="00F14BAD">
        <w:rPr>
          <w:rFonts w:ascii="Times New Roman" w:hAnsi="Times New Roman" w:cs="Times New Roman"/>
        </w:rPr>
        <w:t xml:space="preserve">target releases are pre-defined for different reservoir purposes (e.g., flood control, water supply, hydropower and navigation, and irrigation). </w:t>
      </w:r>
      <w:r>
        <w:rPr>
          <w:rFonts w:ascii="Times New Roman" w:hAnsi="Times New Roman" w:cs="Times New Roman"/>
        </w:rPr>
        <w:t>For example, reservoirs with substantial storage and operated for flood control and irrigation tend to have a steady release following mean annual flow and monthly demand patterns which tends to drop reservoir storage just prior</w:t>
      </w:r>
      <w:r w:rsidR="0094598F">
        <w:rPr>
          <w:rFonts w:ascii="Times New Roman" w:hAnsi="Times New Roman" w:cs="Times New Roman"/>
        </w:rPr>
        <w:t xml:space="preserve"> to the</w:t>
      </w:r>
      <w:r>
        <w:rPr>
          <w:rFonts w:ascii="Times New Roman" w:hAnsi="Times New Roman" w:cs="Times New Roman"/>
        </w:rPr>
        <w:t xml:space="preserve"> Spring freshet and fills up storage just before the irrigation season. Reservoirs with less storage </w:t>
      </w:r>
      <w:r w:rsidR="002C1768">
        <w:rPr>
          <w:rFonts w:ascii="Times New Roman" w:hAnsi="Times New Roman" w:cs="Times New Roman"/>
        </w:rPr>
        <w:t>capacity</w:t>
      </w:r>
      <w:r>
        <w:rPr>
          <w:rFonts w:ascii="Times New Roman" w:hAnsi="Times New Roman" w:cs="Times New Roman"/>
        </w:rPr>
        <w:t xml:space="preserve"> see their monthly inflow having more influence on the pre-release computation. </w:t>
      </w:r>
      <w:r w:rsidRPr="00F14BAD">
        <w:rPr>
          <w:rFonts w:ascii="Times New Roman" w:hAnsi="Times New Roman" w:cs="Times New Roman"/>
        </w:rPr>
        <w:t xml:space="preserve">These pre-release targets are then adjusted </w:t>
      </w:r>
      <w:r>
        <w:rPr>
          <w:rFonts w:ascii="Times New Roman" w:hAnsi="Times New Roman" w:cs="Times New Roman"/>
        </w:rPr>
        <w:t xml:space="preserve">annually </w:t>
      </w:r>
      <w:r w:rsidRPr="00F14BAD">
        <w:rPr>
          <w:rFonts w:ascii="Times New Roman" w:hAnsi="Times New Roman" w:cs="Times New Roman"/>
        </w:rPr>
        <w:t>to account for inter-annual hydrological variability</w:t>
      </w:r>
      <w:r w:rsidR="00CF1CFE">
        <w:rPr>
          <w:rFonts w:ascii="Times New Roman" w:hAnsi="Times New Roman" w:cs="Times New Roman"/>
        </w:rPr>
        <w:t>, thus accounting</w:t>
      </w:r>
      <w:r>
        <w:rPr>
          <w:rFonts w:ascii="Times New Roman" w:hAnsi="Times New Roman" w:cs="Times New Roman"/>
        </w:rPr>
        <w:t xml:space="preserve"> for drought conditions</w:t>
      </w:r>
      <w:r w:rsidRPr="00F14BAD">
        <w:rPr>
          <w:rFonts w:ascii="Times New Roman" w:hAnsi="Times New Roman" w:cs="Times New Roman"/>
        </w:rPr>
        <w:t xml:space="preserve">. The modeling framework also includes </w:t>
      </w:r>
      <w:r>
        <w:rPr>
          <w:rFonts w:ascii="Times New Roman" w:hAnsi="Times New Roman" w:cs="Times New Roman"/>
        </w:rPr>
        <w:t xml:space="preserve">daily </w:t>
      </w:r>
      <w:r w:rsidRPr="00F14BAD">
        <w:rPr>
          <w:rFonts w:ascii="Times New Roman" w:hAnsi="Times New Roman" w:cs="Times New Roman"/>
        </w:rPr>
        <w:t xml:space="preserve">rules for initiating reservoir spilling when the maximum capacity of a reservoir is reached, as well as generic rules that are initiated to adjust releases in order for a reservoir to avoid dropping below a minimum storage threshold. </w:t>
      </w:r>
    </w:p>
    <w:p w14:paraId="6E2C217B" w14:textId="5909AE51" w:rsidR="0083004F" w:rsidRDefault="0083004F" w:rsidP="0083004F">
      <w:pPr>
        <w:rPr>
          <w:rFonts w:ascii="Times New Roman" w:hAnsi="Times New Roman" w:cs="Times New Roman"/>
        </w:rPr>
      </w:pPr>
      <w:r w:rsidRPr="00F14BAD">
        <w:rPr>
          <w:rFonts w:ascii="Times New Roman" w:hAnsi="Times New Roman" w:cs="Times New Roman"/>
        </w:rPr>
        <w:t xml:space="preserve">The </w:t>
      </w:r>
      <w:r>
        <w:rPr>
          <w:rFonts w:ascii="Times New Roman" w:hAnsi="Times New Roman" w:cs="Times New Roman"/>
        </w:rPr>
        <w:t xml:space="preserve">water supply allocation component </w:t>
      </w:r>
      <w:r w:rsidRPr="00F14BAD">
        <w:rPr>
          <w:rFonts w:ascii="Times New Roman" w:hAnsi="Times New Roman" w:cs="Times New Roman"/>
        </w:rPr>
        <w:t xml:space="preserve">includes </w:t>
      </w:r>
      <w:r>
        <w:rPr>
          <w:rFonts w:ascii="Times New Roman" w:hAnsi="Times New Roman" w:cs="Times New Roman"/>
        </w:rPr>
        <w:t>a dependency database</w:t>
      </w:r>
      <w:r w:rsidRPr="00F14BAD">
        <w:rPr>
          <w:rFonts w:ascii="Times New Roman" w:hAnsi="Times New Roman" w:cs="Times New Roman"/>
        </w:rPr>
        <w:t xml:space="preserve"> for associating </w:t>
      </w:r>
      <w:r>
        <w:rPr>
          <w:rFonts w:ascii="Times New Roman" w:hAnsi="Times New Roman" w:cs="Times New Roman"/>
        </w:rPr>
        <w:t xml:space="preserve">spatially distributed daily water demands with various reservoirs (implemented using a general rule based on topography and distance), as well as an allocation algorithm that associates individual grid cells’ water demand to reservoirs with the most storage capacity and operated for water supply. A series of reservoirs </w:t>
      </w:r>
      <w:r w:rsidR="001D64B3">
        <w:rPr>
          <w:rFonts w:ascii="Times New Roman" w:hAnsi="Times New Roman" w:cs="Times New Roman"/>
        </w:rPr>
        <w:t>is</w:t>
      </w:r>
      <w:r>
        <w:rPr>
          <w:rFonts w:ascii="Times New Roman" w:hAnsi="Times New Roman" w:cs="Times New Roman"/>
        </w:rPr>
        <w:t xml:space="preserve"> typically involved </w:t>
      </w:r>
      <w:r w:rsidR="000A0940">
        <w:rPr>
          <w:rFonts w:ascii="Times New Roman" w:hAnsi="Times New Roman" w:cs="Times New Roman"/>
        </w:rPr>
        <w:t xml:space="preserve">in </w:t>
      </w:r>
      <w:r>
        <w:rPr>
          <w:rFonts w:ascii="Times New Roman" w:hAnsi="Times New Roman" w:cs="Times New Roman"/>
        </w:rPr>
        <w:t xml:space="preserve">supply </w:t>
      </w:r>
      <w:r w:rsidR="001D64B3">
        <w:rPr>
          <w:rFonts w:ascii="Times New Roman" w:hAnsi="Times New Roman" w:cs="Times New Roman"/>
        </w:rPr>
        <w:t>management,</w:t>
      </w:r>
      <w:r>
        <w:rPr>
          <w:rFonts w:ascii="Times New Roman" w:hAnsi="Times New Roman" w:cs="Times New Roman"/>
        </w:rPr>
        <w:t xml:space="preserve"> and</w:t>
      </w:r>
      <w:r w:rsidR="001D64B3">
        <w:rPr>
          <w:rFonts w:ascii="Times New Roman" w:hAnsi="Times New Roman" w:cs="Times New Roman"/>
        </w:rPr>
        <w:t xml:space="preserve"> the demand f</w:t>
      </w:r>
      <w:r w:rsidR="00A400D4">
        <w:rPr>
          <w:rFonts w:ascii="Times New Roman" w:hAnsi="Times New Roman" w:cs="Times New Roman"/>
        </w:rPr>
        <w:t>ro</w:t>
      </w:r>
      <w:r w:rsidR="001D64B3">
        <w:rPr>
          <w:rFonts w:ascii="Times New Roman" w:hAnsi="Times New Roman" w:cs="Times New Roman"/>
        </w:rPr>
        <w:t>m i</w:t>
      </w:r>
      <w:r>
        <w:rPr>
          <w:rFonts w:ascii="Times New Roman" w:hAnsi="Times New Roman" w:cs="Times New Roman"/>
        </w:rPr>
        <w:t>ndividual grid cell</w:t>
      </w:r>
      <w:r w:rsidR="001D64B3">
        <w:rPr>
          <w:rFonts w:ascii="Times New Roman" w:hAnsi="Times New Roman" w:cs="Times New Roman"/>
        </w:rPr>
        <w:t>s</w:t>
      </w:r>
      <w:r>
        <w:rPr>
          <w:rFonts w:ascii="Times New Roman" w:hAnsi="Times New Roman" w:cs="Times New Roman"/>
        </w:rPr>
        <w:t xml:space="preserve"> thus influence</w:t>
      </w:r>
      <w:r w:rsidR="001D64B3">
        <w:rPr>
          <w:rFonts w:ascii="Times New Roman" w:hAnsi="Times New Roman" w:cs="Times New Roman"/>
        </w:rPr>
        <w:t>s</w:t>
      </w:r>
      <w:r>
        <w:rPr>
          <w:rFonts w:ascii="Times New Roman" w:hAnsi="Times New Roman" w:cs="Times New Roman"/>
        </w:rPr>
        <w:t xml:space="preserve"> the release</w:t>
      </w:r>
      <w:r w:rsidR="001D64B3">
        <w:rPr>
          <w:rFonts w:ascii="Times New Roman" w:hAnsi="Times New Roman" w:cs="Times New Roman"/>
        </w:rPr>
        <w:t>s</w:t>
      </w:r>
      <w:r>
        <w:rPr>
          <w:rFonts w:ascii="Times New Roman" w:hAnsi="Times New Roman" w:cs="Times New Roman"/>
        </w:rPr>
        <w:t xml:space="preserve"> from multiple reservoirs. The water supply (available withdrawal) from</w:t>
      </w:r>
      <w:r w:rsidR="00A400D4">
        <w:rPr>
          <w:rFonts w:ascii="Times New Roman" w:hAnsi="Times New Roman" w:cs="Times New Roman"/>
        </w:rPr>
        <w:t xml:space="preserve"> an</w:t>
      </w:r>
      <w:r>
        <w:rPr>
          <w:rFonts w:ascii="Times New Roman" w:hAnsi="Times New Roman" w:cs="Times New Roman"/>
        </w:rPr>
        <w:t xml:space="preserve"> individual reservoir’s </w:t>
      </w:r>
      <w:r>
        <w:rPr>
          <w:rFonts w:ascii="Times New Roman" w:hAnsi="Times New Roman" w:cs="Times New Roman"/>
        </w:rPr>
        <w:lastRenderedPageBreak/>
        <w:t>release is then further allocated daily, and is proportionally pro-rated through all dependent requesting grid cells when the cumulated water demand cannot be fully met. This conceptual approach differs from operational water management model</w:t>
      </w:r>
      <w:r w:rsidR="001D64B3">
        <w:rPr>
          <w:rFonts w:ascii="Times New Roman" w:hAnsi="Times New Roman" w:cs="Times New Roman"/>
        </w:rPr>
        <w:t>s</w:t>
      </w:r>
      <w:r>
        <w:rPr>
          <w:rFonts w:ascii="Times New Roman" w:hAnsi="Times New Roman" w:cs="Times New Roman"/>
        </w:rPr>
        <w:t xml:space="preserve"> with strict withdrawal locations, user priority rules, and complex operating rules</w:t>
      </w:r>
      <w:r w:rsidR="001D64B3">
        <w:rPr>
          <w:rFonts w:ascii="Times New Roman" w:hAnsi="Times New Roman" w:cs="Times New Roman"/>
        </w:rPr>
        <w:t>.</w:t>
      </w:r>
      <w:r>
        <w:rPr>
          <w:rFonts w:ascii="Times New Roman" w:hAnsi="Times New Roman" w:cs="Times New Roman"/>
        </w:rPr>
        <w:t xml:space="preserve"> </w:t>
      </w:r>
      <w:r w:rsidR="00E20E3C">
        <w:rPr>
          <w:rFonts w:ascii="Times New Roman" w:hAnsi="Times New Roman" w:cs="Times New Roman"/>
        </w:rPr>
        <w:t xml:space="preserve">The generalized approach reasonably captures </w:t>
      </w:r>
      <w:r>
        <w:rPr>
          <w:rFonts w:ascii="Times New Roman" w:hAnsi="Times New Roman" w:cs="Times New Roman"/>
        </w:rPr>
        <w:t>overall water scarcity</w:t>
      </w:r>
      <w:r w:rsidR="00E20E3C">
        <w:rPr>
          <w:rFonts w:ascii="Times New Roman" w:hAnsi="Times New Roman" w:cs="Times New Roman"/>
        </w:rPr>
        <w:t xml:space="preserve"> at large-scales</w:t>
      </w:r>
      <w:r>
        <w:rPr>
          <w:rFonts w:ascii="Times New Roman" w:hAnsi="Times New Roman" w:cs="Times New Roman"/>
        </w:rPr>
        <w:t xml:space="preserve"> associated with water demand and supply management. </w:t>
      </w:r>
    </w:p>
    <w:p w14:paraId="0A32F5AF" w14:textId="5ED02322" w:rsidR="009974E4" w:rsidRPr="0083004F" w:rsidRDefault="0083004F" w:rsidP="00A06B6E">
      <w:pPr>
        <w:rPr>
          <w:rFonts w:ascii="Times New Roman" w:hAnsi="Times New Roman" w:cs="Times New Roman"/>
        </w:rPr>
      </w:pPr>
      <w:r>
        <w:rPr>
          <w:rFonts w:ascii="Times New Roman" w:hAnsi="Times New Roman" w:cs="Times New Roman"/>
        </w:rPr>
        <w:t xml:space="preserve">A complete description of the MOSART-WM model, including detailed description of the generic reservoir operating rules, is provided in Voisin et al. (2013) and the CONUS set up is described in Hejazi et al. (2015). </w:t>
      </w:r>
    </w:p>
    <w:p w14:paraId="4D109673" w14:textId="724989A8" w:rsidR="00A06B6E" w:rsidRDefault="00A06B6E" w:rsidP="00A06B6E">
      <w:pPr>
        <w:rPr>
          <w:rFonts w:ascii="Times New Roman" w:hAnsi="Times New Roman" w:cs="Times New Roman"/>
          <w:b/>
          <w:bCs/>
        </w:rPr>
      </w:pPr>
      <w:r>
        <w:rPr>
          <w:rFonts w:ascii="Times New Roman" w:hAnsi="Times New Roman" w:cs="Times New Roman"/>
          <w:b/>
          <w:bCs/>
        </w:rPr>
        <w:t>Agent Memory Parameterization</w:t>
      </w:r>
    </w:p>
    <w:p w14:paraId="46FA5008" w14:textId="108D7578" w:rsidR="00A06B6E" w:rsidRPr="00A06B6E" w:rsidRDefault="00A06B6E" w:rsidP="00A06B6E">
      <w:pPr>
        <w:rPr>
          <w:rFonts w:ascii="Times New Roman" w:hAnsi="Times New Roman" w:cs="Times New Roman"/>
        </w:rPr>
      </w:pPr>
      <w:r>
        <w:rPr>
          <w:rFonts w:ascii="Times New Roman" w:hAnsi="Times New Roman" w:cs="Times New Roman"/>
        </w:rPr>
        <w:t xml:space="preserve">The agent memory parameter </w:t>
      </w:r>
      <w:r w:rsidR="008219AF">
        <w:rPr>
          <w:rFonts w:ascii="Times New Roman" w:hAnsi="Times New Roman" w:cs="Times New Roman"/>
        </w:rPr>
        <w:t xml:space="preserve">controls how agents weigh the relative importance of recent versus distant experience in their </w:t>
      </w:r>
      <w:r w:rsidR="00B01DB9">
        <w:rPr>
          <w:rFonts w:ascii="Times New Roman" w:hAnsi="Times New Roman" w:cs="Times New Roman"/>
        </w:rPr>
        <w:t xml:space="preserve">expectations of future water availability. </w:t>
      </w:r>
      <w:r w:rsidR="00806385">
        <w:rPr>
          <w:rFonts w:ascii="Times New Roman" w:hAnsi="Times New Roman" w:cs="Times New Roman"/>
        </w:rPr>
        <w:t>Based on the memory decay formulation, a</w:t>
      </w:r>
      <w:r w:rsidR="008C01E5">
        <w:rPr>
          <w:rFonts w:ascii="Times New Roman" w:hAnsi="Times New Roman" w:cs="Times New Roman"/>
        </w:rPr>
        <w:t xml:space="preserve"> chart indicating the relative weight </w:t>
      </w:r>
      <w:r w:rsidR="00806385">
        <w:rPr>
          <w:rFonts w:ascii="Times New Roman" w:hAnsi="Times New Roman" w:cs="Times New Roman"/>
        </w:rPr>
        <w:t xml:space="preserve">for preceding years on agents’ expectations of water availability </w:t>
      </w:r>
      <w:r w:rsidR="00845A60">
        <w:rPr>
          <w:rFonts w:ascii="Times New Roman" w:hAnsi="Times New Roman" w:cs="Times New Roman"/>
        </w:rPr>
        <w:t>is</w:t>
      </w:r>
      <w:r w:rsidR="00806385">
        <w:rPr>
          <w:rFonts w:ascii="Times New Roman" w:hAnsi="Times New Roman" w:cs="Times New Roman"/>
        </w:rPr>
        <w:t xml:space="preserve"> shown on Fig</w:t>
      </w:r>
      <w:r w:rsidR="00953B0C">
        <w:rPr>
          <w:rFonts w:ascii="Times New Roman" w:hAnsi="Times New Roman" w:cs="Times New Roman"/>
        </w:rPr>
        <w:t>ure</w:t>
      </w:r>
      <w:r w:rsidR="00806385">
        <w:rPr>
          <w:rFonts w:ascii="Times New Roman" w:hAnsi="Times New Roman" w:cs="Times New Roman"/>
        </w:rPr>
        <w:t xml:space="preserve"> S1.</w:t>
      </w:r>
    </w:p>
    <w:p w14:paraId="33ECCD01" w14:textId="77777777" w:rsidR="0029712B" w:rsidRDefault="0029712B" w:rsidP="0029712B">
      <w:r>
        <w:rPr>
          <w:noProof/>
        </w:rPr>
        <w:drawing>
          <wp:inline distT="0" distB="0" distL="0" distR="0" wp14:anchorId="687DECC6" wp14:editId="41F168A8">
            <wp:extent cx="5905500" cy="4152046"/>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
                      <a:extLst>
                        <a:ext uri="{28A0092B-C50C-407E-A947-70E740481C1C}">
                          <a14:useLocalDpi xmlns:a14="http://schemas.microsoft.com/office/drawing/2010/main" val="0"/>
                        </a:ext>
                      </a:extLst>
                    </a:blip>
                    <a:srcRect r="42788" b="49733"/>
                    <a:stretch/>
                  </pic:blipFill>
                  <pic:spPr bwMode="auto">
                    <a:xfrm>
                      <a:off x="0" y="0"/>
                      <a:ext cx="5913460" cy="4157643"/>
                    </a:xfrm>
                    <a:prstGeom prst="rect">
                      <a:avLst/>
                    </a:prstGeom>
                    <a:ln>
                      <a:noFill/>
                    </a:ln>
                    <a:extLst>
                      <a:ext uri="{53640926-AAD7-44D8-BBD7-CCE9431645EC}">
                        <a14:shadowObscured xmlns:a14="http://schemas.microsoft.com/office/drawing/2010/main"/>
                      </a:ext>
                    </a:extLst>
                  </pic:spPr>
                </pic:pic>
              </a:graphicData>
            </a:graphic>
          </wp:inline>
        </w:drawing>
      </w:r>
    </w:p>
    <w:p w14:paraId="1E817BFA" w14:textId="0BC0C2D4" w:rsidR="0029712B" w:rsidRDefault="0083004F" w:rsidP="0029712B">
      <w:pPr>
        <w:rPr>
          <w:rFonts w:ascii="Times New Roman" w:hAnsi="Times New Roman" w:cs="Times New Roman"/>
          <w:sz w:val="20"/>
          <w:szCs w:val="20"/>
        </w:rPr>
      </w:pPr>
      <w:r w:rsidRPr="0083004F">
        <w:rPr>
          <w:rFonts w:ascii="Times New Roman" w:hAnsi="Times New Roman" w:cs="Times New Roman"/>
          <w:b/>
          <w:bCs/>
          <w:sz w:val="20"/>
          <w:szCs w:val="20"/>
        </w:rPr>
        <w:t>Figure S1</w:t>
      </w:r>
      <w:r>
        <w:rPr>
          <w:rFonts w:ascii="Times New Roman" w:hAnsi="Times New Roman" w:cs="Times New Roman"/>
          <w:sz w:val="20"/>
          <w:szCs w:val="20"/>
        </w:rPr>
        <w:t xml:space="preserve"> - </w:t>
      </w:r>
      <w:r w:rsidR="0029712B">
        <w:rPr>
          <w:rFonts w:ascii="Times New Roman" w:hAnsi="Times New Roman" w:cs="Times New Roman"/>
          <w:sz w:val="20"/>
          <w:szCs w:val="20"/>
        </w:rPr>
        <w:t>The relative weight of previous years experience (with 0 being the most recent year of experience and 17 being the most distant) on influence farmer’s future expectation of water availability based on various values of agent’s memory decay factor, µ</w:t>
      </w:r>
    </w:p>
    <w:p w14:paraId="7CFEFAF4" w14:textId="71C828DB" w:rsidR="00071F86" w:rsidRDefault="00071F86" w:rsidP="0029712B">
      <w:pPr>
        <w:rPr>
          <w:rFonts w:ascii="Times New Roman" w:hAnsi="Times New Roman" w:cs="Times New Roman"/>
          <w:sz w:val="20"/>
          <w:szCs w:val="20"/>
        </w:rPr>
      </w:pPr>
    </w:p>
    <w:p w14:paraId="26D44D1A" w14:textId="77777777" w:rsidR="0016090A" w:rsidRDefault="0016090A" w:rsidP="0029712B">
      <w:pPr>
        <w:rPr>
          <w:rFonts w:ascii="Times New Roman" w:hAnsi="Times New Roman" w:cs="Times New Roman"/>
          <w:sz w:val="20"/>
          <w:szCs w:val="20"/>
        </w:rPr>
      </w:pPr>
    </w:p>
    <w:p w14:paraId="7D942213" w14:textId="77777777" w:rsidR="00F63BCB" w:rsidRDefault="00F63BCB" w:rsidP="0029712B">
      <w:pPr>
        <w:rPr>
          <w:rFonts w:ascii="Times New Roman" w:hAnsi="Times New Roman" w:cs="Times New Roman"/>
          <w:sz w:val="20"/>
          <w:szCs w:val="20"/>
        </w:rPr>
      </w:pPr>
    </w:p>
    <w:p w14:paraId="5CC262C0" w14:textId="466D80C6" w:rsidR="0044729E" w:rsidRDefault="0044729E" w:rsidP="0044729E">
      <w:pPr>
        <w:rPr>
          <w:rFonts w:ascii="Times New Roman" w:hAnsi="Times New Roman" w:cs="Times New Roman"/>
          <w:b/>
          <w:bCs/>
        </w:rPr>
      </w:pPr>
      <w:r>
        <w:rPr>
          <w:rFonts w:ascii="Times New Roman" w:hAnsi="Times New Roman" w:cs="Times New Roman"/>
          <w:b/>
          <w:bCs/>
        </w:rPr>
        <w:lastRenderedPageBreak/>
        <w:t>Additional</w:t>
      </w:r>
      <w:r w:rsidR="00A47B53">
        <w:rPr>
          <w:rFonts w:ascii="Times New Roman" w:hAnsi="Times New Roman" w:cs="Times New Roman"/>
          <w:b/>
          <w:bCs/>
        </w:rPr>
        <w:t xml:space="preserve"> Monthly</w:t>
      </w:r>
      <w:r>
        <w:rPr>
          <w:rFonts w:ascii="Times New Roman" w:hAnsi="Times New Roman" w:cs="Times New Roman"/>
          <w:b/>
          <w:bCs/>
        </w:rPr>
        <w:t xml:space="preserve"> Model Results</w:t>
      </w:r>
    </w:p>
    <w:p w14:paraId="1C16D1BC" w14:textId="399E9585" w:rsidR="00C76533" w:rsidRDefault="005D79FD" w:rsidP="0044729E">
      <w:pPr>
        <w:rPr>
          <w:rFonts w:ascii="Times New Roman" w:hAnsi="Times New Roman" w:cs="Times New Roman"/>
          <w:b/>
          <w:bCs/>
        </w:rPr>
      </w:pPr>
      <w:r>
        <w:rPr>
          <w:rFonts w:ascii="Times New Roman" w:hAnsi="Times New Roman" w:cs="Times New Roman"/>
        </w:rPr>
        <w:t>Monthly water shortage changes with adaptation are presented on Fig. S2, supplementing the annual results provided in the main manuscript text.</w:t>
      </w:r>
    </w:p>
    <w:p w14:paraId="3AFB9598" w14:textId="04C886DA" w:rsidR="00C76533" w:rsidRPr="0016090A" w:rsidRDefault="0044729E" w:rsidP="0044729E">
      <w:pPr>
        <w:rPr>
          <w:rFonts w:ascii="Times New Roman" w:hAnsi="Times New Roman" w:cs="Times New Roman"/>
          <w:b/>
          <w:bCs/>
        </w:rPr>
      </w:pPr>
      <w:r>
        <w:rPr>
          <w:rFonts w:ascii="Times New Roman" w:hAnsi="Times New Roman" w:cs="Times New Roman"/>
          <w:b/>
          <w:bCs/>
          <w:noProof/>
        </w:rPr>
        <w:drawing>
          <wp:inline distT="0" distB="0" distL="0" distR="0" wp14:anchorId="5211CF64" wp14:editId="25C1A13C">
            <wp:extent cx="5781675" cy="5469152"/>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rotWithShape="1">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r="16987" b="1843"/>
                    <a:stretch/>
                  </pic:blipFill>
                  <pic:spPr bwMode="auto">
                    <a:xfrm>
                      <a:off x="0" y="0"/>
                      <a:ext cx="5788393" cy="5475507"/>
                    </a:xfrm>
                    <a:prstGeom prst="rect">
                      <a:avLst/>
                    </a:prstGeom>
                    <a:ln>
                      <a:noFill/>
                    </a:ln>
                    <a:extLst>
                      <a:ext uri="{53640926-AAD7-44D8-BBD7-CCE9431645EC}">
                        <a14:shadowObscured xmlns:a14="http://schemas.microsoft.com/office/drawing/2010/main"/>
                      </a:ext>
                    </a:extLst>
                  </pic:spPr>
                </pic:pic>
              </a:graphicData>
            </a:graphic>
          </wp:inline>
        </w:drawing>
      </w:r>
      <w:r w:rsidR="00C76533" w:rsidRPr="0083004F">
        <w:rPr>
          <w:rFonts w:ascii="Times New Roman" w:hAnsi="Times New Roman" w:cs="Times New Roman"/>
          <w:b/>
          <w:bCs/>
          <w:sz w:val="20"/>
          <w:szCs w:val="20"/>
        </w:rPr>
        <w:t>Figure S</w:t>
      </w:r>
      <w:r w:rsidR="00C76533">
        <w:rPr>
          <w:rFonts w:ascii="Times New Roman" w:hAnsi="Times New Roman" w:cs="Times New Roman"/>
          <w:b/>
          <w:bCs/>
          <w:sz w:val="20"/>
          <w:szCs w:val="20"/>
        </w:rPr>
        <w:t>2</w:t>
      </w:r>
      <w:r w:rsidR="00C76533">
        <w:rPr>
          <w:rFonts w:ascii="Times New Roman" w:hAnsi="Times New Roman" w:cs="Times New Roman"/>
          <w:sz w:val="20"/>
          <w:szCs w:val="20"/>
        </w:rPr>
        <w:t xml:space="preserve"> </w:t>
      </w:r>
      <w:r w:rsidR="000A0095">
        <w:rPr>
          <w:rFonts w:ascii="Times New Roman" w:hAnsi="Times New Roman" w:cs="Times New Roman"/>
          <w:sz w:val="20"/>
          <w:szCs w:val="20"/>
        </w:rPr>
        <w:t>–</w:t>
      </w:r>
      <w:r w:rsidR="00C76533">
        <w:rPr>
          <w:rFonts w:ascii="Times New Roman" w:hAnsi="Times New Roman" w:cs="Times New Roman"/>
          <w:sz w:val="20"/>
          <w:szCs w:val="20"/>
        </w:rPr>
        <w:t xml:space="preserve"> </w:t>
      </w:r>
      <w:r w:rsidR="000A0095">
        <w:rPr>
          <w:rFonts w:ascii="Times New Roman" w:hAnsi="Times New Roman" w:cs="Times New Roman"/>
          <w:sz w:val="20"/>
          <w:szCs w:val="20"/>
        </w:rPr>
        <w:t>Monthly</w:t>
      </w:r>
      <w:r w:rsidR="00043304">
        <w:rPr>
          <w:rFonts w:ascii="Times New Roman" w:hAnsi="Times New Roman" w:cs="Times New Roman"/>
          <w:sz w:val="20"/>
          <w:szCs w:val="20"/>
        </w:rPr>
        <w:t xml:space="preserve"> water</w:t>
      </w:r>
      <w:r w:rsidR="000A0095">
        <w:rPr>
          <w:rFonts w:ascii="Times New Roman" w:hAnsi="Times New Roman" w:cs="Times New Roman"/>
          <w:sz w:val="20"/>
          <w:szCs w:val="20"/>
        </w:rPr>
        <w:t xml:space="preserve"> shortage change</w:t>
      </w:r>
      <w:r w:rsidR="00043304">
        <w:rPr>
          <w:rFonts w:ascii="Times New Roman" w:hAnsi="Times New Roman" w:cs="Times New Roman"/>
          <w:sz w:val="20"/>
          <w:szCs w:val="20"/>
        </w:rPr>
        <w:t xml:space="preserve"> (m</w:t>
      </w:r>
      <w:r w:rsidR="00043304" w:rsidRPr="003C0BDF">
        <w:rPr>
          <w:rFonts w:ascii="Times New Roman" w:hAnsi="Times New Roman" w:cs="Times New Roman"/>
          <w:sz w:val="20"/>
          <w:szCs w:val="20"/>
          <w:vertAlign w:val="superscript"/>
        </w:rPr>
        <w:t>3</w:t>
      </w:r>
      <w:r w:rsidR="00043304">
        <w:rPr>
          <w:rFonts w:ascii="Times New Roman" w:hAnsi="Times New Roman" w:cs="Times New Roman"/>
          <w:sz w:val="20"/>
          <w:szCs w:val="20"/>
        </w:rPr>
        <w:t>/s)</w:t>
      </w:r>
      <w:r w:rsidR="000A0095">
        <w:rPr>
          <w:rFonts w:ascii="Times New Roman" w:hAnsi="Times New Roman" w:cs="Times New Roman"/>
          <w:sz w:val="20"/>
          <w:szCs w:val="20"/>
        </w:rPr>
        <w:t xml:space="preserve"> </w:t>
      </w:r>
      <w:r w:rsidR="00043304">
        <w:rPr>
          <w:rFonts w:ascii="Times New Roman" w:hAnsi="Times New Roman" w:cs="Times New Roman"/>
          <w:sz w:val="20"/>
          <w:szCs w:val="20"/>
        </w:rPr>
        <w:t>with adaptation when comparing the adaptive to the baseline run</w:t>
      </w:r>
      <w:r w:rsidR="005D62C4">
        <w:rPr>
          <w:rFonts w:ascii="Times New Roman" w:hAnsi="Times New Roman" w:cs="Times New Roman"/>
          <w:sz w:val="20"/>
          <w:szCs w:val="20"/>
        </w:rPr>
        <w:t xml:space="preserve"> (i.e., monthly water shortage in the </w:t>
      </w:r>
      <w:r w:rsidR="009E34C9">
        <w:rPr>
          <w:rFonts w:ascii="Times New Roman" w:hAnsi="Times New Roman" w:cs="Times New Roman"/>
          <w:sz w:val="20"/>
          <w:szCs w:val="20"/>
        </w:rPr>
        <w:t>adaptive run subtracted by monthly water shortage in the baseline run), aggregated over six HUC 2 regions of interest.</w:t>
      </w:r>
      <w:r w:rsidR="00043304">
        <w:rPr>
          <w:rFonts w:ascii="Times New Roman" w:hAnsi="Times New Roman" w:cs="Times New Roman"/>
          <w:sz w:val="20"/>
          <w:szCs w:val="20"/>
        </w:rPr>
        <w:t xml:space="preserve">. Blue colors (negative values) </w:t>
      </w:r>
      <w:r w:rsidR="00F0565E">
        <w:rPr>
          <w:rFonts w:ascii="Times New Roman" w:hAnsi="Times New Roman" w:cs="Times New Roman"/>
          <w:sz w:val="20"/>
          <w:szCs w:val="20"/>
        </w:rPr>
        <w:t xml:space="preserve">indicate reduced shortages when </w:t>
      </w:r>
      <w:r w:rsidR="009E34C9">
        <w:rPr>
          <w:rFonts w:ascii="Times New Roman" w:hAnsi="Times New Roman" w:cs="Times New Roman"/>
          <w:sz w:val="20"/>
          <w:szCs w:val="20"/>
        </w:rPr>
        <w:t>accounting for</w:t>
      </w:r>
      <w:r w:rsidR="00F0565E">
        <w:rPr>
          <w:rFonts w:ascii="Times New Roman" w:hAnsi="Times New Roman" w:cs="Times New Roman"/>
          <w:sz w:val="20"/>
          <w:szCs w:val="20"/>
        </w:rPr>
        <w:t xml:space="preserve"> adaptation, while orange colors (positive values) indicate higher shortages when </w:t>
      </w:r>
      <w:r w:rsidR="009E34C9">
        <w:rPr>
          <w:rFonts w:ascii="Times New Roman" w:hAnsi="Times New Roman" w:cs="Times New Roman"/>
          <w:sz w:val="20"/>
          <w:szCs w:val="20"/>
        </w:rPr>
        <w:t>accounting for</w:t>
      </w:r>
      <w:r w:rsidR="00F0565E">
        <w:rPr>
          <w:rFonts w:ascii="Times New Roman" w:hAnsi="Times New Roman" w:cs="Times New Roman"/>
          <w:sz w:val="20"/>
          <w:szCs w:val="20"/>
        </w:rPr>
        <w:t xml:space="preserve"> adaptation. </w:t>
      </w:r>
      <w:r w:rsidR="008E66E5">
        <w:rPr>
          <w:rFonts w:ascii="Times New Roman" w:hAnsi="Times New Roman" w:cs="Times New Roman"/>
          <w:sz w:val="20"/>
          <w:szCs w:val="20"/>
        </w:rPr>
        <w:t xml:space="preserve">These results provide monthly detail on the annual results presented in </w:t>
      </w:r>
      <w:r w:rsidR="008E66E5" w:rsidRPr="003C0BDF">
        <w:rPr>
          <w:rFonts w:ascii="Times New Roman" w:hAnsi="Times New Roman" w:cs="Times New Roman"/>
          <w:b/>
          <w:bCs/>
          <w:sz w:val="20"/>
          <w:szCs w:val="20"/>
        </w:rPr>
        <w:t>Fig. 1</w:t>
      </w:r>
      <w:r w:rsidR="008E66E5">
        <w:rPr>
          <w:rFonts w:ascii="Times New Roman" w:hAnsi="Times New Roman" w:cs="Times New Roman"/>
          <w:sz w:val="20"/>
          <w:szCs w:val="20"/>
        </w:rPr>
        <w:t xml:space="preserve"> of the main manuscript.</w:t>
      </w:r>
    </w:p>
    <w:p w14:paraId="0752575B" w14:textId="5A8D8DD8" w:rsidR="00AB778F" w:rsidRDefault="00AB778F" w:rsidP="00071F86">
      <w:pPr>
        <w:rPr>
          <w:rFonts w:ascii="Times New Roman" w:hAnsi="Times New Roman" w:cs="Times New Roman"/>
          <w:b/>
          <w:bCs/>
        </w:rPr>
      </w:pPr>
    </w:p>
    <w:p w14:paraId="038781CC" w14:textId="1BEA16F0" w:rsidR="00591A58" w:rsidRDefault="00591A58" w:rsidP="00071F86">
      <w:pPr>
        <w:rPr>
          <w:rFonts w:ascii="Times New Roman" w:hAnsi="Times New Roman" w:cs="Times New Roman"/>
          <w:b/>
          <w:bCs/>
        </w:rPr>
      </w:pPr>
    </w:p>
    <w:p w14:paraId="7E7EC26F" w14:textId="77777777" w:rsidR="0016090A" w:rsidRDefault="0016090A" w:rsidP="00071F86">
      <w:pPr>
        <w:rPr>
          <w:rFonts w:ascii="Times New Roman" w:hAnsi="Times New Roman" w:cs="Times New Roman"/>
          <w:b/>
          <w:bCs/>
        </w:rPr>
      </w:pPr>
    </w:p>
    <w:p w14:paraId="2B44AB9C" w14:textId="77777777" w:rsidR="00AB778F" w:rsidRDefault="00AB778F" w:rsidP="00071F86">
      <w:pPr>
        <w:rPr>
          <w:rFonts w:ascii="Times New Roman" w:hAnsi="Times New Roman" w:cs="Times New Roman"/>
          <w:b/>
          <w:bCs/>
        </w:rPr>
      </w:pPr>
    </w:p>
    <w:p w14:paraId="7969A26A" w14:textId="755DD1C0" w:rsidR="00A63161" w:rsidRDefault="00071F86" w:rsidP="00071F86">
      <w:pPr>
        <w:rPr>
          <w:rFonts w:ascii="Times New Roman" w:hAnsi="Times New Roman" w:cs="Times New Roman"/>
          <w:b/>
          <w:bCs/>
        </w:rPr>
      </w:pPr>
      <w:r>
        <w:rPr>
          <w:rFonts w:ascii="Times New Roman" w:hAnsi="Times New Roman" w:cs="Times New Roman"/>
          <w:b/>
          <w:bCs/>
        </w:rPr>
        <w:lastRenderedPageBreak/>
        <w:t>References</w:t>
      </w:r>
    </w:p>
    <w:p w14:paraId="59B96481" w14:textId="2E89A07D" w:rsidR="006F1155" w:rsidRDefault="008B26F8" w:rsidP="006F1155">
      <w:pPr>
        <w:rPr>
          <w:rFonts w:ascii="Times New Roman" w:hAnsi="Times New Roman" w:cs="Times New Roman"/>
        </w:rPr>
      </w:pPr>
      <w:r w:rsidRPr="006213FE">
        <w:rPr>
          <w:rFonts w:ascii="Times New Roman" w:hAnsi="Times New Roman" w:cs="Times New Roman"/>
        </w:rPr>
        <w:t xml:space="preserve">USDA National Agricultural Statistics Service (2017). NASS - Quick Stats. USDA National Agricultural Statistics Service. </w:t>
      </w:r>
      <w:hyperlink r:id="rId7" w:history="1">
        <w:r w:rsidRPr="006213FE">
          <w:rPr>
            <w:rStyle w:val="Hyperlink"/>
            <w:rFonts w:ascii="Times New Roman" w:hAnsi="Times New Roman" w:cs="Times New Roman"/>
          </w:rPr>
          <w:t>https://data.nal.usda.gov/dataset/nass-quick-stats. Accessed 2022-07-01</w:t>
        </w:r>
      </w:hyperlink>
      <w:r w:rsidRPr="006213FE">
        <w:rPr>
          <w:rFonts w:ascii="Times New Roman" w:hAnsi="Times New Roman" w:cs="Times New Roman"/>
        </w:rPr>
        <w:t>.</w:t>
      </w:r>
      <w:r w:rsidR="006F1155" w:rsidRPr="006213FE">
        <w:rPr>
          <w:rFonts w:ascii="Times New Roman" w:hAnsi="Times New Roman" w:cs="Times New Roman"/>
        </w:rPr>
        <w:t>USDA Economic Research Service (2022). Commodity Costs and Returns. Economic Research Service, Department of Agriculture. https://data.nal.usda.gov/dataset/commodity-costs-and-returns. Accessed 2022-07-01</w:t>
      </w:r>
    </w:p>
    <w:p w14:paraId="31F994A8" w14:textId="547C1D88" w:rsidR="008B26F8" w:rsidRDefault="008B54A6" w:rsidP="0029712B">
      <w:pPr>
        <w:rPr>
          <w:rFonts w:ascii="Times New Roman" w:hAnsi="Times New Roman" w:cs="Times New Roman"/>
        </w:rPr>
      </w:pPr>
      <w:r w:rsidRPr="006213FE">
        <w:rPr>
          <w:rFonts w:ascii="Times New Roman" w:hAnsi="Times New Roman" w:cs="Times New Roman"/>
        </w:rPr>
        <w:t xml:space="preserve">Lehner, B., </w:t>
      </w:r>
      <w:proofErr w:type="spellStart"/>
      <w:r w:rsidRPr="006213FE">
        <w:rPr>
          <w:rFonts w:ascii="Times New Roman" w:hAnsi="Times New Roman" w:cs="Times New Roman"/>
        </w:rPr>
        <w:t>Liermann</w:t>
      </w:r>
      <w:proofErr w:type="spellEnd"/>
      <w:r w:rsidRPr="006213FE">
        <w:rPr>
          <w:rFonts w:ascii="Times New Roman" w:hAnsi="Times New Roman" w:cs="Times New Roman"/>
        </w:rPr>
        <w:t xml:space="preserve">, C.R., </w:t>
      </w:r>
      <w:proofErr w:type="spellStart"/>
      <w:r w:rsidRPr="006213FE">
        <w:rPr>
          <w:rFonts w:ascii="Times New Roman" w:hAnsi="Times New Roman" w:cs="Times New Roman"/>
        </w:rPr>
        <w:t>Revenga</w:t>
      </w:r>
      <w:proofErr w:type="spellEnd"/>
      <w:r w:rsidRPr="006213FE">
        <w:rPr>
          <w:rFonts w:ascii="Times New Roman" w:hAnsi="Times New Roman" w:cs="Times New Roman"/>
        </w:rPr>
        <w:t xml:space="preserve">, C., </w:t>
      </w:r>
      <w:proofErr w:type="spellStart"/>
      <w:r w:rsidRPr="006213FE">
        <w:rPr>
          <w:rFonts w:ascii="Times New Roman" w:hAnsi="Times New Roman" w:cs="Times New Roman"/>
        </w:rPr>
        <w:t>Vörösmarty</w:t>
      </w:r>
      <w:proofErr w:type="spellEnd"/>
      <w:r w:rsidRPr="006213FE">
        <w:rPr>
          <w:rFonts w:ascii="Times New Roman" w:hAnsi="Times New Roman" w:cs="Times New Roman"/>
        </w:rPr>
        <w:t xml:space="preserve">, C., Fekete, B., </w:t>
      </w:r>
      <w:proofErr w:type="spellStart"/>
      <w:r w:rsidRPr="006213FE">
        <w:rPr>
          <w:rFonts w:ascii="Times New Roman" w:hAnsi="Times New Roman" w:cs="Times New Roman"/>
        </w:rPr>
        <w:t>Crouzet</w:t>
      </w:r>
      <w:proofErr w:type="spellEnd"/>
      <w:r w:rsidRPr="006213FE">
        <w:rPr>
          <w:rFonts w:ascii="Times New Roman" w:hAnsi="Times New Roman" w:cs="Times New Roman"/>
        </w:rPr>
        <w:t xml:space="preserve">, P., </w:t>
      </w:r>
      <w:proofErr w:type="spellStart"/>
      <w:r w:rsidRPr="006213FE">
        <w:rPr>
          <w:rFonts w:ascii="Times New Roman" w:hAnsi="Times New Roman" w:cs="Times New Roman"/>
        </w:rPr>
        <w:t>Döll</w:t>
      </w:r>
      <w:proofErr w:type="spellEnd"/>
      <w:r w:rsidRPr="006213FE">
        <w:rPr>
          <w:rFonts w:ascii="Times New Roman" w:hAnsi="Times New Roman" w:cs="Times New Roman"/>
        </w:rPr>
        <w:t xml:space="preserve">, P., </w:t>
      </w:r>
      <w:proofErr w:type="spellStart"/>
      <w:r w:rsidRPr="006213FE">
        <w:rPr>
          <w:rFonts w:ascii="Times New Roman" w:hAnsi="Times New Roman" w:cs="Times New Roman"/>
        </w:rPr>
        <w:t>Endejan</w:t>
      </w:r>
      <w:proofErr w:type="spellEnd"/>
      <w:r w:rsidRPr="006213FE">
        <w:rPr>
          <w:rFonts w:ascii="Times New Roman" w:hAnsi="Times New Roman" w:cs="Times New Roman"/>
        </w:rPr>
        <w:t xml:space="preserve">, M., </w:t>
      </w:r>
      <w:proofErr w:type="spellStart"/>
      <w:r w:rsidRPr="006213FE">
        <w:rPr>
          <w:rFonts w:ascii="Times New Roman" w:hAnsi="Times New Roman" w:cs="Times New Roman"/>
        </w:rPr>
        <w:t>Frenken</w:t>
      </w:r>
      <w:proofErr w:type="spellEnd"/>
      <w:r w:rsidRPr="006213FE">
        <w:rPr>
          <w:rFonts w:ascii="Times New Roman" w:hAnsi="Times New Roman" w:cs="Times New Roman"/>
        </w:rPr>
        <w:t xml:space="preserve">, K., </w:t>
      </w:r>
      <w:proofErr w:type="spellStart"/>
      <w:r w:rsidRPr="006213FE">
        <w:rPr>
          <w:rFonts w:ascii="Times New Roman" w:hAnsi="Times New Roman" w:cs="Times New Roman"/>
        </w:rPr>
        <w:t>Magome</w:t>
      </w:r>
      <w:proofErr w:type="spellEnd"/>
      <w:r w:rsidRPr="006213FE">
        <w:rPr>
          <w:rFonts w:ascii="Times New Roman" w:hAnsi="Times New Roman" w:cs="Times New Roman"/>
        </w:rPr>
        <w:t>, J. and Nilsson, C., 2011. High‐resolution mapping of the world's reservoirs and dams for sustainable river‐flow management. Frontiers in Ecology and the Environment, 9(9), pp.494-502.</w:t>
      </w:r>
    </w:p>
    <w:p w14:paraId="061DF9C1" w14:textId="61CDDF3A" w:rsidR="00F4679A" w:rsidRPr="006213FE" w:rsidRDefault="00F4679A" w:rsidP="0029712B">
      <w:pPr>
        <w:rPr>
          <w:rFonts w:ascii="Times New Roman" w:hAnsi="Times New Roman" w:cs="Times New Roman"/>
        </w:rPr>
      </w:pPr>
      <w:r w:rsidRPr="006213FE">
        <w:rPr>
          <w:rFonts w:ascii="Times New Roman" w:hAnsi="Times New Roman" w:cs="Times New Roman"/>
        </w:rPr>
        <w:t xml:space="preserve">Biemans, H., </w:t>
      </w:r>
      <w:proofErr w:type="spellStart"/>
      <w:r w:rsidRPr="006213FE">
        <w:rPr>
          <w:rFonts w:ascii="Times New Roman" w:hAnsi="Times New Roman" w:cs="Times New Roman"/>
        </w:rPr>
        <w:t>Haddeland</w:t>
      </w:r>
      <w:proofErr w:type="spellEnd"/>
      <w:r w:rsidRPr="006213FE">
        <w:rPr>
          <w:rFonts w:ascii="Times New Roman" w:hAnsi="Times New Roman" w:cs="Times New Roman"/>
        </w:rPr>
        <w:t xml:space="preserve">, I., Kabat, P., Ludwig, F., </w:t>
      </w:r>
      <w:proofErr w:type="spellStart"/>
      <w:r w:rsidRPr="006213FE">
        <w:rPr>
          <w:rFonts w:ascii="Times New Roman" w:hAnsi="Times New Roman" w:cs="Times New Roman"/>
        </w:rPr>
        <w:t>Hutjes</w:t>
      </w:r>
      <w:proofErr w:type="spellEnd"/>
      <w:r w:rsidRPr="006213FE">
        <w:rPr>
          <w:rFonts w:ascii="Times New Roman" w:hAnsi="Times New Roman" w:cs="Times New Roman"/>
        </w:rPr>
        <w:t xml:space="preserve">, R. W. A., </w:t>
      </w:r>
      <w:proofErr w:type="spellStart"/>
      <w:r w:rsidRPr="006213FE">
        <w:rPr>
          <w:rFonts w:ascii="Times New Roman" w:hAnsi="Times New Roman" w:cs="Times New Roman"/>
        </w:rPr>
        <w:t>Heinke</w:t>
      </w:r>
      <w:proofErr w:type="spellEnd"/>
      <w:r w:rsidRPr="006213FE">
        <w:rPr>
          <w:rFonts w:ascii="Times New Roman" w:hAnsi="Times New Roman" w:cs="Times New Roman"/>
        </w:rPr>
        <w:t xml:space="preserve">, J., ... &amp; </w:t>
      </w:r>
      <w:proofErr w:type="spellStart"/>
      <w:r w:rsidRPr="006213FE">
        <w:rPr>
          <w:rFonts w:ascii="Times New Roman" w:hAnsi="Times New Roman" w:cs="Times New Roman"/>
        </w:rPr>
        <w:t>Gerten</w:t>
      </w:r>
      <w:proofErr w:type="spellEnd"/>
      <w:r w:rsidRPr="006213FE">
        <w:rPr>
          <w:rFonts w:ascii="Times New Roman" w:hAnsi="Times New Roman" w:cs="Times New Roman"/>
        </w:rPr>
        <w:t>, D. (2011). Impact of reservoirs on river discharge and irrigation water supply during the 20th century. Water Resources Research, 47(3).</w:t>
      </w:r>
    </w:p>
    <w:p w14:paraId="56FDF1F1" w14:textId="5BE94A4A" w:rsidR="006213FE" w:rsidRDefault="006213FE" w:rsidP="0029712B">
      <w:pPr>
        <w:rPr>
          <w:rFonts w:ascii="Times New Roman" w:hAnsi="Times New Roman" w:cs="Times New Roman"/>
        </w:rPr>
      </w:pPr>
      <w:proofErr w:type="spellStart"/>
      <w:r w:rsidRPr="006213FE">
        <w:rPr>
          <w:rFonts w:ascii="Times New Roman" w:hAnsi="Times New Roman" w:cs="Times New Roman"/>
        </w:rPr>
        <w:t>Hanasaki</w:t>
      </w:r>
      <w:proofErr w:type="spellEnd"/>
      <w:r w:rsidRPr="006213FE">
        <w:rPr>
          <w:rFonts w:ascii="Times New Roman" w:hAnsi="Times New Roman" w:cs="Times New Roman"/>
        </w:rPr>
        <w:t xml:space="preserve">, N., </w:t>
      </w:r>
      <w:proofErr w:type="spellStart"/>
      <w:r w:rsidRPr="006213FE">
        <w:rPr>
          <w:rFonts w:ascii="Times New Roman" w:hAnsi="Times New Roman" w:cs="Times New Roman"/>
        </w:rPr>
        <w:t>Kanae</w:t>
      </w:r>
      <w:proofErr w:type="spellEnd"/>
      <w:r w:rsidRPr="006213FE">
        <w:rPr>
          <w:rFonts w:ascii="Times New Roman" w:hAnsi="Times New Roman" w:cs="Times New Roman"/>
        </w:rPr>
        <w:t>, S. and Oki, T., 2006. A reservoir operation scheme for global river routing models. Journal of Hydrology, 327(1-2), pp.22-41</w:t>
      </w:r>
    </w:p>
    <w:p w14:paraId="1FD3D14D" w14:textId="453579B4" w:rsidR="00A47B53" w:rsidRDefault="00A47B53" w:rsidP="0029712B">
      <w:pPr>
        <w:rPr>
          <w:rFonts w:ascii="Times New Roman" w:hAnsi="Times New Roman" w:cs="Times New Roman"/>
        </w:rPr>
      </w:pPr>
      <w:r w:rsidRPr="00F03494">
        <w:rPr>
          <w:rFonts w:ascii="Times New Roman" w:hAnsi="Times New Roman" w:cs="Times New Roman"/>
        </w:rPr>
        <w:t>Voisin, N., Liu, L., Hejazi, M., Tesfa, T., Li, H., Huang, M., Liu, Y. and Leung, L.R., 2013. One-way coupling of an integrated assessment model and a water resources model: evaluation and implications of future changes over the US Midwest. Hydrology and Earth System Sciences, 17(11), pp.4555-4575.</w:t>
      </w:r>
    </w:p>
    <w:p w14:paraId="076FD468" w14:textId="700E2C9F" w:rsidR="00B0096E" w:rsidRPr="006213FE" w:rsidRDefault="00B0096E" w:rsidP="0029712B">
      <w:pPr>
        <w:rPr>
          <w:rFonts w:ascii="Times New Roman" w:hAnsi="Times New Roman" w:cs="Times New Roman"/>
        </w:rPr>
      </w:pPr>
      <w:r w:rsidRPr="00B0096E">
        <w:rPr>
          <w:rFonts w:ascii="Times New Roman" w:hAnsi="Times New Roman" w:cs="Times New Roman"/>
        </w:rPr>
        <w:t xml:space="preserve">Hejazi, M.I., Voisin, N., Liu, L., </w:t>
      </w:r>
      <w:proofErr w:type="spellStart"/>
      <w:r w:rsidRPr="00B0096E">
        <w:rPr>
          <w:rFonts w:ascii="Times New Roman" w:hAnsi="Times New Roman" w:cs="Times New Roman"/>
        </w:rPr>
        <w:t>Bramer</w:t>
      </w:r>
      <w:proofErr w:type="spellEnd"/>
      <w:r w:rsidRPr="00B0096E">
        <w:rPr>
          <w:rFonts w:ascii="Times New Roman" w:hAnsi="Times New Roman" w:cs="Times New Roman"/>
        </w:rPr>
        <w:t>, L.M., Fortin, D.C., Hathaway, J.E., Huang, M., Kyle, P., Leung, L.R., Li, H.Y. and Liu, Y., 2015. 21st century United States emissions mitigation could increase water stress more than the climate change it is mitigating. Proceedings of the National Academy of Sciences, 112(34), pp.10635-10640.</w:t>
      </w:r>
    </w:p>
    <w:p w14:paraId="4998D446" w14:textId="77777777" w:rsidR="0029712B" w:rsidRPr="00F14BAD" w:rsidRDefault="0029712B">
      <w:pPr>
        <w:rPr>
          <w:rFonts w:ascii="Times New Roman" w:hAnsi="Times New Roman" w:cs="Times New Roman"/>
        </w:rPr>
      </w:pPr>
    </w:p>
    <w:p w14:paraId="5EDD7D8F" w14:textId="548BF85E" w:rsidR="00FE218F" w:rsidRPr="00F601FB" w:rsidRDefault="00FE218F">
      <w:pPr>
        <w:rPr>
          <w:rFonts w:ascii="Times New Roman" w:hAnsi="Times New Roman" w:cs="Times New Roman"/>
        </w:rPr>
      </w:pPr>
    </w:p>
    <w:sectPr w:rsidR="00FE218F" w:rsidRPr="00F601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D3A"/>
    <w:rsid w:val="0000732E"/>
    <w:rsid w:val="00020AC1"/>
    <w:rsid w:val="000259C2"/>
    <w:rsid w:val="00035BF3"/>
    <w:rsid w:val="00043304"/>
    <w:rsid w:val="00071F86"/>
    <w:rsid w:val="00087FE8"/>
    <w:rsid w:val="000A0095"/>
    <w:rsid w:val="000A0940"/>
    <w:rsid w:val="000A0E52"/>
    <w:rsid w:val="000A1A0B"/>
    <w:rsid w:val="000B41DF"/>
    <w:rsid w:val="000B7C98"/>
    <w:rsid w:val="000B7D0C"/>
    <w:rsid w:val="000D0DC0"/>
    <w:rsid w:val="000D4906"/>
    <w:rsid w:val="000E5148"/>
    <w:rsid w:val="000F2E89"/>
    <w:rsid w:val="00102591"/>
    <w:rsid w:val="00114A5A"/>
    <w:rsid w:val="00127EF4"/>
    <w:rsid w:val="00130120"/>
    <w:rsid w:val="001519A1"/>
    <w:rsid w:val="00152C6C"/>
    <w:rsid w:val="0016090A"/>
    <w:rsid w:val="001609A9"/>
    <w:rsid w:val="00161C96"/>
    <w:rsid w:val="00162005"/>
    <w:rsid w:val="001637E7"/>
    <w:rsid w:val="00170BF8"/>
    <w:rsid w:val="001744AF"/>
    <w:rsid w:val="00185042"/>
    <w:rsid w:val="001A3386"/>
    <w:rsid w:val="001A60BE"/>
    <w:rsid w:val="001B082F"/>
    <w:rsid w:val="001B137F"/>
    <w:rsid w:val="001C37B5"/>
    <w:rsid w:val="001D003F"/>
    <w:rsid w:val="001D64B3"/>
    <w:rsid w:val="00220887"/>
    <w:rsid w:val="00223F3B"/>
    <w:rsid w:val="00235040"/>
    <w:rsid w:val="00240E20"/>
    <w:rsid w:val="00243652"/>
    <w:rsid w:val="00246262"/>
    <w:rsid w:val="002510A4"/>
    <w:rsid w:val="0029712B"/>
    <w:rsid w:val="002A21A8"/>
    <w:rsid w:val="002C11F0"/>
    <w:rsid w:val="002C1768"/>
    <w:rsid w:val="002E31B0"/>
    <w:rsid w:val="002F4F11"/>
    <w:rsid w:val="002F5128"/>
    <w:rsid w:val="002F5C59"/>
    <w:rsid w:val="003048D0"/>
    <w:rsid w:val="003111D0"/>
    <w:rsid w:val="00325FB4"/>
    <w:rsid w:val="00333A5F"/>
    <w:rsid w:val="0034370F"/>
    <w:rsid w:val="00356EAC"/>
    <w:rsid w:val="00366204"/>
    <w:rsid w:val="0037206D"/>
    <w:rsid w:val="003A1338"/>
    <w:rsid w:val="003A6061"/>
    <w:rsid w:val="003C0BDF"/>
    <w:rsid w:val="003F3677"/>
    <w:rsid w:val="00400A72"/>
    <w:rsid w:val="00401B6D"/>
    <w:rsid w:val="004179AB"/>
    <w:rsid w:val="00430D04"/>
    <w:rsid w:val="00445045"/>
    <w:rsid w:val="0044729E"/>
    <w:rsid w:val="00451292"/>
    <w:rsid w:val="00481DA2"/>
    <w:rsid w:val="00483B6D"/>
    <w:rsid w:val="00485EC1"/>
    <w:rsid w:val="004909FB"/>
    <w:rsid w:val="004B12B5"/>
    <w:rsid w:val="004D60F0"/>
    <w:rsid w:val="004D6133"/>
    <w:rsid w:val="004E1CC4"/>
    <w:rsid w:val="004E2059"/>
    <w:rsid w:val="004E4CEA"/>
    <w:rsid w:val="004F5083"/>
    <w:rsid w:val="00514DBE"/>
    <w:rsid w:val="005160DE"/>
    <w:rsid w:val="00531189"/>
    <w:rsid w:val="0053659F"/>
    <w:rsid w:val="0053761E"/>
    <w:rsid w:val="00550605"/>
    <w:rsid w:val="00580AB2"/>
    <w:rsid w:val="00580B4E"/>
    <w:rsid w:val="005860FA"/>
    <w:rsid w:val="00591A58"/>
    <w:rsid w:val="005B3F04"/>
    <w:rsid w:val="005D0F83"/>
    <w:rsid w:val="005D4640"/>
    <w:rsid w:val="005D62C4"/>
    <w:rsid w:val="005D79FD"/>
    <w:rsid w:val="006213FE"/>
    <w:rsid w:val="00651407"/>
    <w:rsid w:val="00656581"/>
    <w:rsid w:val="00665A78"/>
    <w:rsid w:val="00670825"/>
    <w:rsid w:val="00690173"/>
    <w:rsid w:val="006B0626"/>
    <w:rsid w:val="006B0B5B"/>
    <w:rsid w:val="006C0F73"/>
    <w:rsid w:val="006C24AB"/>
    <w:rsid w:val="006C41DD"/>
    <w:rsid w:val="006D27A3"/>
    <w:rsid w:val="006D6D3A"/>
    <w:rsid w:val="006E7CA1"/>
    <w:rsid w:val="006F1155"/>
    <w:rsid w:val="006F2CFF"/>
    <w:rsid w:val="006F310B"/>
    <w:rsid w:val="006F4300"/>
    <w:rsid w:val="006F4866"/>
    <w:rsid w:val="00703D21"/>
    <w:rsid w:val="00704ECB"/>
    <w:rsid w:val="00706F2C"/>
    <w:rsid w:val="00712F35"/>
    <w:rsid w:val="0073079D"/>
    <w:rsid w:val="00745442"/>
    <w:rsid w:val="00746070"/>
    <w:rsid w:val="007A0692"/>
    <w:rsid w:val="007A56EF"/>
    <w:rsid w:val="007C1B5D"/>
    <w:rsid w:val="007D7664"/>
    <w:rsid w:val="007E1F30"/>
    <w:rsid w:val="0080016D"/>
    <w:rsid w:val="00806385"/>
    <w:rsid w:val="008219AF"/>
    <w:rsid w:val="0082350C"/>
    <w:rsid w:val="0083004F"/>
    <w:rsid w:val="00832BA1"/>
    <w:rsid w:val="00845A60"/>
    <w:rsid w:val="00850305"/>
    <w:rsid w:val="0086236C"/>
    <w:rsid w:val="00886D23"/>
    <w:rsid w:val="00896D5B"/>
    <w:rsid w:val="00897EB0"/>
    <w:rsid w:val="008A3684"/>
    <w:rsid w:val="008A4B69"/>
    <w:rsid w:val="008A69E6"/>
    <w:rsid w:val="008A7A28"/>
    <w:rsid w:val="008A7B8D"/>
    <w:rsid w:val="008B26F8"/>
    <w:rsid w:val="008B54A6"/>
    <w:rsid w:val="008C01E5"/>
    <w:rsid w:val="008C3300"/>
    <w:rsid w:val="008C6E85"/>
    <w:rsid w:val="008D5DA6"/>
    <w:rsid w:val="008E1F5D"/>
    <w:rsid w:val="008E66E5"/>
    <w:rsid w:val="0091559C"/>
    <w:rsid w:val="00916847"/>
    <w:rsid w:val="00940257"/>
    <w:rsid w:val="00944904"/>
    <w:rsid w:val="0094598F"/>
    <w:rsid w:val="00953B0C"/>
    <w:rsid w:val="009655CD"/>
    <w:rsid w:val="00967B2F"/>
    <w:rsid w:val="009834CE"/>
    <w:rsid w:val="00985054"/>
    <w:rsid w:val="009974E4"/>
    <w:rsid w:val="009B3D57"/>
    <w:rsid w:val="009E1454"/>
    <w:rsid w:val="009E34C9"/>
    <w:rsid w:val="009E7D6C"/>
    <w:rsid w:val="009F27CA"/>
    <w:rsid w:val="009F4B53"/>
    <w:rsid w:val="00A06B6E"/>
    <w:rsid w:val="00A073B1"/>
    <w:rsid w:val="00A27991"/>
    <w:rsid w:val="00A319FD"/>
    <w:rsid w:val="00A400D4"/>
    <w:rsid w:val="00A47B53"/>
    <w:rsid w:val="00A56856"/>
    <w:rsid w:val="00A63161"/>
    <w:rsid w:val="00A66A5F"/>
    <w:rsid w:val="00A70A9F"/>
    <w:rsid w:val="00A94E4D"/>
    <w:rsid w:val="00A96985"/>
    <w:rsid w:val="00A97D08"/>
    <w:rsid w:val="00AB5DE5"/>
    <w:rsid w:val="00AB778F"/>
    <w:rsid w:val="00AC28A2"/>
    <w:rsid w:val="00AE193C"/>
    <w:rsid w:val="00AE65F5"/>
    <w:rsid w:val="00B0096E"/>
    <w:rsid w:val="00B01DB9"/>
    <w:rsid w:val="00B04839"/>
    <w:rsid w:val="00B11BAF"/>
    <w:rsid w:val="00B13D5C"/>
    <w:rsid w:val="00B153A9"/>
    <w:rsid w:val="00B24E44"/>
    <w:rsid w:val="00B32007"/>
    <w:rsid w:val="00B3399D"/>
    <w:rsid w:val="00B34BB4"/>
    <w:rsid w:val="00B37BD6"/>
    <w:rsid w:val="00B53CBD"/>
    <w:rsid w:val="00B5573C"/>
    <w:rsid w:val="00B60197"/>
    <w:rsid w:val="00B619F9"/>
    <w:rsid w:val="00B62F54"/>
    <w:rsid w:val="00B63982"/>
    <w:rsid w:val="00B750F7"/>
    <w:rsid w:val="00B8108C"/>
    <w:rsid w:val="00B91DB1"/>
    <w:rsid w:val="00B93927"/>
    <w:rsid w:val="00BC3B52"/>
    <w:rsid w:val="00BC3E7F"/>
    <w:rsid w:val="00BE52BD"/>
    <w:rsid w:val="00BF6493"/>
    <w:rsid w:val="00C040CB"/>
    <w:rsid w:val="00C17889"/>
    <w:rsid w:val="00C276B3"/>
    <w:rsid w:val="00C340B4"/>
    <w:rsid w:val="00C36528"/>
    <w:rsid w:val="00C46011"/>
    <w:rsid w:val="00C47BBE"/>
    <w:rsid w:val="00C51A70"/>
    <w:rsid w:val="00C558C0"/>
    <w:rsid w:val="00C744BF"/>
    <w:rsid w:val="00C7499F"/>
    <w:rsid w:val="00C76533"/>
    <w:rsid w:val="00C81BDA"/>
    <w:rsid w:val="00C835B6"/>
    <w:rsid w:val="00CA0C6D"/>
    <w:rsid w:val="00CA5154"/>
    <w:rsid w:val="00CB7480"/>
    <w:rsid w:val="00CF1CFE"/>
    <w:rsid w:val="00D177F4"/>
    <w:rsid w:val="00D45981"/>
    <w:rsid w:val="00D56BBD"/>
    <w:rsid w:val="00D5701D"/>
    <w:rsid w:val="00D82B95"/>
    <w:rsid w:val="00D91093"/>
    <w:rsid w:val="00D93F83"/>
    <w:rsid w:val="00DA40BA"/>
    <w:rsid w:val="00DC2B37"/>
    <w:rsid w:val="00DD34F0"/>
    <w:rsid w:val="00DE18C1"/>
    <w:rsid w:val="00DE289E"/>
    <w:rsid w:val="00DE59A5"/>
    <w:rsid w:val="00DF69A3"/>
    <w:rsid w:val="00E11E74"/>
    <w:rsid w:val="00E20E3C"/>
    <w:rsid w:val="00E32A4A"/>
    <w:rsid w:val="00E61061"/>
    <w:rsid w:val="00E63809"/>
    <w:rsid w:val="00EA554A"/>
    <w:rsid w:val="00EC0C7C"/>
    <w:rsid w:val="00EC43C6"/>
    <w:rsid w:val="00EC682A"/>
    <w:rsid w:val="00EE74AB"/>
    <w:rsid w:val="00EF7D65"/>
    <w:rsid w:val="00F03494"/>
    <w:rsid w:val="00F0565E"/>
    <w:rsid w:val="00F12E4B"/>
    <w:rsid w:val="00F14BAD"/>
    <w:rsid w:val="00F158B9"/>
    <w:rsid w:val="00F267BE"/>
    <w:rsid w:val="00F30084"/>
    <w:rsid w:val="00F35894"/>
    <w:rsid w:val="00F377A1"/>
    <w:rsid w:val="00F37890"/>
    <w:rsid w:val="00F379BA"/>
    <w:rsid w:val="00F4679A"/>
    <w:rsid w:val="00F601FB"/>
    <w:rsid w:val="00F63BCB"/>
    <w:rsid w:val="00F64D5A"/>
    <w:rsid w:val="00F66220"/>
    <w:rsid w:val="00F701A3"/>
    <w:rsid w:val="00F826BA"/>
    <w:rsid w:val="00F834B8"/>
    <w:rsid w:val="00F9484C"/>
    <w:rsid w:val="00FB0CA9"/>
    <w:rsid w:val="00FB1506"/>
    <w:rsid w:val="00FC5469"/>
    <w:rsid w:val="00FE218F"/>
    <w:rsid w:val="00FE2D9C"/>
    <w:rsid w:val="00FE3AE9"/>
    <w:rsid w:val="00FE5FFC"/>
    <w:rsid w:val="00FF5A44"/>
    <w:rsid w:val="00FF6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90A67"/>
  <w15:chartTrackingRefBased/>
  <w15:docId w15:val="{D745977A-48E7-4A91-8235-8283E934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D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1DA2"/>
    <w:rPr>
      <w:color w:val="0563C1" w:themeColor="hyperlink"/>
      <w:u w:val="single"/>
    </w:rPr>
  </w:style>
  <w:style w:type="character" w:styleId="UnresolvedMention">
    <w:name w:val="Unresolved Mention"/>
    <w:basedOn w:val="DefaultParagraphFont"/>
    <w:uiPriority w:val="99"/>
    <w:semiHidden/>
    <w:unhideWhenUsed/>
    <w:rsid w:val="00481DA2"/>
    <w:rPr>
      <w:color w:val="605E5C"/>
      <w:shd w:val="clear" w:color="auto" w:fill="E1DFDD"/>
    </w:rPr>
  </w:style>
  <w:style w:type="paragraph" w:styleId="Revision">
    <w:name w:val="Revision"/>
    <w:hidden/>
    <w:uiPriority w:val="99"/>
    <w:semiHidden/>
    <w:rsid w:val="00D910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03151">
      <w:bodyDiv w:val="1"/>
      <w:marLeft w:val="0"/>
      <w:marRight w:val="0"/>
      <w:marTop w:val="0"/>
      <w:marBottom w:val="0"/>
      <w:divBdr>
        <w:top w:val="none" w:sz="0" w:space="0" w:color="auto"/>
        <w:left w:val="none" w:sz="0" w:space="0" w:color="auto"/>
        <w:bottom w:val="none" w:sz="0" w:space="0" w:color="auto"/>
        <w:right w:val="none" w:sz="0" w:space="0" w:color="auto"/>
      </w:divBdr>
    </w:div>
    <w:div w:id="891693358">
      <w:bodyDiv w:val="1"/>
      <w:marLeft w:val="0"/>
      <w:marRight w:val="0"/>
      <w:marTop w:val="0"/>
      <w:marBottom w:val="0"/>
      <w:divBdr>
        <w:top w:val="none" w:sz="0" w:space="0" w:color="auto"/>
        <w:left w:val="none" w:sz="0" w:space="0" w:color="auto"/>
        <w:bottom w:val="none" w:sz="0" w:space="0" w:color="auto"/>
        <w:right w:val="none" w:sz="0" w:space="0" w:color="auto"/>
      </w:divBdr>
    </w:div>
    <w:div w:id="169472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ata.nal.usda.gov/dataset/nass-quick-stats.%20Accessed%202022-07-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2748</Words>
  <Characters>15668</Characters>
  <Application>Microsoft Office Word</Application>
  <DocSecurity>0</DocSecurity>
  <Lines>130</Lines>
  <Paragraphs>36</Paragraphs>
  <ScaleCrop>false</ScaleCrop>
  <Company/>
  <LinksUpToDate>false</LinksUpToDate>
  <CharactersWithSpaces>18380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Yoon, James (Jim)</dc:creator>
  <cp:keywords/>
  <dc:description/>
  <cp:lastModifiedBy>Yoon, James (Jim)</cp:lastModifiedBy>
  <cp:revision>20</cp:revision>
  <dcterms:created xsi:type="dcterms:W3CDTF">2023-03-21T04:02:00Z</dcterms:created>
  <dcterms:modified xsi:type="dcterms:W3CDTF">2023-04-05T22:02:00Z</dcterms:modified>
</cp:coreProperties>
</file>