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238" w:lineRule="auto"/>
        <w:jc w:val="both"/>
        <w:textAlignment w:val="baseline"/>
        <w:rPr>
          <w:rFonts w:hint="eastAsia" w:ascii="Times New Roman" w:hAnsi="Times New Roman" w:eastAsia="Times New Roman" w:cs="Times New Roman"/>
          <w:snapToGrid w:val="0"/>
          <w:color w:val="000000"/>
          <w:kern w:val="0"/>
          <w:sz w:val="17"/>
          <w:szCs w:val="15"/>
          <w:lang/>
        </w:rPr>
      </w:pPr>
      <w:r>
        <w:rPr>
          <w:rFonts w:hint="eastAsia" w:ascii="Times New Roman" w:hAnsi="Times New Roman" w:eastAsia="Times New Roman" w:cs="Times New Roman"/>
          <w:b/>
          <w:bCs/>
          <w:snapToGrid w:val="0"/>
          <w:color w:val="000000"/>
          <w:kern w:val="0"/>
          <w:sz w:val="17"/>
          <w:szCs w:val="15"/>
          <w:lang/>
        </w:rPr>
        <w:t>Table 1.</w:t>
      </w:r>
      <w:r>
        <w:rPr>
          <w:rFonts w:hint="eastAsia" w:ascii="Times New Roman" w:hAnsi="Times New Roman" w:eastAsia="Times New Roman" w:cs="Times New Roman"/>
          <w:snapToGrid w:val="0"/>
          <w:color w:val="000000"/>
          <w:kern w:val="0"/>
          <w:sz w:val="17"/>
          <w:szCs w:val="15"/>
          <w:lang/>
        </w:rPr>
        <w:t xml:space="preserve"> The primary data of venn analysis and enrichment analysis. </w:t>
      </w:r>
    </w:p>
    <w:tbl>
      <w:tblPr>
        <w:tblStyle w:val="2"/>
        <w:tblW w:w="5000" w:type="pct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7"/>
        <w:gridCol w:w="1220"/>
        <w:gridCol w:w="508"/>
        <w:gridCol w:w="1397"/>
        <w:gridCol w:w="1835"/>
        <w:gridCol w:w="627"/>
        <w:gridCol w:w="543"/>
        <w:gridCol w:w="566"/>
        <w:gridCol w:w="612"/>
        <w:gridCol w:w="537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31" w:type="pct"/>
            <w:tcBorders>
              <w:bottom w:val="single" w:color="auto" w:sz="6" w:space="0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GS</w:t>
            </w:r>
          </w:p>
        </w:tc>
        <w:tc>
          <w:tcPr>
            <w:tcW w:w="725" w:type="pct"/>
            <w:tcBorders>
              <w:bottom w:val="single" w:color="auto" w:sz="6" w:space="0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Item (GN)</w:t>
            </w:r>
          </w:p>
        </w:tc>
        <w:tc>
          <w:tcPr>
            <w:tcW w:w="302" w:type="pct"/>
            <w:tcBorders>
              <w:bottom w:val="single" w:color="auto" w:sz="6" w:space="0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GS</w:t>
            </w:r>
          </w:p>
        </w:tc>
        <w:tc>
          <w:tcPr>
            <w:tcW w:w="830" w:type="pct"/>
            <w:tcBorders>
              <w:bottom w:val="single" w:color="auto" w:sz="6" w:space="0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Item (GN)</w:t>
            </w:r>
          </w:p>
        </w:tc>
        <w:tc>
          <w:tcPr>
            <w:tcW w:w="1091" w:type="pct"/>
            <w:tcBorders>
              <w:bottom w:val="single" w:color="auto" w:sz="6" w:space="0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GN in intersection</w:t>
            </w:r>
          </w:p>
        </w:tc>
        <w:tc>
          <w:tcPr>
            <w:tcW w:w="373" w:type="pct"/>
            <w:tcBorders>
              <w:bottom w:val="single" w:color="auto" w:sz="6" w:space="0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BP</w:t>
            </w:r>
          </w:p>
        </w:tc>
        <w:tc>
          <w:tcPr>
            <w:tcW w:w="323" w:type="pct"/>
            <w:tcBorders>
              <w:bottom w:val="single" w:color="auto" w:sz="6" w:space="0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CC</w:t>
            </w:r>
          </w:p>
        </w:tc>
        <w:tc>
          <w:tcPr>
            <w:tcW w:w="337" w:type="pct"/>
            <w:tcBorders>
              <w:bottom w:val="single" w:color="auto" w:sz="6" w:space="0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MF</w:t>
            </w:r>
          </w:p>
        </w:tc>
        <w:tc>
          <w:tcPr>
            <w:tcW w:w="364" w:type="pct"/>
            <w:tcBorders>
              <w:bottom w:val="single" w:color="auto" w:sz="6" w:space="0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KP</w:t>
            </w:r>
          </w:p>
        </w:tc>
        <w:tc>
          <w:tcPr>
            <w:tcW w:w="319" w:type="pct"/>
            <w:tcBorders>
              <w:bottom w:val="single" w:color="auto" w:sz="6" w:space="0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RP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31" w:type="pct"/>
            <w:tcBorders>
              <w:top w:val="single" w:color="auto" w:sz="6" w:space="0"/>
              <w:tl2br w:val="nil"/>
              <w:tr2bl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1</w:t>
            </w:r>
          </w:p>
        </w:tc>
        <w:tc>
          <w:tcPr>
            <w:tcW w:w="725" w:type="pct"/>
            <w:tcBorders>
              <w:top w:val="single" w:color="auto" w:sz="6" w:space="0"/>
              <w:tl2br w:val="nil"/>
              <w:tr2bl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COVID-19 (629)</w:t>
            </w:r>
          </w:p>
        </w:tc>
        <w:tc>
          <w:tcPr>
            <w:tcW w:w="302" w:type="pct"/>
            <w:tcBorders>
              <w:top w:val="single" w:color="auto" w:sz="6" w:space="0"/>
              <w:tl2br w:val="nil"/>
              <w:tr2bl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2</w:t>
            </w:r>
          </w:p>
        </w:tc>
        <w:tc>
          <w:tcPr>
            <w:tcW w:w="830" w:type="pct"/>
            <w:tcBorders>
              <w:top w:val="single" w:color="auto" w:sz="6" w:space="0"/>
              <w:tl2br w:val="nil"/>
              <w:tr2bl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CUR (227)</w:t>
            </w:r>
          </w:p>
        </w:tc>
        <w:tc>
          <w:tcPr>
            <w:tcW w:w="1091" w:type="pct"/>
            <w:tcBorders>
              <w:top w:val="single" w:color="auto" w:sz="6" w:space="0"/>
              <w:tl2br w:val="nil"/>
              <w:tr2bl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47</w:t>
            </w:r>
          </w:p>
        </w:tc>
        <w:tc>
          <w:tcPr>
            <w:tcW w:w="373" w:type="pct"/>
            <w:tcBorders>
              <w:top w:val="single" w:color="auto" w:sz="6" w:space="0"/>
              <w:tl2br w:val="nil"/>
              <w:tr2bl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205</w:t>
            </w:r>
          </w:p>
        </w:tc>
        <w:tc>
          <w:tcPr>
            <w:tcW w:w="323" w:type="pct"/>
            <w:tcBorders>
              <w:top w:val="single" w:color="auto" w:sz="6" w:space="0"/>
              <w:tl2br w:val="nil"/>
              <w:tr2bl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24</w:t>
            </w:r>
          </w:p>
        </w:tc>
        <w:tc>
          <w:tcPr>
            <w:tcW w:w="337" w:type="pct"/>
            <w:tcBorders>
              <w:top w:val="single" w:color="auto" w:sz="6" w:space="0"/>
              <w:tl2br w:val="nil"/>
              <w:tr2bl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30</w:t>
            </w:r>
          </w:p>
        </w:tc>
        <w:tc>
          <w:tcPr>
            <w:tcW w:w="364" w:type="pct"/>
            <w:tcBorders>
              <w:top w:val="single" w:color="auto" w:sz="6" w:space="0"/>
              <w:tl2br w:val="nil"/>
              <w:tr2bl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135</w:t>
            </w:r>
          </w:p>
        </w:tc>
        <w:tc>
          <w:tcPr>
            <w:tcW w:w="319" w:type="pct"/>
            <w:tcBorders>
              <w:top w:val="single" w:color="auto" w:sz="6" w:space="0"/>
              <w:tl2br w:val="nil"/>
              <w:tr2bl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125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31" w:type="pct"/>
            <w:tcBorders>
              <w:tl2br w:val="nil"/>
              <w:tr2bl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1</w:t>
            </w:r>
          </w:p>
        </w:tc>
        <w:tc>
          <w:tcPr>
            <w:tcW w:w="725" w:type="pct"/>
            <w:tcBorders>
              <w:tl2br w:val="nil"/>
              <w:tr2bl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COVID-19 (629)</w:t>
            </w:r>
          </w:p>
        </w:tc>
        <w:tc>
          <w:tcPr>
            <w:tcW w:w="302" w:type="pct"/>
            <w:tcBorders>
              <w:tl2br w:val="nil"/>
              <w:tr2bl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3</w:t>
            </w:r>
          </w:p>
        </w:tc>
        <w:tc>
          <w:tcPr>
            <w:tcW w:w="830" w:type="pct"/>
            <w:tcBorders>
              <w:tl2br w:val="nil"/>
              <w:tr2bl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RVS (211)</w:t>
            </w:r>
          </w:p>
        </w:tc>
        <w:tc>
          <w:tcPr>
            <w:tcW w:w="1091" w:type="pct"/>
            <w:tcBorders>
              <w:tl2br w:val="nil"/>
              <w:tr2bl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49</w:t>
            </w:r>
          </w:p>
        </w:tc>
        <w:tc>
          <w:tcPr>
            <w:tcW w:w="373" w:type="pct"/>
            <w:tcBorders>
              <w:tl2br w:val="nil"/>
              <w:tr2bl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227</w:t>
            </w:r>
          </w:p>
        </w:tc>
        <w:tc>
          <w:tcPr>
            <w:tcW w:w="323" w:type="pct"/>
            <w:tcBorders>
              <w:tl2br w:val="nil"/>
              <w:tr2bl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18</w:t>
            </w:r>
          </w:p>
        </w:tc>
        <w:tc>
          <w:tcPr>
            <w:tcW w:w="337" w:type="pct"/>
            <w:tcBorders>
              <w:tl2br w:val="nil"/>
              <w:tr2bl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32</w:t>
            </w:r>
          </w:p>
        </w:tc>
        <w:tc>
          <w:tcPr>
            <w:tcW w:w="364" w:type="pct"/>
            <w:tcBorders>
              <w:tl2br w:val="nil"/>
              <w:tr2bl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142</w:t>
            </w:r>
          </w:p>
        </w:tc>
        <w:tc>
          <w:tcPr>
            <w:tcW w:w="319" w:type="pct"/>
            <w:tcBorders>
              <w:tl2br w:val="nil"/>
              <w:tr2bl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136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31" w:type="pct"/>
            <w:tcBorders>
              <w:tl2br w:val="nil"/>
              <w:tr2bl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1</w:t>
            </w:r>
          </w:p>
        </w:tc>
        <w:tc>
          <w:tcPr>
            <w:tcW w:w="725" w:type="pct"/>
            <w:tcBorders>
              <w:tl2br w:val="nil"/>
              <w:tr2bl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COVID-19 (629)</w:t>
            </w:r>
          </w:p>
        </w:tc>
        <w:tc>
          <w:tcPr>
            <w:tcW w:w="302" w:type="pct"/>
            <w:tcBorders>
              <w:tl2br w:val="nil"/>
              <w:tr2bl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4</w:t>
            </w:r>
          </w:p>
        </w:tc>
        <w:tc>
          <w:tcPr>
            <w:tcW w:w="830" w:type="pct"/>
            <w:tcBorders>
              <w:tl2br w:val="nil"/>
              <w:tr2bl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CUR+RVS (364)</w:t>
            </w:r>
          </w:p>
        </w:tc>
        <w:tc>
          <w:tcPr>
            <w:tcW w:w="1091" w:type="pct"/>
            <w:tcBorders>
              <w:tl2br w:val="nil"/>
              <w:tr2bl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70</w:t>
            </w:r>
          </w:p>
        </w:tc>
        <w:tc>
          <w:tcPr>
            <w:tcW w:w="373" w:type="pct"/>
            <w:tcBorders>
              <w:tl2br w:val="nil"/>
              <w:tr2bl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299</w:t>
            </w:r>
          </w:p>
        </w:tc>
        <w:tc>
          <w:tcPr>
            <w:tcW w:w="323" w:type="pct"/>
            <w:tcBorders>
              <w:tl2br w:val="nil"/>
              <w:tr2bl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29</w:t>
            </w:r>
          </w:p>
        </w:tc>
        <w:tc>
          <w:tcPr>
            <w:tcW w:w="337" w:type="pct"/>
            <w:tcBorders>
              <w:tl2br w:val="nil"/>
              <w:tr2bl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41</w:t>
            </w:r>
          </w:p>
        </w:tc>
        <w:tc>
          <w:tcPr>
            <w:tcW w:w="364" w:type="pct"/>
            <w:tcBorders>
              <w:tl2br w:val="nil"/>
              <w:tr2bl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143</w:t>
            </w:r>
          </w:p>
        </w:tc>
        <w:tc>
          <w:tcPr>
            <w:tcW w:w="319" w:type="pct"/>
            <w:tcBorders>
              <w:tl2br w:val="nil"/>
              <w:tr2bl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165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238" w:lineRule="auto"/>
        <w:jc w:val="both"/>
        <w:textAlignment w:val="baseline"/>
        <w:rPr>
          <w:rFonts w:hint="eastAsia" w:ascii="Times New Roman" w:hAnsi="Times New Roman" w:eastAsia="Times New Roman" w:cs="Times New Roman"/>
          <w:snapToGrid w:val="0"/>
          <w:color w:val="000000"/>
          <w:kern w:val="0"/>
          <w:sz w:val="17"/>
          <w:szCs w:val="15"/>
          <w:lang/>
        </w:rPr>
      </w:pPr>
      <w:r>
        <w:rPr>
          <w:rFonts w:hint="eastAsia" w:ascii="Times New Roman" w:hAnsi="Times New Roman" w:eastAsia="宋体" w:cs="Times New Roman"/>
          <w:snapToGrid w:val="0"/>
          <w:color w:val="000000"/>
          <w:kern w:val="0"/>
          <w:sz w:val="17"/>
          <w:szCs w:val="15"/>
          <w:lang w:val="en-US" w:eastAsia="zh-CN"/>
        </w:rPr>
        <w:t>G</w:t>
      </w:r>
      <w:r>
        <w:rPr>
          <w:rFonts w:hint="eastAsia" w:ascii="Times New Roman" w:hAnsi="Times New Roman" w:eastAsia="Times New Roman" w:cs="Times New Roman"/>
          <w:snapToGrid w:val="0"/>
          <w:color w:val="000000"/>
          <w:kern w:val="0"/>
          <w:sz w:val="17"/>
          <w:szCs w:val="15"/>
          <w:lang/>
        </w:rPr>
        <w:t>S: gene set, GN: gene number, BP: Biological Process, M</w:t>
      </w:r>
      <w:r>
        <w:rPr>
          <w:rFonts w:hint="eastAsia" w:ascii="Times New Roman" w:hAnsi="Times New Roman" w:eastAsia="宋体" w:cs="Times New Roman"/>
          <w:snapToGrid w:val="0"/>
          <w:color w:val="000000"/>
          <w:kern w:val="0"/>
          <w:sz w:val="17"/>
          <w:szCs w:val="15"/>
          <w:lang w:val="en-US" w:eastAsia="zh-CN"/>
        </w:rPr>
        <w:t>F</w:t>
      </w:r>
      <w:r>
        <w:rPr>
          <w:rFonts w:hint="eastAsia" w:ascii="Times New Roman" w:hAnsi="Times New Roman" w:eastAsia="Times New Roman" w:cs="Times New Roman"/>
          <w:snapToGrid w:val="0"/>
          <w:color w:val="000000"/>
          <w:kern w:val="0"/>
          <w:sz w:val="17"/>
          <w:szCs w:val="15"/>
          <w:lang/>
        </w:rPr>
        <w:t>: Molecular Function, CC: Cellular Component, KP: KEGG Pathway, RP: REACTOME Pathway.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238" w:lineRule="auto"/>
        <w:jc w:val="both"/>
        <w:textAlignment w:val="baseline"/>
        <w:rPr>
          <w:rFonts w:hint="default" w:ascii="Times New Roman" w:hAnsi="Times New Roman" w:eastAsia="Times New Roman" w:cs="Times New Roman"/>
          <w:snapToGrid w:val="0"/>
          <w:color w:val="000000"/>
          <w:kern w:val="0"/>
          <w:sz w:val="17"/>
          <w:szCs w:val="15"/>
          <w:lang w:val="en-US"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238" w:lineRule="auto"/>
        <w:jc w:val="both"/>
        <w:textAlignment w:val="baseline"/>
        <w:rPr>
          <w:rFonts w:hint="default" w:ascii="Times New Roman" w:hAnsi="Times New Roman" w:eastAsia="Times New Roman" w:cs="Times New Roman"/>
          <w:snapToGrid w:val="0"/>
          <w:color w:val="000000"/>
          <w:kern w:val="0"/>
          <w:sz w:val="17"/>
          <w:szCs w:val="15"/>
          <w:lang w:val="en-US" w:eastAsia="zh-CN"/>
        </w:rPr>
      </w:pPr>
      <w:r>
        <w:rPr>
          <w:rFonts w:hint="default" w:ascii="Times New Roman" w:hAnsi="Times New Roman" w:eastAsia="Times New Roman" w:cs="Times New Roman"/>
          <w:b/>
          <w:bCs/>
          <w:snapToGrid w:val="0"/>
          <w:color w:val="000000"/>
          <w:kern w:val="0"/>
          <w:sz w:val="17"/>
          <w:szCs w:val="15"/>
          <w:lang w:val="en-US" w:eastAsia="zh-CN"/>
        </w:rPr>
        <w:t>Table 2.</w:t>
      </w:r>
      <w:r>
        <w:rPr>
          <w:rFonts w:hint="default" w:ascii="Times New Roman" w:hAnsi="Times New Roman" w:eastAsia="Times New Roman" w:cs="Times New Roman"/>
          <w:snapToGrid w:val="0"/>
          <w:color w:val="000000"/>
          <w:kern w:val="0"/>
          <w:sz w:val="17"/>
          <w:szCs w:val="15"/>
          <w:lang w:val="en-US" w:eastAsia="zh-CN"/>
        </w:rPr>
        <w:t xml:space="preserve"> GO enrichment analysis.</w:t>
      </w:r>
    </w:p>
    <w:tbl>
      <w:tblPr>
        <w:tblStyle w:val="2"/>
        <w:tblW w:w="4998" w:type="pct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9"/>
        <w:gridCol w:w="1891"/>
        <w:gridCol w:w="889"/>
        <w:gridCol w:w="945"/>
        <w:gridCol w:w="889"/>
        <w:gridCol w:w="943"/>
        <w:gridCol w:w="1160"/>
        <w:gridCol w:w="1163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09" w:type="pct"/>
            <w:vMerge w:val="restart"/>
            <w:shd w:val="clear" w:color="auto" w:fill="FFFFFF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GO</w:t>
            </w:r>
          </w:p>
        </w:tc>
        <w:tc>
          <w:tcPr>
            <w:tcW w:w="1125" w:type="pct"/>
            <w:vMerge w:val="restart"/>
            <w:shd w:val="clear" w:color="auto" w:fill="FFFFFF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instrText xml:space="preserve"> HYPERLINK "https://david.ncifcrf.gov/chartReport.jsp?d-16544-p=1&amp;d-16544-o=2&amp;annot=27&amp;d-16544-s=2" \o "https://david.ncifcrf.gov/chartReport.jsp?d-16544-p=1&amp;d-16544-o=2&amp;annot=27&amp;d-16544-s=2" </w:instrTex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fldChar w:fldCharType="separate"/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  <w:t>Term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  <w:fldChar w:fldCharType="end"/>
            </w:r>
          </w:p>
        </w:tc>
        <w:tc>
          <w:tcPr>
            <w:tcW w:w="1091" w:type="pct"/>
            <w:gridSpan w:val="2"/>
            <w:tcBorders>
              <w:bottom w:val="single" w:color="auto" w:sz="4" w:space="0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COVID-19 vs CUR</w:t>
            </w:r>
          </w:p>
        </w:tc>
        <w:tc>
          <w:tcPr>
            <w:tcW w:w="1090" w:type="pct"/>
            <w:gridSpan w:val="2"/>
            <w:tcBorders>
              <w:bottom w:val="single" w:color="auto" w:sz="4" w:space="0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COVID-19 vs RVS</w:t>
            </w:r>
          </w:p>
        </w:tc>
        <w:tc>
          <w:tcPr>
            <w:tcW w:w="1382" w:type="pct"/>
            <w:gridSpan w:val="2"/>
            <w:tcBorders>
              <w:bottom w:val="single" w:color="auto" w:sz="4" w:space="0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COVID-19 vs CUR+RVS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09" w:type="pct"/>
            <w:vMerge w:val="continue"/>
            <w:tcBorders>
              <w:bottom w:val="single" w:color="auto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</w:p>
        </w:tc>
        <w:tc>
          <w:tcPr>
            <w:tcW w:w="1125" w:type="pct"/>
            <w:vMerge w:val="continue"/>
            <w:tcBorders>
              <w:bottom w:val="single" w:color="auto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</w:p>
        </w:tc>
        <w:tc>
          <w:tcPr>
            <w:tcW w:w="529" w:type="pct"/>
            <w:tcBorders>
              <w:top w:val="single" w:color="auto" w:sz="4" w:space="0"/>
              <w:bottom w:val="single" w:color="auto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instrText xml:space="preserve"> HYPERLINK "https://david.ncifcrf.gov/chartReport.jsp?d-16544-p=1&amp;d-16544-o=1&amp;annot=27&amp;d-16544-s=5" \o "https://david.ncifcrf.gov/chartReport.jsp?d-16544-p=1&amp;d-16544-o=1&amp;annot=27&amp;d-16544-s=5" </w:instrTex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fldChar w:fldCharType="separate"/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  <w:t>Count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  <w:fldChar w:fldCharType="end"/>
            </w:r>
          </w:p>
        </w:tc>
        <w:tc>
          <w:tcPr>
            <w:tcW w:w="562" w:type="pct"/>
            <w:tcBorders>
              <w:top w:val="single" w:color="auto" w:sz="4" w:space="0"/>
              <w:bottom w:val="single" w:color="auto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instrText xml:space="preserve"> HYPERLINK "https://david.ncifcrf.gov/chartReport.jsp?d-16544-p=1&amp;d-16544-o=1&amp;annot=27&amp;d-16544-s=7" \o "https://david.ncifcrf.gov/chartReport.jsp?d-16544-p=1&amp;d-16544-o=1&amp;annot=27&amp;d-16544-s=7" </w:instrTex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fldChar w:fldCharType="separate"/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  <w:t>P-Value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  <w:fldChar w:fldCharType="end"/>
            </w:r>
          </w:p>
        </w:tc>
        <w:tc>
          <w:tcPr>
            <w:tcW w:w="529" w:type="pct"/>
            <w:tcBorders>
              <w:top w:val="single" w:color="auto" w:sz="4" w:space="0"/>
              <w:bottom w:val="single" w:color="auto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instrText xml:space="preserve"> HYPERLINK "https://david.ncifcrf.gov/chartReport.jsp?d-16544-p=1&amp;d-16544-o=1&amp;annot=27&amp;d-16544-s=5" \o "https://david.ncifcrf.gov/chartReport.jsp?d-16544-p=1&amp;d-16544-o=1&amp;annot=27&amp;d-16544-s=5" </w:instrTex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fldChar w:fldCharType="separate"/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  <w:t>Count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  <w:fldChar w:fldCharType="end"/>
            </w:r>
          </w:p>
        </w:tc>
        <w:tc>
          <w:tcPr>
            <w:tcW w:w="561" w:type="pct"/>
            <w:tcBorders>
              <w:top w:val="single" w:color="auto" w:sz="4" w:space="0"/>
              <w:bottom w:val="single" w:color="auto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instrText xml:space="preserve"> HYPERLINK "https://david.ncifcrf.gov/chartReport.jsp?d-16544-p=1&amp;d-16544-o=1&amp;annot=27&amp;d-16544-s=7" \o "https://david.ncifcrf.gov/chartReport.jsp?d-16544-p=1&amp;d-16544-o=1&amp;annot=27&amp;d-16544-s=7" </w:instrTex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fldChar w:fldCharType="separate"/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  <w:t>P-Value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  <w:fldChar w:fldCharType="end"/>
            </w:r>
          </w:p>
        </w:tc>
        <w:tc>
          <w:tcPr>
            <w:tcW w:w="690" w:type="pct"/>
            <w:tcBorders>
              <w:top w:val="single" w:color="auto" w:sz="4" w:space="0"/>
              <w:bottom w:val="single" w:color="auto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instrText xml:space="preserve"> HYPERLINK "https://david.ncifcrf.gov/chartReport.jsp?d-16544-p=1&amp;d-16544-o=1&amp;annot=27&amp;d-16544-s=5" \o "https://david.ncifcrf.gov/chartReport.jsp?d-16544-p=1&amp;d-16544-o=1&amp;annot=27&amp;d-16544-s=5" </w:instrTex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fldChar w:fldCharType="separate"/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  <w:t>Count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  <w:fldChar w:fldCharType="end"/>
            </w:r>
          </w:p>
        </w:tc>
        <w:tc>
          <w:tcPr>
            <w:tcW w:w="692" w:type="pct"/>
            <w:tcBorders>
              <w:top w:val="single" w:color="auto" w:sz="4" w:space="0"/>
              <w:bottom w:val="single" w:color="auto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instrText xml:space="preserve"> HYPERLINK "https://david.ncifcrf.gov/chartReport.jsp?d-16544-p=1&amp;d-16544-o=1&amp;annot=27&amp;d-16544-s=7" \o "https://david.ncifcrf.gov/chartReport.jsp?d-16544-p=1&amp;d-16544-o=1&amp;annot=27&amp;d-16544-s=7" </w:instrTex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fldChar w:fldCharType="separate"/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  <w:t>P-Value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  <w:fldChar w:fldCharType="end"/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09" w:type="pct"/>
            <w:tcBorders>
              <w:top w:val="single" w:color="auto" w:sz="6" w:space="0"/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BP</w:t>
            </w:r>
          </w:p>
        </w:tc>
        <w:tc>
          <w:tcPr>
            <w:tcW w:w="1125" w:type="pct"/>
            <w:tcBorders>
              <w:top w:val="single" w:color="auto" w:sz="6" w:space="0"/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positive regulation of transcription from RNA polymerase II promoter</w:t>
            </w:r>
          </w:p>
        </w:tc>
        <w:tc>
          <w:tcPr>
            <w:tcW w:w="529" w:type="pct"/>
            <w:tcBorders>
              <w:top w:val="single" w:color="auto" w:sz="6" w:space="0"/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22</w:t>
            </w:r>
          </w:p>
        </w:tc>
        <w:tc>
          <w:tcPr>
            <w:tcW w:w="562" w:type="pct"/>
            <w:tcBorders>
              <w:top w:val="single" w:color="auto" w:sz="6" w:space="0"/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6.90E-14</w:t>
            </w:r>
          </w:p>
        </w:tc>
        <w:tc>
          <w:tcPr>
            <w:tcW w:w="529" w:type="pct"/>
            <w:tcBorders>
              <w:top w:val="single" w:color="auto" w:sz="6" w:space="0"/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20</w:t>
            </w:r>
          </w:p>
        </w:tc>
        <w:tc>
          <w:tcPr>
            <w:tcW w:w="561" w:type="pct"/>
            <w:tcBorders>
              <w:top w:val="single" w:color="auto" w:sz="6" w:space="0"/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2.40E-11</w:t>
            </w:r>
          </w:p>
        </w:tc>
        <w:tc>
          <w:tcPr>
            <w:tcW w:w="690" w:type="pct"/>
            <w:tcBorders>
              <w:top w:val="single" w:color="auto" w:sz="6" w:space="0"/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27</w:t>
            </w:r>
          </w:p>
        </w:tc>
        <w:tc>
          <w:tcPr>
            <w:tcW w:w="692" w:type="pct"/>
            <w:tcBorders>
              <w:top w:val="single" w:color="auto" w:sz="6" w:space="0"/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2.00E-14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09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BP</w:t>
            </w:r>
          </w:p>
        </w:tc>
        <w:tc>
          <w:tcPr>
            <w:tcW w:w="1125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inflammatory response</w:t>
            </w:r>
          </w:p>
        </w:tc>
        <w:tc>
          <w:tcPr>
            <w:tcW w:w="529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15</w:t>
            </w:r>
          </w:p>
        </w:tc>
        <w:tc>
          <w:tcPr>
            <w:tcW w:w="562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4.30E-13</w:t>
            </w:r>
          </w:p>
        </w:tc>
        <w:tc>
          <w:tcPr>
            <w:tcW w:w="529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12</w:t>
            </w:r>
          </w:p>
        </w:tc>
        <w:tc>
          <w:tcPr>
            <w:tcW w:w="561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4.10E-09</w:t>
            </w:r>
          </w:p>
        </w:tc>
        <w:tc>
          <w:tcPr>
            <w:tcW w:w="690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16</w:t>
            </w:r>
          </w:p>
        </w:tc>
        <w:tc>
          <w:tcPr>
            <w:tcW w:w="692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1.40E-11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09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BP</w:t>
            </w:r>
          </w:p>
        </w:tc>
        <w:tc>
          <w:tcPr>
            <w:tcW w:w="1125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cellular response to virus</w:t>
            </w:r>
          </w:p>
        </w:tc>
        <w:tc>
          <w:tcPr>
            <w:tcW w:w="529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8</w:t>
            </w:r>
          </w:p>
        </w:tc>
        <w:tc>
          <w:tcPr>
            <w:tcW w:w="562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1.30E-09</w:t>
            </w:r>
          </w:p>
        </w:tc>
        <w:tc>
          <w:tcPr>
            <w:tcW w:w="529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6</w:t>
            </w:r>
          </w:p>
        </w:tc>
        <w:tc>
          <w:tcPr>
            <w:tcW w:w="561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2.30E-06</w:t>
            </w:r>
          </w:p>
        </w:tc>
        <w:tc>
          <w:tcPr>
            <w:tcW w:w="690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9</w:t>
            </w:r>
          </w:p>
        </w:tc>
        <w:tc>
          <w:tcPr>
            <w:tcW w:w="692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7.40E-10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09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BP</w:t>
            </w:r>
          </w:p>
        </w:tc>
        <w:tc>
          <w:tcPr>
            <w:tcW w:w="1125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response to oxidative stress</w:t>
            </w:r>
          </w:p>
        </w:tc>
        <w:tc>
          <w:tcPr>
            <w:tcW w:w="529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6</w:t>
            </w:r>
          </w:p>
        </w:tc>
        <w:tc>
          <w:tcPr>
            <w:tcW w:w="562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9.90E-06</w:t>
            </w:r>
          </w:p>
        </w:tc>
        <w:tc>
          <w:tcPr>
            <w:tcW w:w="529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9</w:t>
            </w:r>
          </w:p>
        </w:tc>
        <w:tc>
          <w:tcPr>
            <w:tcW w:w="561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1.50E-08</w:t>
            </w:r>
          </w:p>
        </w:tc>
        <w:tc>
          <w:tcPr>
            <w:tcW w:w="690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10</w:t>
            </w:r>
          </w:p>
        </w:tc>
        <w:tc>
          <w:tcPr>
            <w:tcW w:w="692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7.20E-09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09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BP</w:t>
            </w:r>
          </w:p>
        </w:tc>
        <w:tc>
          <w:tcPr>
            <w:tcW w:w="1125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positive regulation of NF-kappaB transcription factor activity</w:t>
            </w:r>
          </w:p>
        </w:tc>
        <w:tc>
          <w:tcPr>
            <w:tcW w:w="529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6</w:t>
            </w:r>
          </w:p>
        </w:tc>
        <w:tc>
          <w:tcPr>
            <w:tcW w:w="562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3.90E-05</w:t>
            </w:r>
          </w:p>
        </w:tc>
        <w:tc>
          <w:tcPr>
            <w:tcW w:w="529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8</w:t>
            </w:r>
          </w:p>
        </w:tc>
        <w:tc>
          <w:tcPr>
            <w:tcW w:w="561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1.30E-07</w:t>
            </w:r>
          </w:p>
        </w:tc>
        <w:tc>
          <w:tcPr>
            <w:tcW w:w="690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9</w:t>
            </w:r>
          </w:p>
        </w:tc>
        <w:tc>
          <w:tcPr>
            <w:tcW w:w="692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1.10E-07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09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BP</w:t>
            </w:r>
          </w:p>
        </w:tc>
        <w:tc>
          <w:tcPr>
            <w:tcW w:w="1125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cellular response to reactive oxygen species</w:t>
            </w:r>
          </w:p>
        </w:tc>
        <w:tc>
          <w:tcPr>
            <w:tcW w:w="529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5</w:t>
            </w:r>
          </w:p>
        </w:tc>
        <w:tc>
          <w:tcPr>
            <w:tcW w:w="562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2.00E-06</w:t>
            </w:r>
          </w:p>
        </w:tc>
        <w:tc>
          <w:tcPr>
            <w:tcW w:w="529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4</w:t>
            </w:r>
          </w:p>
        </w:tc>
        <w:tc>
          <w:tcPr>
            <w:tcW w:w="561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1.10E-04</w:t>
            </w:r>
          </w:p>
        </w:tc>
        <w:tc>
          <w:tcPr>
            <w:tcW w:w="690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5</w:t>
            </w:r>
          </w:p>
        </w:tc>
        <w:tc>
          <w:tcPr>
            <w:tcW w:w="692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1.00E-05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09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CC</w:t>
            </w:r>
          </w:p>
        </w:tc>
        <w:tc>
          <w:tcPr>
            <w:tcW w:w="1125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RNA polymerase II transcription factor complex</w:t>
            </w:r>
          </w:p>
        </w:tc>
        <w:tc>
          <w:tcPr>
            <w:tcW w:w="529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5</w:t>
            </w:r>
          </w:p>
        </w:tc>
        <w:tc>
          <w:tcPr>
            <w:tcW w:w="562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1.60E-04</w:t>
            </w:r>
          </w:p>
        </w:tc>
        <w:tc>
          <w:tcPr>
            <w:tcW w:w="529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5</w:t>
            </w:r>
          </w:p>
        </w:tc>
        <w:tc>
          <w:tcPr>
            <w:tcW w:w="561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1.90E-04</w:t>
            </w:r>
          </w:p>
        </w:tc>
        <w:tc>
          <w:tcPr>
            <w:tcW w:w="690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6</w:t>
            </w:r>
          </w:p>
        </w:tc>
        <w:tc>
          <w:tcPr>
            <w:tcW w:w="692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5.60E-05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09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MF</w:t>
            </w:r>
          </w:p>
        </w:tc>
        <w:tc>
          <w:tcPr>
            <w:tcW w:w="1125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RNA polymerase II sequence-specific DNA binding transcription factor</w:t>
            </w:r>
          </w:p>
        </w:tc>
        <w:tc>
          <w:tcPr>
            <w:tcW w:w="529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10</w:t>
            </w:r>
          </w:p>
        </w:tc>
        <w:tc>
          <w:tcPr>
            <w:tcW w:w="562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6.30E-10</w:t>
            </w:r>
          </w:p>
        </w:tc>
        <w:tc>
          <w:tcPr>
            <w:tcW w:w="529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9</w:t>
            </w:r>
          </w:p>
        </w:tc>
        <w:tc>
          <w:tcPr>
            <w:tcW w:w="561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2.20E-08</w:t>
            </w:r>
          </w:p>
        </w:tc>
        <w:tc>
          <w:tcPr>
            <w:tcW w:w="690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14</w:t>
            </w:r>
          </w:p>
        </w:tc>
        <w:tc>
          <w:tcPr>
            <w:tcW w:w="692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1.50E-13</w:t>
            </w:r>
          </w:p>
        </w:tc>
      </w:tr>
    </w:tbl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238" w:lineRule="auto"/>
        <w:jc w:val="both"/>
        <w:textAlignment w:val="baseline"/>
        <w:rPr>
          <w:rFonts w:hint="default" w:ascii="Times New Roman" w:hAnsi="Times New Roman" w:eastAsia="Times New Roman" w:cs="Times New Roman"/>
          <w:snapToGrid w:val="0"/>
          <w:color w:val="000000"/>
          <w:kern w:val="0"/>
          <w:sz w:val="17"/>
          <w:szCs w:val="15"/>
          <w:lang w:val="en-US" w:eastAsia="zh-CN"/>
        </w:rPr>
      </w:pPr>
      <w:r>
        <w:rPr>
          <w:rFonts w:hint="default" w:ascii="Times New Roman" w:hAnsi="Times New Roman" w:eastAsia="Times New Roman" w:cs="Times New Roman"/>
          <w:snapToGrid w:val="0"/>
          <w:color w:val="000000"/>
          <w:kern w:val="0"/>
          <w:sz w:val="17"/>
          <w:szCs w:val="15"/>
          <w:lang w:val="en-US" w:eastAsia="zh-CN"/>
        </w:rPr>
        <w:t>BP: Biological Process, M</w:t>
      </w:r>
      <w:r>
        <w:rPr>
          <w:rFonts w:hint="eastAsia" w:ascii="Times New Roman" w:hAnsi="Times New Roman" w:eastAsia="Times New Roman" w:cs="Times New Roman"/>
          <w:snapToGrid w:val="0"/>
          <w:color w:val="000000"/>
          <w:kern w:val="0"/>
          <w:sz w:val="17"/>
          <w:szCs w:val="15"/>
          <w:lang w:val="en-US" w:eastAsia="zh-CN"/>
        </w:rPr>
        <w:t>F</w:t>
      </w:r>
      <w:r>
        <w:rPr>
          <w:rFonts w:hint="default" w:ascii="Times New Roman" w:hAnsi="Times New Roman" w:eastAsia="Times New Roman" w:cs="Times New Roman"/>
          <w:snapToGrid w:val="0"/>
          <w:color w:val="000000"/>
          <w:kern w:val="0"/>
          <w:sz w:val="17"/>
          <w:szCs w:val="15"/>
          <w:lang w:val="en-US" w:eastAsia="zh-CN"/>
        </w:rPr>
        <w:t xml:space="preserve">: Molecular Function, CC: Cellular Component.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238" w:lineRule="auto"/>
        <w:jc w:val="both"/>
        <w:textAlignment w:val="baseline"/>
        <w:rPr>
          <w:rFonts w:hint="default" w:ascii="Times New Roman" w:hAnsi="Times New Roman" w:eastAsia="Times New Roman" w:cs="Times New Roman"/>
          <w:snapToGrid w:val="0"/>
          <w:color w:val="000000"/>
          <w:kern w:val="0"/>
          <w:sz w:val="17"/>
          <w:szCs w:val="15"/>
          <w:lang w:val="en-US"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238" w:lineRule="auto"/>
        <w:jc w:val="both"/>
        <w:textAlignment w:val="baseline"/>
        <w:rPr>
          <w:rFonts w:hint="default" w:ascii="Times New Roman" w:hAnsi="Times New Roman" w:eastAsia="Times New Roman" w:cs="Times New Roman"/>
          <w:snapToGrid w:val="0"/>
          <w:color w:val="000000"/>
          <w:kern w:val="0"/>
          <w:sz w:val="17"/>
          <w:szCs w:val="15"/>
          <w:lang w:val="en-US" w:eastAsia="zh-CN"/>
        </w:rPr>
      </w:pPr>
      <w:r>
        <w:rPr>
          <w:rFonts w:hint="default" w:ascii="Times New Roman" w:hAnsi="Times New Roman" w:eastAsia="Times New Roman" w:cs="Times New Roman"/>
          <w:b/>
          <w:bCs/>
          <w:snapToGrid w:val="0"/>
          <w:color w:val="000000"/>
          <w:kern w:val="0"/>
          <w:sz w:val="17"/>
          <w:szCs w:val="15"/>
          <w:lang w:val="en-US" w:eastAsia="zh-CN"/>
        </w:rPr>
        <w:t>T</w:t>
      </w:r>
      <w:bookmarkStart w:id="0" w:name="_GoBack"/>
      <w:bookmarkEnd w:id="0"/>
      <w:r>
        <w:rPr>
          <w:rFonts w:hint="default" w:ascii="Times New Roman" w:hAnsi="Times New Roman" w:eastAsia="Times New Roman" w:cs="Times New Roman"/>
          <w:b/>
          <w:bCs/>
          <w:snapToGrid w:val="0"/>
          <w:color w:val="000000"/>
          <w:kern w:val="0"/>
          <w:sz w:val="17"/>
          <w:szCs w:val="15"/>
          <w:lang w:val="en-US" w:eastAsia="zh-CN"/>
        </w:rPr>
        <w:t>able 3.</w:t>
      </w:r>
      <w:r>
        <w:rPr>
          <w:rFonts w:hint="default" w:ascii="Times New Roman" w:hAnsi="Times New Roman" w:eastAsia="Times New Roman" w:cs="Times New Roman"/>
          <w:snapToGrid w:val="0"/>
          <w:color w:val="000000"/>
          <w:kern w:val="0"/>
          <w:sz w:val="17"/>
          <w:szCs w:val="15"/>
          <w:lang w:val="en-US" w:eastAsia="zh-CN"/>
        </w:rPr>
        <w:t xml:space="preserve"> Pathway enrichment analysis.</w:t>
      </w:r>
    </w:p>
    <w:tbl>
      <w:tblPr>
        <w:tblStyle w:val="2"/>
        <w:tblW w:w="5000" w:type="pct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7"/>
        <w:gridCol w:w="1823"/>
        <w:gridCol w:w="912"/>
        <w:gridCol w:w="946"/>
        <w:gridCol w:w="815"/>
        <w:gridCol w:w="1030"/>
        <w:gridCol w:w="1192"/>
        <w:gridCol w:w="1128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31" w:type="pct"/>
            <w:vMerge w:val="restart"/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</w:p>
        </w:tc>
        <w:tc>
          <w:tcPr>
            <w:tcW w:w="1084" w:type="pct"/>
            <w:vMerge w:val="restart"/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instrText xml:space="preserve"> HYPERLINK "https://david.ncifcrf.gov/chartReport.jsp?d-16544-p=1&amp;d-16544-o=2&amp;annot=52&amp;d-16544-s=2" \o "https://david.ncifcrf.gov/chartReport.jsp?d-16544-p=1&amp;d-16544-o=2&amp;annot=52&amp;d-16544-s=2" </w:instrTex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fldChar w:fldCharType="separate"/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Term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fldChar w:fldCharType="end"/>
            </w:r>
          </w:p>
        </w:tc>
        <w:tc>
          <w:tcPr>
            <w:tcW w:w="1105" w:type="pct"/>
            <w:gridSpan w:val="2"/>
            <w:tcBorders>
              <w:bottom w:val="single" w:color="auto" w:sz="4" w:space="0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COVID-19 vs CUR</w:t>
            </w:r>
          </w:p>
        </w:tc>
        <w:tc>
          <w:tcPr>
            <w:tcW w:w="1098" w:type="pct"/>
            <w:gridSpan w:val="2"/>
            <w:tcBorders>
              <w:bottom w:val="single" w:color="auto" w:sz="4" w:space="0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COVID-19 vs RVS</w:t>
            </w:r>
          </w:p>
        </w:tc>
        <w:tc>
          <w:tcPr>
            <w:tcW w:w="1380" w:type="pct"/>
            <w:gridSpan w:val="2"/>
            <w:tcBorders>
              <w:bottom w:val="single" w:color="auto" w:sz="4" w:space="0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COVID-19 vs CUR+RVS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31" w:type="pct"/>
            <w:vMerge w:val="continue"/>
            <w:tcBorders>
              <w:bottom w:val="single" w:color="auto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</w:p>
        </w:tc>
        <w:tc>
          <w:tcPr>
            <w:tcW w:w="1084" w:type="pct"/>
            <w:vMerge w:val="continue"/>
            <w:tcBorders>
              <w:bottom w:val="single" w:color="auto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</w:p>
        </w:tc>
        <w:tc>
          <w:tcPr>
            <w:tcW w:w="542" w:type="pct"/>
            <w:tcBorders>
              <w:top w:val="single" w:color="auto" w:sz="4" w:space="0"/>
              <w:bottom w:val="single" w:color="auto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instrText xml:space="preserve"> HYPERLINK "https://david.ncifcrf.gov/chartReport.jsp?d-16544-p=1&amp;d-16544-o=1&amp;annot=52&amp;d-16544-s=5" \o "https://david.ncifcrf.gov/chartReport.jsp?d-16544-p=1&amp;d-16544-o=1&amp;annot=52&amp;d-16544-s=5" </w:instrTex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fldChar w:fldCharType="separate"/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Count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fldChar w:fldCharType="end"/>
            </w:r>
          </w:p>
        </w:tc>
        <w:tc>
          <w:tcPr>
            <w:tcW w:w="563" w:type="pct"/>
            <w:tcBorders>
              <w:top w:val="single" w:color="auto" w:sz="4" w:space="0"/>
              <w:bottom w:val="single" w:color="auto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instrText xml:space="preserve"> HYPERLINK "https://david.ncifcrf.gov/chartReport.jsp?d-16544-p=1&amp;d-16544-o=1&amp;annot=52&amp;d-16544-s=7" \o "https://david.ncifcrf.gov/chartReport.jsp?d-16544-p=1&amp;d-16544-o=1&amp;annot=52&amp;d-16544-s=7" </w:instrTex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fldChar w:fldCharType="separate"/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P-Value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fldChar w:fldCharType="end"/>
            </w:r>
          </w:p>
        </w:tc>
        <w:tc>
          <w:tcPr>
            <w:tcW w:w="485" w:type="pct"/>
            <w:tcBorders>
              <w:top w:val="single" w:color="auto" w:sz="4" w:space="0"/>
              <w:bottom w:val="single" w:color="auto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instrText xml:space="preserve"> HYPERLINK "https://david.ncifcrf.gov/chartReport.jsp?d-16544-p=1&amp;d-16544-o=1&amp;annot=52&amp;d-16544-s=5" \o "https://david.ncifcrf.gov/chartReport.jsp?d-16544-p=1&amp;d-16544-o=1&amp;annot=52&amp;d-16544-s=5" </w:instrTex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fldChar w:fldCharType="separate"/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Count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fldChar w:fldCharType="end"/>
            </w:r>
          </w:p>
        </w:tc>
        <w:tc>
          <w:tcPr>
            <w:tcW w:w="612" w:type="pct"/>
            <w:tcBorders>
              <w:top w:val="single" w:color="auto" w:sz="4" w:space="0"/>
              <w:bottom w:val="single" w:color="auto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instrText xml:space="preserve"> HYPERLINK "https://david.ncifcrf.gov/chartReport.jsp?d-16544-p=1&amp;d-16544-o=1&amp;annot=52&amp;d-16544-s=7" \o "https://david.ncifcrf.gov/chartReport.jsp?d-16544-p=1&amp;d-16544-o=1&amp;annot=52&amp;d-16544-s=7" </w:instrTex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fldChar w:fldCharType="separate"/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P-Value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fldChar w:fldCharType="end"/>
            </w:r>
          </w:p>
        </w:tc>
        <w:tc>
          <w:tcPr>
            <w:tcW w:w="709" w:type="pct"/>
            <w:tcBorders>
              <w:top w:val="single" w:color="auto" w:sz="4" w:space="0"/>
              <w:bottom w:val="single" w:color="auto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instrText xml:space="preserve"> HYPERLINK "https://david.ncifcrf.gov/chartReport.jsp?d-16544-p=1&amp;d-16544-o=1&amp;annot=52&amp;d-16544-s=5" \o "https://david.ncifcrf.gov/chartReport.jsp?d-16544-p=1&amp;d-16544-o=1&amp;annot=52&amp;d-16544-s=5" </w:instrTex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fldChar w:fldCharType="separate"/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Count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fldChar w:fldCharType="end"/>
            </w:r>
          </w:p>
        </w:tc>
        <w:tc>
          <w:tcPr>
            <w:tcW w:w="670" w:type="pct"/>
            <w:tcBorders>
              <w:top w:val="single" w:color="auto" w:sz="4" w:space="0"/>
              <w:bottom w:val="single" w:color="auto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instrText xml:space="preserve"> HYPERLINK "https://david.ncifcrf.gov/chartReport.jsp?d-16544-p=1&amp;d-16544-o=1&amp;annot=52&amp;d-16544-s=7" \o "https://david.ncifcrf.gov/chartReport.jsp?d-16544-p=1&amp;d-16544-o=1&amp;annot=52&amp;d-16544-s=7" </w:instrTex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fldChar w:fldCharType="separate"/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P-Value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31" w:type="pct"/>
            <w:tcBorders>
              <w:top w:val="single" w:color="auto" w:sz="6" w:space="0"/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KP</w:t>
            </w:r>
          </w:p>
        </w:tc>
        <w:tc>
          <w:tcPr>
            <w:tcW w:w="1084" w:type="pct"/>
            <w:tcBorders>
              <w:top w:val="single" w:color="auto" w:sz="6" w:space="0"/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Toll-like receptor signaling pathway</w:t>
            </w:r>
          </w:p>
        </w:tc>
        <w:tc>
          <w:tcPr>
            <w:tcW w:w="542" w:type="pct"/>
            <w:tcBorders>
              <w:top w:val="single" w:color="auto" w:sz="6" w:space="0"/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16</w:t>
            </w:r>
          </w:p>
        </w:tc>
        <w:tc>
          <w:tcPr>
            <w:tcW w:w="563" w:type="pct"/>
            <w:tcBorders>
              <w:top w:val="single" w:color="auto" w:sz="6" w:space="0"/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4.50E-18</w:t>
            </w:r>
          </w:p>
        </w:tc>
        <w:tc>
          <w:tcPr>
            <w:tcW w:w="485" w:type="pct"/>
            <w:tcBorders>
              <w:top w:val="single" w:color="auto" w:sz="6" w:space="0"/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13</w:t>
            </w:r>
          </w:p>
        </w:tc>
        <w:tc>
          <w:tcPr>
            <w:tcW w:w="612" w:type="pct"/>
            <w:tcBorders>
              <w:top w:val="single" w:color="auto" w:sz="6" w:space="0"/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3.30E-13</w:t>
            </w:r>
          </w:p>
        </w:tc>
        <w:tc>
          <w:tcPr>
            <w:tcW w:w="709" w:type="pct"/>
            <w:tcBorders>
              <w:top w:val="single" w:color="auto" w:sz="6" w:space="0"/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18</w:t>
            </w:r>
          </w:p>
        </w:tc>
        <w:tc>
          <w:tcPr>
            <w:tcW w:w="670" w:type="pct"/>
            <w:tcBorders>
              <w:top w:val="single" w:color="auto" w:sz="6" w:space="0"/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3.70E-18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31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KP</w:t>
            </w:r>
          </w:p>
        </w:tc>
        <w:tc>
          <w:tcPr>
            <w:tcW w:w="1084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Coronavirus disease - COVID-19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16</w:t>
            </w:r>
          </w:p>
        </w:tc>
        <w:tc>
          <w:tcPr>
            <w:tcW w:w="563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8.80E-13</w:t>
            </w:r>
          </w:p>
        </w:tc>
        <w:tc>
          <w:tcPr>
            <w:tcW w:w="485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13</w:t>
            </w:r>
          </w:p>
        </w:tc>
        <w:tc>
          <w:tcPr>
            <w:tcW w:w="612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4.30E-09</w:t>
            </w:r>
          </w:p>
        </w:tc>
        <w:tc>
          <w:tcPr>
            <w:tcW w:w="709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19</w:t>
            </w:r>
          </w:p>
        </w:tc>
        <w:tc>
          <w:tcPr>
            <w:tcW w:w="670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2.50E-13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31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KP</w:t>
            </w:r>
          </w:p>
        </w:tc>
        <w:tc>
          <w:tcPr>
            <w:tcW w:w="1084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NOD-like receptor signaling pathway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15</w:t>
            </w:r>
          </w:p>
        </w:tc>
        <w:tc>
          <w:tcPr>
            <w:tcW w:w="563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6.40E-13</w:t>
            </w:r>
          </w:p>
        </w:tc>
        <w:tc>
          <w:tcPr>
            <w:tcW w:w="485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13</w:t>
            </w:r>
          </w:p>
        </w:tc>
        <w:tc>
          <w:tcPr>
            <w:tcW w:w="612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3.00E-10</w:t>
            </w:r>
          </w:p>
        </w:tc>
        <w:tc>
          <w:tcPr>
            <w:tcW w:w="709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17</w:t>
            </w:r>
          </w:p>
        </w:tc>
        <w:tc>
          <w:tcPr>
            <w:tcW w:w="670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1.10E-12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31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KP</w:t>
            </w:r>
          </w:p>
        </w:tc>
        <w:tc>
          <w:tcPr>
            <w:tcW w:w="1084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RIG-I-like receptor signaling pathway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9</w:t>
            </w:r>
          </w:p>
        </w:tc>
        <w:tc>
          <w:tcPr>
            <w:tcW w:w="563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3.80E-09</w:t>
            </w:r>
          </w:p>
        </w:tc>
        <w:tc>
          <w:tcPr>
            <w:tcW w:w="485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6</w:t>
            </w:r>
          </w:p>
        </w:tc>
        <w:tc>
          <w:tcPr>
            <w:tcW w:w="612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4.50E-05</w:t>
            </w:r>
          </w:p>
        </w:tc>
        <w:tc>
          <w:tcPr>
            <w:tcW w:w="709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11</w:t>
            </w:r>
          </w:p>
        </w:tc>
        <w:tc>
          <w:tcPr>
            <w:tcW w:w="670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2.10E-10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31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KP</w:t>
            </w:r>
          </w:p>
        </w:tc>
        <w:tc>
          <w:tcPr>
            <w:tcW w:w="1084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NF-kappa B signaling pathway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8</w:t>
            </w:r>
          </w:p>
        </w:tc>
        <w:tc>
          <w:tcPr>
            <w:tcW w:w="563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1.50E-06</w:t>
            </w:r>
          </w:p>
        </w:tc>
        <w:tc>
          <w:tcPr>
            <w:tcW w:w="485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7</w:t>
            </w:r>
          </w:p>
        </w:tc>
        <w:tc>
          <w:tcPr>
            <w:tcW w:w="612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2.50E-05</w:t>
            </w:r>
          </w:p>
        </w:tc>
        <w:tc>
          <w:tcPr>
            <w:tcW w:w="709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9</w:t>
            </w:r>
          </w:p>
        </w:tc>
        <w:tc>
          <w:tcPr>
            <w:tcW w:w="670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2.00E-06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31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KP</w:t>
            </w:r>
          </w:p>
        </w:tc>
        <w:tc>
          <w:tcPr>
            <w:tcW w:w="1084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Fc epsilon R.I. signaling pathway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7</w:t>
            </w:r>
          </w:p>
        </w:tc>
        <w:tc>
          <w:tcPr>
            <w:tcW w:w="563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1.90E-06</w:t>
            </w:r>
          </w:p>
        </w:tc>
        <w:tc>
          <w:tcPr>
            <w:tcW w:w="485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6</w:t>
            </w:r>
          </w:p>
        </w:tc>
        <w:tc>
          <w:tcPr>
            <w:tcW w:w="612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3.90E-05</w:t>
            </w:r>
          </w:p>
        </w:tc>
        <w:tc>
          <w:tcPr>
            <w:tcW w:w="709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7</w:t>
            </w:r>
          </w:p>
        </w:tc>
        <w:tc>
          <w:tcPr>
            <w:tcW w:w="670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1.90E-05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31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RP</w:t>
            </w:r>
          </w:p>
        </w:tc>
        <w:tc>
          <w:tcPr>
            <w:tcW w:w="1084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RNA Polymerase II Transcription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FFFFFF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24</w:t>
            </w:r>
          </w:p>
        </w:tc>
        <w:tc>
          <w:tcPr>
            <w:tcW w:w="563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1.90E-07</w:t>
            </w:r>
          </w:p>
        </w:tc>
        <w:tc>
          <w:tcPr>
            <w:tcW w:w="485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22</w:t>
            </w:r>
          </w:p>
        </w:tc>
        <w:tc>
          <w:tcPr>
            <w:tcW w:w="612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8.40E-08</w:t>
            </w:r>
          </w:p>
        </w:tc>
        <w:tc>
          <w:tcPr>
            <w:tcW w:w="709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29</w:t>
            </w:r>
          </w:p>
        </w:tc>
        <w:tc>
          <w:tcPr>
            <w:tcW w:w="670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4.70E-09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31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RP</w:t>
            </w:r>
          </w:p>
        </w:tc>
        <w:tc>
          <w:tcPr>
            <w:tcW w:w="1084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SARS-CoV-2 Infection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6</w:t>
            </w:r>
          </w:p>
        </w:tc>
        <w:tc>
          <w:tcPr>
            <w:tcW w:w="563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8.10E-03</w:t>
            </w:r>
          </w:p>
        </w:tc>
        <w:tc>
          <w:tcPr>
            <w:tcW w:w="485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7</w:t>
            </w:r>
          </w:p>
        </w:tc>
        <w:tc>
          <w:tcPr>
            <w:tcW w:w="612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1.80E-03</w:t>
            </w:r>
          </w:p>
        </w:tc>
        <w:tc>
          <w:tcPr>
            <w:tcW w:w="709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11</w:t>
            </w:r>
          </w:p>
        </w:tc>
        <w:tc>
          <w:tcPr>
            <w:tcW w:w="670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1.60E-05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31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RP</w:t>
            </w:r>
          </w:p>
        </w:tc>
        <w:tc>
          <w:tcPr>
            <w:tcW w:w="1084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FOXO-mediated transcription of oxidative stress, metabolic and neuronal genes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3</w:t>
            </w:r>
          </w:p>
        </w:tc>
        <w:tc>
          <w:tcPr>
            <w:tcW w:w="563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6.50E-03</w:t>
            </w:r>
          </w:p>
        </w:tc>
        <w:tc>
          <w:tcPr>
            <w:tcW w:w="485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3</w:t>
            </w:r>
          </w:p>
        </w:tc>
        <w:tc>
          <w:tcPr>
            <w:tcW w:w="612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7.10E-03</w:t>
            </w:r>
          </w:p>
        </w:tc>
        <w:tc>
          <w:tcPr>
            <w:tcW w:w="709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6</w:t>
            </w:r>
          </w:p>
        </w:tc>
        <w:tc>
          <w:tcPr>
            <w:tcW w:w="670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9.10E-07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31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RP</w:t>
            </w:r>
          </w:p>
        </w:tc>
        <w:tc>
          <w:tcPr>
            <w:tcW w:w="1084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RHO GTPases Activate NADPH Oxidases</w:t>
            </w:r>
          </w:p>
        </w:tc>
        <w:tc>
          <w:tcPr>
            <w:tcW w:w="542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3</w:t>
            </w:r>
          </w:p>
        </w:tc>
        <w:tc>
          <w:tcPr>
            <w:tcW w:w="563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4.50E-03</w:t>
            </w:r>
          </w:p>
        </w:tc>
        <w:tc>
          <w:tcPr>
            <w:tcW w:w="485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4</w:t>
            </w:r>
          </w:p>
        </w:tc>
        <w:tc>
          <w:tcPr>
            <w:tcW w:w="612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1.50E-04</w:t>
            </w:r>
          </w:p>
        </w:tc>
        <w:tc>
          <w:tcPr>
            <w:tcW w:w="709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4</w:t>
            </w:r>
          </w:p>
        </w:tc>
        <w:tc>
          <w:tcPr>
            <w:tcW w:w="670" w:type="pct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4.40E-04</w:t>
            </w:r>
          </w:p>
        </w:tc>
      </w:tr>
    </w:tbl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238" w:lineRule="auto"/>
        <w:jc w:val="both"/>
        <w:textAlignment w:val="baseline"/>
        <w:rPr>
          <w:rFonts w:hint="default" w:ascii="Times New Roman" w:hAnsi="Times New Roman" w:eastAsia="Times New Roman" w:cs="Times New Roman"/>
          <w:snapToGrid w:val="0"/>
          <w:color w:val="000000"/>
          <w:kern w:val="0"/>
          <w:sz w:val="17"/>
          <w:szCs w:val="15"/>
          <w:lang w:val="en-US" w:eastAsia="zh-CN"/>
        </w:rPr>
      </w:pPr>
      <w:r>
        <w:rPr>
          <w:rFonts w:hint="default" w:ascii="Times New Roman" w:hAnsi="Times New Roman" w:eastAsia="Times New Roman" w:cs="Times New Roman"/>
          <w:snapToGrid w:val="0"/>
          <w:color w:val="000000"/>
          <w:kern w:val="0"/>
          <w:sz w:val="17"/>
          <w:szCs w:val="15"/>
          <w:lang w:val="en-US" w:eastAsia="zh-CN"/>
        </w:rPr>
        <w:t>KP: KEGG Pathway, RP: REACTOME Pathway.</w:t>
      </w:r>
    </w:p>
    <w:p/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238" w:lineRule="auto"/>
        <w:jc w:val="both"/>
        <w:textAlignment w:val="baseline"/>
        <w:rPr>
          <w:rFonts w:hint="default" w:ascii="Times New Roman" w:hAnsi="Times New Roman" w:eastAsia="Times New Roman" w:cs="Times New Roman"/>
          <w:snapToGrid w:val="0"/>
          <w:color w:val="000000"/>
          <w:kern w:val="0"/>
          <w:sz w:val="17"/>
          <w:szCs w:val="15"/>
          <w:lang w:val="en-US" w:eastAsia="zh-CN"/>
        </w:rPr>
      </w:pPr>
      <w:r>
        <w:rPr>
          <w:rFonts w:hint="default" w:ascii="Times New Roman" w:hAnsi="Times New Roman" w:eastAsia="Times New Roman" w:cs="Times New Roman"/>
          <w:b/>
          <w:bCs/>
          <w:snapToGrid w:val="0"/>
          <w:color w:val="000000"/>
          <w:kern w:val="0"/>
          <w:sz w:val="17"/>
          <w:szCs w:val="15"/>
          <w:lang w:val="en-US" w:eastAsia="zh-CN"/>
        </w:rPr>
        <w:t xml:space="preserve">Table 4. </w:t>
      </w:r>
      <w:r>
        <w:rPr>
          <w:rFonts w:hint="default" w:ascii="Times New Roman" w:hAnsi="Times New Roman" w:eastAsia="Times New Roman" w:cs="Times New Roman"/>
          <w:snapToGrid w:val="0"/>
          <w:color w:val="000000"/>
          <w:kern w:val="0"/>
          <w:sz w:val="17"/>
          <w:szCs w:val="15"/>
          <w:lang w:val="en-US" w:eastAsia="zh-CN"/>
        </w:rPr>
        <w:t>SI of Curcumin or Resveratrol to inhibit the SARS-CoV-2-S PP cell entry</w:t>
      </w:r>
    </w:p>
    <w:tbl>
      <w:tblPr>
        <w:tblStyle w:val="3"/>
        <w:tblW w:w="4999" w:type="pct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46"/>
        <w:gridCol w:w="2046"/>
        <w:gridCol w:w="2046"/>
        <w:gridCol w:w="2046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50" w:type="pct"/>
            <w:tcBorders>
              <w:bottom w:val="single" w:color="auto" w:sz="6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" w:eastAsia="de-DE"/>
              </w:rPr>
              <w:t>Compound</w:t>
            </w:r>
          </w:p>
        </w:tc>
        <w:tc>
          <w:tcPr>
            <w:tcW w:w="1250" w:type="pct"/>
            <w:tcBorders>
              <w:bottom w:val="single" w:color="auto" w:sz="6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" w:eastAsia="de-DE"/>
              </w:rPr>
              <w:t>CC50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  <w:t>(μM)</w:t>
            </w:r>
          </w:p>
        </w:tc>
        <w:tc>
          <w:tcPr>
            <w:tcW w:w="1250" w:type="pct"/>
            <w:tcBorders>
              <w:bottom w:val="single" w:color="auto" w:sz="6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" w:eastAsia="de-DE"/>
              </w:rPr>
              <w:t>IC50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  <w:t>(μM)</w:t>
            </w:r>
          </w:p>
        </w:tc>
        <w:tc>
          <w:tcPr>
            <w:tcW w:w="1250" w:type="pct"/>
            <w:tcBorders>
              <w:bottom w:val="single" w:color="auto" w:sz="6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" w:eastAsia="de-DE"/>
              </w:rPr>
              <w:t>SI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50" w:type="pct"/>
            <w:tcBorders>
              <w:top w:val="single" w:color="auto" w:sz="6" w:space="0"/>
              <w:tl2br w:val="nil"/>
              <w:tr2bl w:val="nil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" w:eastAsia="de-DE"/>
              </w:rPr>
              <w:t>Curcumin</w:t>
            </w:r>
          </w:p>
        </w:tc>
        <w:tc>
          <w:tcPr>
            <w:tcW w:w="1250" w:type="pct"/>
            <w:tcBorders>
              <w:top w:val="single" w:color="auto" w:sz="6" w:space="0"/>
              <w:tl2br w:val="nil"/>
              <w:tr2bl w:val="nil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" w:eastAsia="de-DE"/>
              </w:rPr>
              <w:t xml:space="preserve">238.6  </w:t>
            </w:r>
          </w:p>
        </w:tc>
        <w:tc>
          <w:tcPr>
            <w:tcW w:w="1250" w:type="pct"/>
            <w:tcBorders>
              <w:top w:val="single" w:color="auto" w:sz="6" w:space="0"/>
              <w:tl2br w:val="nil"/>
              <w:tr2bl w:val="nil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  <w:t>18.02</w:t>
            </w:r>
          </w:p>
        </w:tc>
        <w:tc>
          <w:tcPr>
            <w:tcW w:w="1250" w:type="pct"/>
            <w:tcBorders>
              <w:top w:val="single" w:color="auto" w:sz="6" w:space="0"/>
              <w:tl2br w:val="nil"/>
              <w:tr2bl w:val="nil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13.24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50" w:type="pct"/>
            <w:tcBorders>
              <w:tl2br w:val="nil"/>
              <w:tr2bl w:val="nil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" w:eastAsia="de-DE"/>
              </w:rPr>
              <w:t>Resveratrol</w:t>
            </w:r>
          </w:p>
        </w:tc>
        <w:tc>
          <w:tcPr>
            <w:tcW w:w="1250" w:type="pct"/>
            <w:tcBorders>
              <w:tl2br w:val="nil"/>
              <w:tr2bl w:val="nil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" w:eastAsia="de-DE"/>
              </w:rPr>
              <w:t>288.7</w:t>
            </w:r>
          </w:p>
        </w:tc>
        <w:tc>
          <w:tcPr>
            <w:tcW w:w="1250" w:type="pct"/>
            <w:tcBorders>
              <w:tl2br w:val="nil"/>
              <w:tr2bl w:val="nil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" w:eastAsia="de-DE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" w:eastAsia="de-DE"/>
              </w:rPr>
              <w:t>8.76</w:t>
            </w:r>
          </w:p>
        </w:tc>
        <w:tc>
          <w:tcPr>
            <w:tcW w:w="1250" w:type="pct"/>
            <w:tcBorders>
              <w:tl2br w:val="nil"/>
              <w:tr2bl w:val="nil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32.96</w:t>
            </w:r>
          </w:p>
        </w:tc>
      </w:tr>
    </w:tbl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238" w:lineRule="auto"/>
        <w:jc w:val="both"/>
        <w:textAlignment w:val="baseline"/>
        <w:rPr>
          <w:rFonts w:hint="default" w:ascii="Times New Roman" w:hAnsi="Times New Roman" w:eastAsia="Times New Roman" w:cs="Times New Roman"/>
          <w:snapToGrid w:val="0"/>
          <w:color w:val="000000"/>
          <w:kern w:val="0"/>
          <w:sz w:val="17"/>
          <w:szCs w:val="15"/>
          <w:lang w:val="en-US" w:eastAsia="zh-CN"/>
        </w:rPr>
      </w:pPr>
      <w:r>
        <w:rPr>
          <w:rFonts w:hint="default" w:ascii="Times New Roman" w:hAnsi="Times New Roman" w:eastAsia="Times New Roman" w:cs="Times New Roman"/>
          <w:snapToGrid w:val="0"/>
          <w:color w:val="000000"/>
          <w:kern w:val="0"/>
          <w:sz w:val="17"/>
          <w:szCs w:val="15"/>
          <w:lang w:val="en-US" w:eastAsia="zh-CN"/>
        </w:rPr>
        <w:t>CC50: 50% cytotoxic concentration, IC50: 50% inhibiting concentration, SI: selectivity index.</w:t>
      </w:r>
    </w:p>
    <w:p/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238" w:lineRule="auto"/>
        <w:jc w:val="both"/>
        <w:textAlignment w:val="baseline"/>
        <w:rPr>
          <w:rFonts w:hint="default" w:ascii="Times New Roman" w:hAnsi="Times New Roman" w:eastAsia="Times New Roman" w:cs="Times New Roman"/>
          <w:b w:val="0"/>
          <w:bCs w:val="0"/>
          <w:snapToGrid w:val="0"/>
          <w:color w:val="000000"/>
          <w:kern w:val="0"/>
          <w:sz w:val="17"/>
          <w:szCs w:val="15"/>
          <w:lang w:val="en-US" w:eastAsia="zh-CN"/>
        </w:rPr>
      </w:pPr>
      <w:r>
        <w:rPr>
          <w:rFonts w:hint="default" w:ascii="Times New Roman" w:hAnsi="Times New Roman" w:eastAsia="Times New Roman" w:cs="Times New Roman"/>
          <w:b/>
          <w:bCs/>
          <w:snapToGrid w:val="0"/>
          <w:color w:val="000000"/>
          <w:kern w:val="0"/>
          <w:sz w:val="17"/>
          <w:szCs w:val="15"/>
          <w:lang w:val="en-US" w:eastAsia="zh-CN"/>
        </w:rPr>
        <w:t xml:space="preserve">Table 5. </w:t>
      </w:r>
      <w:r>
        <w:rPr>
          <w:rFonts w:hint="default" w:ascii="Times New Roman" w:hAnsi="Times New Roman" w:eastAsia="Times New Roman" w:cs="Times New Roman"/>
          <w:b w:val="0"/>
          <w:bCs w:val="0"/>
          <w:snapToGrid w:val="0"/>
          <w:color w:val="000000"/>
          <w:kern w:val="0"/>
          <w:sz w:val="17"/>
          <w:szCs w:val="15"/>
          <w:lang w:val="en-US" w:eastAsia="zh-CN"/>
        </w:rPr>
        <w:t>SI of Curcumin or Resveratrol to inhibit the activity of SARS-CoV-2 3CLpro</w:t>
      </w:r>
    </w:p>
    <w:tbl>
      <w:tblPr>
        <w:tblStyle w:val="2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7"/>
        <w:gridCol w:w="1701"/>
        <w:gridCol w:w="1687"/>
        <w:gridCol w:w="26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1385" w:type="pct"/>
            <w:tcBorders>
              <w:top w:val="single" w:color="auto" w:sz="8" w:space="0"/>
              <w:left w:val="nil"/>
              <w:bottom w:val="single" w:color="auto" w:sz="6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b w:val="0"/>
                <w:bCs w:val="0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Compound</w:t>
            </w:r>
          </w:p>
        </w:tc>
        <w:tc>
          <w:tcPr>
            <w:tcW w:w="1012" w:type="pct"/>
            <w:tcBorders>
              <w:top w:val="single" w:color="auto" w:sz="8" w:space="0"/>
              <w:left w:val="nil"/>
              <w:bottom w:val="single" w:color="auto" w:sz="6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b w:val="0"/>
                <w:bCs w:val="0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CC50 (μM)</w:t>
            </w:r>
          </w:p>
        </w:tc>
        <w:tc>
          <w:tcPr>
            <w:tcW w:w="1004" w:type="pct"/>
            <w:tcBorders>
              <w:top w:val="single" w:color="auto" w:sz="8" w:space="0"/>
              <w:left w:val="nil"/>
              <w:bottom w:val="single" w:color="auto" w:sz="6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b w:val="0"/>
                <w:bCs w:val="0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IC50 (μM)</w:t>
            </w:r>
          </w:p>
        </w:tc>
        <w:tc>
          <w:tcPr>
            <w:tcW w:w="1597" w:type="pct"/>
            <w:tcBorders>
              <w:top w:val="single" w:color="auto" w:sz="8" w:space="0"/>
              <w:left w:val="nil"/>
              <w:bottom w:val="single" w:color="auto" w:sz="6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b w:val="0"/>
                <w:bCs w:val="0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SI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385" w:type="pct"/>
            <w:tcBorders>
              <w:top w:val="single" w:color="auto" w:sz="6" w:space="0"/>
              <w:left w:val="nil"/>
              <w:bottom w:val="nil"/>
              <w:right w:val="single" w:color="ECF0F1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b w:val="0"/>
                <w:bCs w:val="0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Curcumin</w:t>
            </w:r>
          </w:p>
        </w:tc>
        <w:tc>
          <w:tcPr>
            <w:tcW w:w="1012" w:type="pct"/>
            <w:tcBorders>
              <w:top w:val="single" w:color="auto" w:sz="6" w:space="0"/>
              <w:left w:val="nil"/>
              <w:bottom w:val="nil"/>
              <w:right w:val="single" w:color="ECF0F1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b w:val="0"/>
                <w:bCs w:val="0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238.6</w:t>
            </w:r>
          </w:p>
        </w:tc>
        <w:tc>
          <w:tcPr>
            <w:tcW w:w="1004" w:type="pct"/>
            <w:tcBorders>
              <w:top w:val="single" w:color="auto" w:sz="6" w:space="0"/>
              <w:left w:val="nil"/>
              <w:bottom w:val="nil"/>
              <w:right w:val="single" w:color="ECF0F1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b w:val="0"/>
                <w:bCs w:val="0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10.98</w:t>
            </w:r>
          </w:p>
        </w:tc>
        <w:tc>
          <w:tcPr>
            <w:tcW w:w="1597" w:type="pct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b w:val="0"/>
                <w:bCs w:val="0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21.73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1385" w:type="pct"/>
            <w:tcBorders>
              <w:top w:val="nil"/>
              <w:left w:val="nil"/>
              <w:bottom w:val="single" w:color="auto" w:sz="8" w:space="0"/>
              <w:right w:val="single" w:color="ECF0F1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b w:val="0"/>
                <w:bCs w:val="0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Resveratrol</w:t>
            </w:r>
          </w:p>
        </w:tc>
        <w:tc>
          <w:tcPr>
            <w:tcW w:w="1012" w:type="pct"/>
            <w:tcBorders>
              <w:top w:val="nil"/>
              <w:left w:val="nil"/>
              <w:bottom w:val="single" w:color="auto" w:sz="8" w:space="0"/>
              <w:right w:val="single" w:color="ECF0F1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b w:val="0"/>
                <w:bCs w:val="0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288.7</w:t>
            </w:r>
          </w:p>
        </w:tc>
        <w:tc>
          <w:tcPr>
            <w:tcW w:w="1004" w:type="pct"/>
            <w:tcBorders>
              <w:top w:val="nil"/>
              <w:left w:val="nil"/>
              <w:bottom w:val="single" w:color="auto" w:sz="8" w:space="0"/>
              <w:right w:val="single" w:color="ECF0F1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b w:val="0"/>
                <w:bCs w:val="0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15.9</w:t>
            </w:r>
          </w:p>
        </w:tc>
        <w:tc>
          <w:tcPr>
            <w:tcW w:w="1597" w:type="pct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after="0" w:afterLines="50" w:line="238" w:lineRule="auto"/>
              <w:jc w:val="both"/>
              <w:textAlignment w:val="baseline"/>
              <w:rPr>
                <w:rFonts w:hint="default" w:ascii="Times New Roman" w:hAnsi="Times New Roman" w:eastAsia="Times New Roman" w:cs="Times New Roman"/>
                <w:b w:val="0"/>
                <w:bCs w:val="0"/>
                <w:snapToGrid w:val="0"/>
                <w:color w:val="000000"/>
                <w:kern w:val="0"/>
                <w:sz w:val="17"/>
                <w:szCs w:val="15"/>
                <w:lang w:val="en-US" w:eastAsia="de-D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snapToGrid w:val="0"/>
                <w:color w:val="000000"/>
                <w:kern w:val="0"/>
                <w:sz w:val="17"/>
                <w:szCs w:val="15"/>
                <w:lang w:val="en-US" w:eastAsia="zh-CN"/>
              </w:rPr>
              <w:t>18.16</w:t>
            </w:r>
          </w:p>
        </w:tc>
      </w:tr>
    </w:tbl>
    <w:p/>
    <w:sectPr>
      <w:pgSz w:w="11906" w:h="16838"/>
      <w:pgMar w:top="1440" w:right="1860" w:bottom="1440" w:left="1860" w:header="851" w:footer="992" w:gutter="0"/>
      <w:cols w:space="0" w:num="1"/>
      <w:rtlGutter w:val="0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hNTE5Y2QyZWJhYTIyZDJkOGY1NDk5MjRiZWI2YTEifQ=="/>
  </w:docVars>
  <w:rsids>
    <w:rsidRoot w:val="12A26D37"/>
    <w:rsid w:val="12A26D37"/>
    <w:rsid w:val="1B132036"/>
    <w:rsid w:val="3E570114"/>
    <w:rsid w:val="77A304DF"/>
    <w:rsid w:val="7FDD4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59"/>
    <w:pPr>
      <w:spacing w:line="260" w:lineRule="atLeast"/>
      <w:jc w:val="both"/>
    </w:pPr>
    <w:rPr>
      <w:rFonts w:ascii="Palatino Linotype" w:hAnsi="Palatino Linotype"/>
      <w:color w:val="00000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357</Words>
  <Characters>1866</Characters>
  <Lines>0</Lines>
  <Paragraphs>0</Paragraphs>
  <TotalTime>0</TotalTime>
  <ScaleCrop>false</ScaleCrop>
  <LinksUpToDate>false</LinksUpToDate>
  <CharactersWithSpaces>2014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2023-04-02T08:44:00Z</dcterms:created>
  <dc:creator>一</dc:creator>
  <cp:lastModifiedBy>一</cp:lastModifiedBy>
  <dcterms:modified xsi:type="dcterms:W3CDTF">2023-04-02T08:52:56Z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4A774916BD314F06A687AEBDA25F90E5</vt:lpwstr>
  </property>
</Properties>
</file>