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5BD25D" w14:textId="77777777" w:rsidR="0052661D" w:rsidRPr="0052661D" w:rsidRDefault="0052661D" w:rsidP="0052661D">
      <w:pPr>
        <w:pStyle w:val="TAMainText"/>
        <w:rPr>
          <w:b/>
          <w:vertAlign w:val="superscript"/>
        </w:rPr>
      </w:pPr>
      <w:r w:rsidRPr="0052661D">
        <w:rPr>
          <w:b/>
        </w:rPr>
        <w:t>Table 1. Optimization of Enantioselective Copper-Catalyzed Chan-Lam Coupling of Sulfenamide (</w:t>
      </w:r>
      <w:r w:rsidRPr="0052661D">
        <w:rPr>
          <w:b/>
          <w:bCs/>
        </w:rPr>
        <w:t>1a</w:t>
      </w:r>
      <w:r w:rsidRPr="0052661D">
        <w:rPr>
          <w:b/>
        </w:rPr>
        <w:t>) with 4-</w:t>
      </w:r>
      <w:r w:rsidRPr="0052661D">
        <w:rPr>
          <w:b/>
          <w:i/>
        </w:rPr>
        <w:t>tert</w:t>
      </w:r>
      <w:r w:rsidRPr="0052661D">
        <w:rPr>
          <w:b/>
        </w:rPr>
        <w:t>-Butyl Phenylboronic Acid (</w:t>
      </w:r>
      <w:r w:rsidRPr="0052661D">
        <w:rPr>
          <w:b/>
          <w:bCs/>
        </w:rPr>
        <w:t>2a</w:t>
      </w:r>
      <w:r w:rsidRPr="0052661D">
        <w:rPr>
          <w:b/>
        </w:rPr>
        <w:t>)</w:t>
      </w:r>
      <w:r w:rsidRPr="0052661D">
        <w:rPr>
          <w:rFonts w:hint="eastAsia"/>
          <w:b/>
          <w:vertAlign w:val="superscript"/>
        </w:rPr>
        <w:t>a</w:t>
      </w:r>
    </w:p>
    <w:p w14:paraId="3AF8184A" w14:textId="0B14239B" w:rsidR="0052661D" w:rsidRPr="00E70829" w:rsidRDefault="0052661D" w:rsidP="0052661D">
      <w:pPr>
        <w:pStyle w:val="TAMainText"/>
      </w:pPr>
      <w:r w:rsidRPr="00E70829">
        <w:object w:dxaOrig="13128" w:dyaOrig="5196" w14:anchorId="6E3062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14.75pt;height:164.25pt" o:ole="">
            <v:imagedata r:id="rId6" o:title=""/>
          </v:shape>
          <o:OLEObject Type="Embed" ProgID="ChemDraw.Document.6.0" ShapeID="_x0000_i1026" DrawAspect="Content" ObjectID="_1742281993" r:id="rId7"/>
        </w:object>
      </w:r>
    </w:p>
    <w:tbl>
      <w:tblPr>
        <w:tblStyle w:val="TableGrid"/>
        <w:tblW w:w="4847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20" w:firstRow="1" w:lastRow="0" w:firstColumn="0" w:lastColumn="0" w:noHBand="0" w:noVBand="1"/>
      </w:tblPr>
      <w:tblGrid>
        <w:gridCol w:w="735"/>
        <w:gridCol w:w="862"/>
        <w:gridCol w:w="1702"/>
        <w:gridCol w:w="790"/>
        <w:gridCol w:w="851"/>
        <w:gridCol w:w="849"/>
        <w:gridCol w:w="1702"/>
        <w:gridCol w:w="770"/>
      </w:tblGrid>
      <w:tr w:rsidR="0052661D" w:rsidRPr="00E70829" w14:paraId="54C54F49" w14:textId="77777777" w:rsidTr="0052661D">
        <w:trPr>
          <w:trHeight w:val="398"/>
          <w:jc w:val="center"/>
        </w:trPr>
        <w:tc>
          <w:tcPr>
            <w:tcW w:w="445" w:type="pct"/>
            <w:hideMark/>
          </w:tcPr>
          <w:p w14:paraId="5087CF3A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entry</w:t>
            </w:r>
          </w:p>
        </w:tc>
        <w:tc>
          <w:tcPr>
            <w:tcW w:w="522" w:type="pct"/>
          </w:tcPr>
          <w:p w14:paraId="0525B273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ligand</w:t>
            </w:r>
          </w:p>
        </w:tc>
        <w:tc>
          <w:tcPr>
            <w:tcW w:w="1030" w:type="pct"/>
            <w:hideMark/>
          </w:tcPr>
          <w:p w14:paraId="123B991B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assay yield</w:t>
            </w:r>
            <w:r w:rsidRPr="00694AEC">
              <w:rPr>
                <w:rFonts w:ascii="Times New Roman" w:eastAsia="SimSun" w:hAnsi="Times New Roman"/>
                <w:iCs/>
                <w:color w:val="000000"/>
                <w:sz w:val="20"/>
                <w:szCs w:val="20"/>
                <w:vertAlign w:val="superscript"/>
              </w:rPr>
              <w:t>b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/%</w:t>
            </w:r>
          </w:p>
        </w:tc>
        <w:tc>
          <w:tcPr>
            <w:tcW w:w="478" w:type="pct"/>
            <w:tcBorders>
              <w:right w:val="single" w:sz="4" w:space="0" w:color="auto"/>
            </w:tcBorders>
          </w:tcPr>
          <w:p w14:paraId="136D648C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ee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/%</w:t>
            </w:r>
          </w:p>
        </w:tc>
        <w:tc>
          <w:tcPr>
            <w:tcW w:w="515" w:type="pct"/>
            <w:tcBorders>
              <w:left w:val="single" w:sz="4" w:space="0" w:color="auto"/>
            </w:tcBorders>
          </w:tcPr>
          <w:p w14:paraId="66B70A20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entry</w:t>
            </w:r>
          </w:p>
        </w:tc>
        <w:tc>
          <w:tcPr>
            <w:tcW w:w="514" w:type="pct"/>
          </w:tcPr>
          <w:p w14:paraId="170C6178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ligand</w:t>
            </w:r>
          </w:p>
        </w:tc>
        <w:tc>
          <w:tcPr>
            <w:tcW w:w="1030" w:type="pct"/>
          </w:tcPr>
          <w:p w14:paraId="5103E507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assay yield</w:t>
            </w:r>
            <w:r w:rsidRPr="00694AEC">
              <w:rPr>
                <w:rFonts w:ascii="Times New Roman" w:eastAsia="SimSun" w:hAnsi="Times New Roman"/>
                <w:iCs/>
                <w:color w:val="000000"/>
                <w:sz w:val="20"/>
                <w:szCs w:val="20"/>
                <w:vertAlign w:val="superscript"/>
              </w:rPr>
              <w:t>b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/%</w:t>
            </w:r>
          </w:p>
        </w:tc>
        <w:tc>
          <w:tcPr>
            <w:tcW w:w="466" w:type="pct"/>
          </w:tcPr>
          <w:p w14:paraId="1D760C5F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ee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c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/%</w:t>
            </w:r>
          </w:p>
        </w:tc>
      </w:tr>
      <w:tr w:rsidR="0052661D" w:rsidRPr="00E70829" w14:paraId="77F8CC20" w14:textId="77777777" w:rsidTr="0052661D">
        <w:trPr>
          <w:trHeight w:val="398"/>
          <w:jc w:val="center"/>
        </w:trPr>
        <w:tc>
          <w:tcPr>
            <w:tcW w:w="445" w:type="pct"/>
            <w:hideMark/>
          </w:tcPr>
          <w:p w14:paraId="307F74E5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1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22" w:type="pct"/>
          </w:tcPr>
          <w:p w14:paraId="24B432B6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L1</w:t>
            </w:r>
          </w:p>
        </w:tc>
        <w:tc>
          <w:tcPr>
            <w:tcW w:w="1030" w:type="pct"/>
          </w:tcPr>
          <w:p w14:paraId="300A2877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478" w:type="pct"/>
            <w:tcBorders>
              <w:right w:val="single" w:sz="4" w:space="0" w:color="auto"/>
            </w:tcBorders>
          </w:tcPr>
          <w:p w14:paraId="10BF277D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15" w:type="pct"/>
            <w:tcBorders>
              <w:left w:val="single" w:sz="4" w:space="0" w:color="auto"/>
            </w:tcBorders>
          </w:tcPr>
          <w:p w14:paraId="105A9A1D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8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514" w:type="pct"/>
          </w:tcPr>
          <w:p w14:paraId="7ED70ABF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L7</w:t>
            </w:r>
          </w:p>
        </w:tc>
        <w:tc>
          <w:tcPr>
            <w:tcW w:w="1030" w:type="pct"/>
          </w:tcPr>
          <w:p w14:paraId="1AC434C7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466" w:type="pct"/>
          </w:tcPr>
          <w:p w14:paraId="742985A4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13</w:t>
            </w:r>
          </w:p>
        </w:tc>
      </w:tr>
      <w:tr w:rsidR="0052661D" w:rsidRPr="00E70829" w14:paraId="63647A70" w14:textId="77777777" w:rsidTr="0052661D">
        <w:trPr>
          <w:trHeight w:val="398"/>
          <w:jc w:val="center"/>
        </w:trPr>
        <w:tc>
          <w:tcPr>
            <w:tcW w:w="445" w:type="pct"/>
            <w:hideMark/>
          </w:tcPr>
          <w:p w14:paraId="1EBBE907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2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22" w:type="pct"/>
          </w:tcPr>
          <w:p w14:paraId="29E77FB2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L2</w:t>
            </w:r>
          </w:p>
        </w:tc>
        <w:tc>
          <w:tcPr>
            <w:tcW w:w="1030" w:type="pct"/>
          </w:tcPr>
          <w:p w14:paraId="311A9473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478" w:type="pct"/>
            <w:tcBorders>
              <w:right w:val="single" w:sz="4" w:space="0" w:color="auto"/>
            </w:tcBorders>
          </w:tcPr>
          <w:p w14:paraId="63BDCFE0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515" w:type="pct"/>
            <w:tcBorders>
              <w:left w:val="single" w:sz="4" w:space="0" w:color="auto"/>
            </w:tcBorders>
          </w:tcPr>
          <w:p w14:paraId="03DCA4E3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9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e,f</w:t>
            </w:r>
          </w:p>
        </w:tc>
        <w:tc>
          <w:tcPr>
            <w:tcW w:w="514" w:type="pct"/>
          </w:tcPr>
          <w:p w14:paraId="42AE4A24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L6</w:t>
            </w:r>
          </w:p>
        </w:tc>
        <w:tc>
          <w:tcPr>
            <w:tcW w:w="1030" w:type="pct"/>
          </w:tcPr>
          <w:p w14:paraId="335F3154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466" w:type="pct"/>
          </w:tcPr>
          <w:p w14:paraId="65F42CB8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80</w:t>
            </w:r>
          </w:p>
        </w:tc>
      </w:tr>
      <w:tr w:rsidR="0052661D" w:rsidRPr="00E70829" w14:paraId="008EA6CD" w14:textId="77777777" w:rsidTr="0052661D">
        <w:trPr>
          <w:trHeight w:val="398"/>
          <w:jc w:val="center"/>
        </w:trPr>
        <w:tc>
          <w:tcPr>
            <w:tcW w:w="445" w:type="pct"/>
            <w:hideMark/>
          </w:tcPr>
          <w:p w14:paraId="20BA1499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3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22" w:type="pct"/>
          </w:tcPr>
          <w:p w14:paraId="1DB4F95E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L3</w:t>
            </w:r>
          </w:p>
        </w:tc>
        <w:tc>
          <w:tcPr>
            <w:tcW w:w="1030" w:type="pct"/>
          </w:tcPr>
          <w:p w14:paraId="42CF3F13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trace</w:t>
            </w:r>
          </w:p>
        </w:tc>
        <w:tc>
          <w:tcPr>
            <w:tcW w:w="478" w:type="pct"/>
            <w:tcBorders>
              <w:right w:val="single" w:sz="4" w:space="0" w:color="auto"/>
            </w:tcBorders>
          </w:tcPr>
          <w:p w14:paraId="23B39106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/</w:t>
            </w:r>
          </w:p>
        </w:tc>
        <w:tc>
          <w:tcPr>
            <w:tcW w:w="515" w:type="pct"/>
            <w:tcBorders>
              <w:left w:val="single" w:sz="4" w:space="0" w:color="auto"/>
            </w:tcBorders>
          </w:tcPr>
          <w:p w14:paraId="3ACF53D8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10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e,f</w:t>
            </w:r>
          </w:p>
        </w:tc>
        <w:tc>
          <w:tcPr>
            <w:tcW w:w="514" w:type="pct"/>
          </w:tcPr>
          <w:p w14:paraId="3ED055F1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L8</w:t>
            </w:r>
          </w:p>
        </w:tc>
        <w:tc>
          <w:tcPr>
            <w:tcW w:w="1030" w:type="pct"/>
          </w:tcPr>
          <w:p w14:paraId="597DDB89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66" w:type="pct"/>
          </w:tcPr>
          <w:p w14:paraId="4C5C0091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82</w:t>
            </w:r>
          </w:p>
        </w:tc>
      </w:tr>
      <w:tr w:rsidR="0052661D" w:rsidRPr="00E70829" w14:paraId="08347404" w14:textId="77777777" w:rsidTr="0052661D">
        <w:trPr>
          <w:trHeight w:val="398"/>
          <w:jc w:val="center"/>
        </w:trPr>
        <w:tc>
          <w:tcPr>
            <w:tcW w:w="445" w:type="pct"/>
            <w:hideMark/>
          </w:tcPr>
          <w:p w14:paraId="7BA1BE11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4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522" w:type="pct"/>
          </w:tcPr>
          <w:p w14:paraId="070589D7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L4</w:t>
            </w:r>
          </w:p>
        </w:tc>
        <w:tc>
          <w:tcPr>
            <w:tcW w:w="1030" w:type="pct"/>
          </w:tcPr>
          <w:p w14:paraId="7A85BF44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478" w:type="pct"/>
            <w:tcBorders>
              <w:right w:val="single" w:sz="4" w:space="0" w:color="auto"/>
            </w:tcBorders>
          </w:tcPr>
          <w:p w14:paraId="78077C73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515" w:type="pct"/>
            <w:tcBorders>
              <w:left w:val="single" w:sz="4" w:space="0" w:color="auto"/>
            </w:tcBorders>
          </w:tcPr>
          <w:p w14:paraId="523E4595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11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e,f</w:t>
            </w:r>
          </w:p>
        </w:tc>
        <w:tc>
          <w:tcPr>
            <w:tcW w:w="514" w:type="pct"/>
          </w:tcPr>
          <w:p w14:paraId="3A003E12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L9</w:t>
            </w:r>
          </w:p>
        </w:tc>
        <w:tc>
          <w:tcPr>
            <w:tcW w:w="1030" w:type="pct"/>
          </w:tcPr>
          <w:p w14:paraId="365A0352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466" w:type="pct"/>
          </w:tcPr>
          <w:p w14:paraId="363E1EE8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90</w:t>
            </w:r>
          </w:p>
        </w:tc>
      </w:tr>
      <w:tr w:rsidR="0052661D" w:rsidRPr="00E70829" w14:paraId="6C318599" w14:textId="77777777" w:rsidTr="0052661D">
        <w:trPr>
          <w:trHeight w:val="398"/>
          <w:jc w:val="center"/>
        </w:trPr>
        <w:tc>
          <w:tcPr>
            <w:tcW w:w="445" w:type="pct"/>
            <w:hideMark/>
          </w:tcPr>
          <w:p w14:paraId="5F5366BD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5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522" w:type="pct"/>
          </w:tcPr>
          <w:p w14:paraId="1D993DB9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L4</w:t>
            </w:r>
          </w:p>
        </w:tc>
        <w:tc>
          <w:tcPr>
            <w:tcW w:w="1030" w:type="pct"/>
          </w:tcPr>
          <w:p w14:paraId="1AE1AC9D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478" w:type="pct"/>
            <w:tcBorders>
              <w:right w:val="single" w:sz="4" w:space="0" w:color="auto"/>
            </w:tcBorders>
          </w:tcPr>
          <w:p w14:paraId="5EA7C4AC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515" w:type="pct"/>
            <w:tcBorders>
              <w:left w:val="single" w:sz="4" w:space="0" w:color="auto"/>
            </w:tcBorders>
          </w:tcPr>
          <w:p w14:paraId="6530D8D1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12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e,f</w:t>
            </w:r>
          </w:p>
        </w:tc>
        <w:tc>
          <w:tcPr>
            <w:tcW w:w="514" w:type="pct"/>
          </w:tcPr>
          <w:p w14:paraId="1DFABE11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L10</w:t>
            </w:r>
          </w:p>
        </w:tc>
        <w:tc>
          <w:tcPr>
            <w:tcW w:w="1030" w:type="pct"/>
          </w:tcPr>
          <w:p w14:paraId="375A5A7C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466" w:type="pct"/>
          </w:tcPr>
          <w:p w14:paraId="204E0564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92</w:t>
            </w:r>
          </w:p>
        </w:tc>
      </w:tr>
      <w:tr w:rsidR="0052661D" w:rsidRPr="00E70829" w14:paraId="75310188" w14:textId="77777777" w:rsidTr="0052661D">
        <w:trPr>
          <w:trHeight w:val="398"/>
          <w:jc w:val="center"/>
        </w:trPr>
        <w:tc>
          <w:tcPr>
            <w:tcW w:w="445" w:type="pct"/>
            <w:hideMark/>
          </w:tcPr>
          <w:p w14:paraId="42DF283B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6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522" w:type="pct"/>
          </w:tcPr>
          <w:p w14:paraId="06173DC6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L5</w:t>
            </w:r>
          </w:p>
        </w:tc>
        <w:tc>
          <w:tcPr>
            <w:tcW w:w="1030" w:type="pct"/>
          </w:tcPr>
          <w:p w14:paraId="44A97C58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478" w:type="pct"/>
            <w:tcBorders>
              <w:right w:val="single" w:sz="4" w:space="0" w:color="auto"/>
            </w:tcBorders>
          </w:tcPr>
          <w:p w14:paraId="35140447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515" w:type="pct"/>
            <w:tcBorders>
              <w:left w:val="single" w:sz="4" w:space="0" w:color="auto"/>
            </w:tcBorders>
          </w:tcPr>
          <w:p w14:paraId="5BF4D622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13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e,f,g</w:t>
            </w:r>
          </w:p>
        </w:tc>
        <w:tc>
          <w:tcPr>
            <w:tcW w:w="514" w:type="pct"/>
          </w:tcPr>
          <w:p w14:paraId="5AC7B4FC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L10</w:t>
            </w:r>
          </w:p>
        </w:tc>
        <w:tc>
          <w:tcPr>
            <w:tcW w:w="1030" w:type="pct"/>
          </w:tcPr>
          <w:p w14:paraId="3A771132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88(83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h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)</w:t>
            </w:r>
          </w:p>
        </w:tc>
        <w:tc>
          <w:tcPr>
            <w:tcW w:w="466" w:type="pct"/>
          </w:tcPr>
          <w:p w14:paraId="04DB895A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92</w:t>
            </w:r>
          </w:p>
        </w:tc>
      </w:tr>
      <w:tr w:rsidR="0052661D" w:rsidRPr="00E70829" w14:paraId="114B62AF" w14:textId="77777777" w:rsidTr="0052661D">
        <w:trPr>
          <w:trHeight w:val="398"/>
          <w:jc w:val="center"/>
        </w:trPr>
        <w:tc>
          <w:tcPr>
            <w:tcW w:w="445" w:type="pct"/>
          </w:tcPr>
          <w:p w14:paraId="7414B551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7</w:t>
            </w: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522" w:type="pct"/>
          </w:tcPr>
          <w:p w14:paraId="597CC874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b/>
                <w:color w:val="000000"/>
                <w:sz w:val="20"/>
                <w:szCs w:val="20"/>
              </w:rPr>
              <w:t>L6</w:t>
            </w:r>
          </w:p>
        </w:tc>
        <w:tc>
          <w:tcPr>
            <w:tcW w:w="1030" w:type="pct"/>
          </w:tcPr>
          <w:p w14:paraId="2322F6DD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478" w:type="pct"/>
            <w:tcBorders>
              <w:right w:val="single" w:sz="4" w:space="0" w:color="auto"/>
            </w:tcBorders>
          </w:tcPr>
          <w:p w14:paraId="0F654545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  <w:r w:rsidRPr="00694AEC">
              <w:rPr>
                <w:rFonts w:ascii="Times New Roman" w:eastAsia="SimSun" w:hAnsi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515" w:type="pct"/>
            <w:tcBorders>
              <w:left w:val="single" w:sz="4" w:space="0" w:color="auto"/>
            </w:tcBorders>
          </w:tcPr>
          <w:p w14:paraId="3B1F1865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14" w:type="pct"/>
          </w:tcPr>
          <w:p w14:paraId="32F7BA9A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30" w:type="pct"/>
          </w:tcPr>
          <w:p w14:paraId="64BE6C9A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66" w:type="pct"/>
          </w:tcPr>
          <w:p w14:paraId="785934CC" w14:textId="77777777" w:rsidR="0052661D" w:rsidRPr="00694AEC" w:rsidRDefault="0052661D" w:rsidP="0052661D">
            <w:pPr>
              <w:jc w:val="center"/>
              <w:rPr>
                <w:rFonts w:ascii="Times New Roman" w:eastAsia="SimSun" w:hAnsi="Times New Roman"/>
                <w:color w:val="000000"/>
                <w:sz w:val="20"/>
                <w:szCs w:val="20"/>
              </w:rPr>
            </w:pPr>
          </w:p>
        </w:tc>
      </w:tr>
    </w:tbl>
    <w:p w14:paraId="0ED2D268" w14:textId="42EFD6D1" w:rsidR="009153A5" w:rsidRPr="00E70829" w:rsidRDefault="009153A5" w:rsidP="009153A5">
      <w:pPr>
        <w:pStyle w:val="TAMainText"/>
      </w:pPr>
      <w:r w:rsidRPr="009153A5">
        <w:rPr>
          <w:vertAlign w:val="superscript"/>
        </w:rPr>
        <w:t>a</w:t>
      </w:r>
      <w:r w:rsidRPr="009153A5">
        <w:t>Reaction conditions unless stated otherwise</w:t>
      </w:r>
      <w:r w:rsidRPr="009153A5">
        <w:rPr>
          <w:rFonts w:hint="eastAsia"/>
        </w:rPr>
        <w:t xml:space="preserve">: </w:t>
      </w:r>
      <w:r w:rsidRPr="009153A5">
        <w:rPr>
          <w:b/>
        </w:rPr>
        <w:t>1a</w:t>
      </w:r>
      <w:r w:rsidRPr="009153A5">
        <w:t xml:space="preserve"> (0.1 mmol), </w:t>
      </w:r>
      <w:r w:rsidRPr="009153A5">
        <w:rPr>
          <w:b/>
        </w:rPr>
        <w:t>2a</w:t>
      </w:r>
      <w:r w:rsidRPr="009153A5">
        <w:t xml:space="preserve"> (2.0 equiv), copper catalyst (10 mol %), ligand (15 mol %), </w:t>
      </w:r>
      <w:r w:rsidRPr="009153A5">
        <w:rPr>
          <w:rFonts w:hint="eastAsia"/>
        </w:rPr>
        <w:t>base</w:t>
      </w:r>
      <w:r w:rsidRPr="009153A5">
        <w:t xml:space="preserve"> (2.0 equiv) and </w:t>
      </w:r>
      <w:r w:rsidRPr="009153A5">
        <w:rPr>
          <w:rFonts w:hint="eastAsia"/>
        </w:rPr>
        <w:t>solvent</w:t>
      </w:r>
      <w:r w:rsidRPr="009153A5">
        <w:t xml:space="preserve"> (1.0 mL), at rt for 12 h under an O</w:t>
      </w:r>
      <w:r w:rsidRPr="009153A5">
        <w:rPr>
          <w:vertAlign w:val="subscript"/>
        </w:rPr>
        <w:t>2</w:t>
      </w:r>
      <w:r w:rsidRPr="009153A5">
        <w:t xml:space="preserve"> atmosphere.</w:t>
      </w:r>
      <w:r w:rsidRPr="009153A5">
        <w:rPr>
          <w:rFonts w:hint="eastAsia"/>
        </w:rPr>
        <w:t xml:space="preserve"> </w:t>
      </w:r>
      <w:r w:rsidRPr="009153A5">
        <w:rPr>
          <w:iCs/>
          <w:vertAlign w:val="superscript"/>
        </w:rPr>
        <w:t>b</w:t>
      </w:r>
      <w:r w:rsidRPr="009153A5">
        <w:t xml:space="preserve">Assay yields determined by </w:t>
      </w:r>
      <w:r w:rsidRPr="009153A5">
        <w:rPr>
          <w:vertAlign w:val="superscript"/>
        </w:rPr>
        <w:t>1</w:t>
      </w:r>
      <w:r w:rsidRPr="009153A5">
        <w:t>H NMR spectroscopy of unpurified reaction mixtures using 0.1 mmol (7.0 μL) of CH</w:t>
      </w:r>
      <w:r w:rsidRPr="009153A5">
        <w:rPr>
          <w:vertAlign w:val="subscript"/>
        </w:rPr>
        <w:t>2</w:t>
      </w:r>
      <w:r w:rsidRPr="009153A5">
        <w:t>Br</w:t>
      </w:r>
      <w:r w:rsidRPr="009153A5">
        <w:rPr>
          <w:vertAlign w:val="subscript"/>
        </w:rPr>
        <w:t>2</w:t>
      </w:r>
      <w:r w:rsidRPr="009153A5">
        <w:t xml:space="preserve"> as internal standard.</w:t>
      </w:r>
      <w:r w:rsidRPr="009153A5">
        <w:rPr>
          <w:rFonts w:hint="eastAsia"/>
        </w:rPr>
        <w:t xml:space="preserve"> </w:t>
      </w:r>
      <w:r w:rsidRPr="009153A5">
        <w:rPr>
          <w:iCs/>
          <w:vertAlign w:val="superscript"/>
        </w:rPr>
        <w:t>c</w:t>
      </w:r>
      <w:r w:rsidRPr="009153A5">
        <w:rPr>
          <w:rFonts w:hint="eastAsia"/>
        </w:rPr>
        <w:t>E</w:t>
      </w:r>
      <w:r w:rsidRPr="009153A5">
        <w:t>nantiomeric excess</w:t>
      </w:r>
      <w:r w:rsidRPr="009153A5">
        <w:rPr>
          <w:rFonts w:hint="eastAsia"/>
        </w:rPr>
        <w:t xml:space="preserve"> (ee)</w:t>
      </w:r>
      <w:r w:rsidRPr="009153A5">
        <w:t xml:space="preserve"> was determined by HPLC with a Daicel Chiralpak AS-H column (</w:t>
      </w:r>
      <w:r w:rsidRPr="009153A5">
        <w:rPr>
          <w:i/>
          <w:vertAlign w:val="superscript"/>
        </w:rPr>
        <w:t>i</w:t>
      </w:r>
      <w:r w:rsidRPr="009153A5">
        <w:t>PrOH:hexane = 05:95, 0.3 mL/min), 254 nm, t</w:t>
      </w:r>
      <w:r w:rsidRPr="009153A5">
        <w:rPr>
          <w:i/>
          <w:iCs/>
          <w:vertAlign w:val="subscript"/>
        </w:rPr>
        <w:t>R</w:t>
      </w:r>
      <w:r w:rsidRPr="009153A5">
        <w:t xml:space="preserve"> (major) = 17.66 min, t</w:t>
      </w:r>
      <w:r w:rsidRPr="009153A5">
        <w:rPr>
          <w:i/>
          <w:iCs/>
          <w:vertAlign w:val="subscript"/>
        </w:rPr>
        <w:t>R</w:t>
      </w:r>
      <w:r w:rsidRPr="009153A5">
        <w:t xml:space="preserve"> (minor) = 20.13 min.</w:t>
      </w:r>
      <w:r w:rsidRPr="009153A5">
        <w:rPr>
          <w:rFonts w:hint="eastAsia"/>
        </w:rPr>
        <w:t xml:space="preserve"> </w:t>
      </w:r>
      <w:r w:rsidRPr="009153A5">
        <w:rPr>
          <w:iCs/>
          <w:vertAlign w:val="superscript"/>
        </w:rPr>
        <w:t>d</w:t>
      </w:r>
      <w:r w:rsidRPr="009153A5">
        <w:t>Cu</w:t>
      </w:r>
      <w:r w:rsidRPr="009153A5">
        <w:rPr>
          <w:rFonts w:hint="eastAsia"/>
        </w:rPr>
        <w:t>(OAc)</w:t>
      </w:r>
      <w:r w:rsidRPr="009153A5">
        <w:rPr>
          <w:rFonts w:hint="eastAsia"/>
          <w:vertAlign w:val="subscript"/>
        </w:rPr>
        <w:t>2</w:t>
      </w:r>
      <w:r w:rsidRPr="009153A5">
        <w:rPr>
          <w:rFonts w:hint="eastAsia"/>
        </w:rPr>
        <w:sym w:font="Wingdings 2" w:char="F096"/>
      </w:r>
      <w:r w:rsidRPr="009153A5">
        <w:rPr>
          <w:rFonts w:hint="eastAsia"/>
        </w:rPr>
        <w:t>H</w:t>
      </w:r>
      <w:r w:rsidRPr="009153A5">
        <w:rPr>
          <w:rFonts w:hint="eastAsia"/>
          <w:vertAlign w:val="subscript"/>
        </w:rPr>
        <w:t>2</w:t>
      </w:r>
      <w:r w:rsidRPr="009153A5">
        <w:rPr>
          <w:rFonts w:hint="eastAsia"/>
        </w:rPr>
        <w:t>O</w:t>
      </w:r>
      <w:r w:rsidRPr="009153A5">
        <w:t xml:space="preserve"> (</w:t>
      </w:r>
      <w:r w:rsidRPr="009153A5">
        <w:rPr>
          <w:rFonts w:hint="eastAsia"/>
        </w:rPr>
        <w:t>10</w:t>
      </w:r>
      <w:r w:rsidRPr="009153A5">
        <w:t> mol</w:t>
      </w:r>
      <w:r w:rsidRPr="009153A5">
        <w:rPr>
          <w:rFonts w:hint="eastAsia"/>
        </w:rPr>
        <w:t xml:space="preserve"> </w:t>
      </w:r>
      <w:r w:rsidRPr="009153A5">
        <w:t xml:space="preserve">%), </w:t>
      </w:r>
      <w:r w:rsidRPr="009153A5">
        <w:rPr>
          <w:rFonts w:hint="eastAsia"/>
        </w:rPr>
        <w:t>Et</w:t>
      </w:r>
      <w:r w:rsidRPr="009153A5">
        <w:rPr>
          <w:rFonts w:hint="eastAsia"/>
          <w:vertAlign w:val="subscript"/>
        </w:rPr>
        <w:t>3</w:t>
      </w:r>
      <w:r w:rsidRPr="009153A5">
        <w:rPr>
          <w:rFonts w:hint="eastAsia"/>
        </w:rPr>
        <w:t>N (2.0 equiv)</w:t>
      </w:r>
      <w:r w:rsidRPr="009153A5">
        <w:t xml:space="preserve"> and CH</w:t>
      </w:r>
      <w:r w:rsidRPr="009153A5">
        <w:rPr>
          <w:vertAlign w:val="subscript"/>
        </w:rPr>
        <w:t>2</w:t>
      </w:r>
      <w:r w:rsidRPr="009153A5">
        <w:t>Cl</w:t>
      </w:r>
      <w:r w:rsidRPr="009153A5">
        <w:rPr>
          <w:vertAlign w:val="subscript"/>
        </w:rPr>
        <w:t>2</w:t>
      </w:r>
      <w:r w:rsidRPr="009153A5">
        <w:t xml:space="preserve"> (1.0 m</w:t>
      </w:r>
      <w:r w:rsidRPr="009153A5">
        <w:rPr>
          <w:rFonts w:hint="eastAsia"/>
        </w:rPr>
        <w:t>L</w:t>
      </w:r>
      <w:r w:rsidRPr="009153A5">
        <w:t>).</w:t>
      </w:r>
      <w:r w:rsidRPr="009153A5">
        <w:rPr>
          <w:rFonts w:hint="eastAsia"/>
        </w:rPr>
        <w:t xml:space="preserve"> </w:t>
      </w:r>
      <w:r w:rsidRPr="009153A5">
        <w:rPr>
          <w:rFonts w:hint="eastAsia"/>
          <w:iCs/>
          <w:vertAlign w:val="superscript"/>
        </w:rPr>
        <w:t>e</w:t>
      </w:r>
      <w:r w:rsidRPr="009153A5">
        <w:t>CuT</w:t>
      </w:r>
      <w:r w:rsidRPr="009153A5">
        <w:rPr>
          <w:rFonts w:hint="eastAsia"/>
        </w:rPr>
        <w:t>c</w:t>
      </w:r>
      <w:r w:rsidRPr="009153A5">
        <w:t xml:space="preserve"> (</w:t>
      </w:r>
      <w:r w:rsidRPr="009153A5">
        <w:rPr>
          <w:rFonts w:hint="eastAsia"/>
        </w:rPr>
        <w:t>10</w:t>
      </w:r>
      <w:r w:rsidRPr="009153A5">
        <w:t> mol</w:t>
      </w:r>
      <w:r w:rsidRPr="009153A5">
        <w:rPr>
          <w:rFonts w:hint="eastAsia"/>
        </w:rPr>
        <w:t xml:space="preserve"> </w:t>
      </w:r>
      <w:r w:rsidRPr="009153A5">
        <w:t xml:space="preserve">%), </w:t>
      </w:r>
      <w:r w:rsidRPr="009153A5">
        <w:rPr>
          <w:i/>
          <w:iCs/>
          <w:vertAlign w:val="superscript"/>
        </w:rPr>
        <w:t>i</w:t>
      </w:r>
      <w:r w:rsidRPr="009153A5">
        <w:t>Pr</w:t>
      </w:r>
      <w:r w:rsidRPr="009153A5">
        <w:rPr>
          <w:vertAlign w:val="subscript"/>
        </w:rPr>
        <w:t>2</w:t>
      </w:r>
      <w:r w:rsidRPr="009153A5">
        <w:t>NEt</w:t>
      </w:r>
      <w:r w:rsidRPr="009153A5" w:rsidDel="00B93F7A">
        <w:rPr>
          <w:rFonts w:hint="eastAsia"/>
        </w:rPr>
        <w:t xml:space="preserve"> </w:t>
      </w:r>
      <w:r w:rsidRPr="009153A5">
        <w:rPr>
          <w:rFonts w:hint="eastAsia"/>
        </w:rPr>
        <w:t>(2.0 equiv)</w:t>
      </w:r>
      <w:r w:rsidRPr="009153A5">
        <w:t xml:space="preserve"> and </w:t>
      </w:r>
      <w:r w:rsidRPr="009153A5">
        <w:rPr>
          <w:rFonts w:hint="eastAsia"/>
        </w:rPr>
        <w:t>DME</w:t>
      </w:r>
      <w:r w:rsidRPr="009153A5">
        <w:t xml:space="preserve"> (1.0 mL).</w:t>
      </w:r>
      <w:r w:rsidRPr="009153A5">
        <w:rPr>
          <w:rFonts w:hint="eastAsia"/>
        </w:rPr>
        <w:t xml:space="preserve"> </w:t>
      </w:r>
      <w:r w:rsidRPr="009153A5">
        <w:rPr>
          <w:rFonts w:hint="eastAsia"/>
          <w:vertAlign w:val="superscript"/>
        </w:rPr>
        <w:t>f</w:t>
      </w:r>
      <w:r w:rsidRPr="009153A5">
        <w:rPr>
          <w:rFonts w:hint="eastAsia"/>
        </w:rPr>
        <w:t xml:space="preserve">CsF (50 mol %). </w:t>
      </w:r>
      <w:r w:rsidRPr="009153A5">
        <w:rPr>
          <w:rFonts w:hint="eastAsia"/>
          <w:vertAlign w:val="superscript"/>
        </w:rPr>
        <w:t>g</w:t>
      </w:r>
      <w:r w:rsidRPr="009153A5">
        <w:rPr>
          <w:rFonts w:hint="eastAsia"/>
        </w:rPr>
        <w:t>Na</w:t>
      </w:r>
      <w:r w:rsidRPr="009153A5">
        <w:rPr>
          <w:rFonts w:hint="eastAsia"/>
          <w:vertAlign w:val="subscript"/>
        </w:rPr>
        <w:t>2</w:t>
      </w:r>
      <w:r w:rsidRPr="009153A5">
        <w:rPr>
          <w:rFonts w:hint="eastAsia"/>
        </w:rPr>
        <w:t>CO</w:t>
      </w:r>
      <w:r w:rsidRPr="009153A5">
        <w:rPr>
          <w:rFonts w:hint="eastAsia"/>
          <w:vertAlign w:val="subscript"/>
        </w:rPr>
        <w:t>3</w:t>
      </w:r>
      <w:r w:rsidRPr="009153A5">
        <w:rPr>
          <w:rFonts w:hint="eastAsia"/>
        </w:rPr>
        <w:t xml:space="preserve"> (2.0 equiv) i</w:t>
      </w:r>
      <w:r w:rsidRPr="009153A5">
        <w:t>nstead of</w:t>
      </w:r>
      <w:r w:rsidRPr="009153A5">
        <w:rPr>
          <w:rFonts w:hint="eastAsia"/>
        </w:rPr>
        <w:t xml:space="preserve"> </w:t>
      </w:r>
      <w:r w:rsidRPr="009153A5">
        <w:rPr>
          <w:i/>
          <w:iCs/>
          <w:vertAlign w:val="superscript"/>
        </w:rPr>
        <w:t>i</w:t>
      </w:r>
      <w:r w:rsidRPr="009153A5">
        <w:t>Pr</w:t>
      </w:r>
      <w:r w:rsidRPr="009153A5">
        <w:rPr>
          <w:vertAlign w:val="subscript"/>
        </w:rPr>
        <w:t>2</w:t>
      </w:r>
      <w:r w:rsidRPr="009153A5">
        <w:t>NEt</w:t>
      </w:r>
      <w:r w:rsidRPr="009153A5">
        <w:rPr>
          <w:rFonts w:hint="eastAsia"/>
        </w:rPr>
        <w:t xml:space="preserve">. </w:t>
      </w:r>
      <w:r w:rsidRPr="009153A5">
        <w:rPr>
          <w:rFonts w:hint="eastAsia"/>
          <w:vertAlign w:val="superscript"/>
        </w:rPr>
        <w:t>h</w:t>
      </w:r>
      <w:r w:rsidRPr="009153A5">
        <w:rPr>
          <w:rFonts w:hint="eastAsia"/>
        </w:rPr>
        <w:t>Isolated yield.</w:t>
      </w:r>
    </w:p>
    <w:p w14:paraId="0610D64A" w14:textId="77777777" w:rsidR="00B62952" w:rsidRPr="009153A5" w:rsidRDefault="00B62952" w:rsidP="009153A5">
      <w:pPr>
        <w:pStyle w:val="TAMainText"/>
      </w:pPr>
    </w:p>
    <w:p w14:paraId="1EA6A862" w14:textId="5CF49AE3" w:rsidR="0052661D" w:rsidRDefault="0052661D" w:rsidP="0052661D">
      <w:pPr>
        <w:pStyle w:val="TAMainText"/>
      </w:pPr>
    </w:p>
    <w:p w14:paraId="2EE6D6E6" w14:textId="68CF06A0" w:rsidR="00444362" w:rsidRDefault="00444362" w:rsidP="0052661D">
      <w:pPr>
        <w:pStyle w:val="TAMainText"/>
      </w:pPr>
    </w:p>
    <w:p w14:paraId="693E167E" w14:textId="0DF1CEF8" w:rsidR="00444362" w:rsidRDefault="00444362" w:rsidP="0052661D">
      <w:pPr>
        <w:pStyle w:val="TAMainText"/>
      </w:pPr>
    </w:p>
    <w:p w14:paraId="109DC8DA" w14:textId="102F14FC" w:rsidR="00444362" w:rsidRDefault="00444362" w:rsidP="0052661D">
      <w:pPr>
        <w:pStyle w:val="TAMainText"/>
      </w:pPr>
    </w:p>
    <w:p w14:paraId="7944CD74" w14:textId="5F8AC709" w:rsidR="00444362" w:rsidRDefault="00444362" w:rsidP="0052661D">
      <w:pPr>
        <w:pStyle w:val="TAMainText"/>
      </w:pPr>
    </w:p>
    <w:p w14:paraId="6A0293B0" w14:textId="7FE8A498" w:rsidR="00444362" w:rsidRDefault="00444362" w:rsidP="0052661D">
      <w:pPr>
        <w:pStyle w:val="TAMainText"/>
      </w:pPr>
    </w:p>
    <w:p w14:paraId="1AFF5D5F" w14:textId="51ADCC9E" w:rsidR="00444362" w:rsidRDefault="00444362" w:rsidP="0052661D">
      <w:pPr>
        <w:pStyle w:val="TAMainText"/>
      </w:pPr>
    </w:p>
    <w:p w14:paraId="138FB1B4" w14:textId="0AA0F3E0" w:rsidR="00444362" w:rsidRDefault="00444362" w:rsidP="0052661D">
      <w:pPr>
        <w:pStyle w:val="TAMainText"/>
      </w:pPr>
    </w:p>
    <w:p w14:paraId="5BB895AA" w14:textId="53528AED" w:rsidR="00444362" w:rsidRDefault="00444362" w:rsidP="0052661D">
      <w:pPr>
        <w:pStyle w:val="TAMainText"/>
      </w:pPr>
    </w:p>
    <w:p w14:paraId="20A87CB8" w14:textId="7AC5516B" w:rsidR="00444362" w:rsidRDefault="00444362" w:rsidP="0052661D">
      <w:pPr>
        <w:pStyle w:val="TAMainText"/>
      </w:pPr>
    </w:p>
    <w:p w14:paraId="7ED16702" w14:textId="4269C2B8" w:rsidR="00444362" w:rsidRDefault="00444362" w:rsidP="0052661D">
      <w:pPr>
        <w:pStyle w:val="TAMainText"/>
      </w:pPr>
    </w:p>
    <w:p w14:paraId="6E5FE495" w14:textId="77777777" w:rsidR="00444362" w:rsidRPr="00E70829" w:rsidRDefault="00444362" w:rsidP="0052661D">
      <w:pPr>
        <w:pStyle w:val="TAMainText"/>
      </w:pPr>
    </w:p>
    <w:p w14:paraId="06E03988" w14:textId="77777777" w:rsidR="009153A5" w:rsidRPr="009153A5" w:rsidRDefault="009153A5" w:rsidP="009153A5">
      <w:pPr>
        <w:pStyle w:val="TAMainText"/>
        <w:rPr>
          <w:b/>
        </w:rPr>
      </w:pPr>
      <w:r w:rsidRPr="009153A5">
        <w:rPr>
          <w:b/>
        </w:rPr>
        <w:lastRenderedPageBreak/>
        <w:t xml:space="preserve">Table 2. </w:t>
      </w:r>
      <w:r w:rsidRPr="009153A5">
        <w:rPr>
          <w:rFonts w:hint="eastAsia"/>
          <w:b/>
        </w:rPr>
        <w:t>S</w:t>
      </w:r>
      <w:r w:rsidRPr="009153A5">
        <w:rPr>
          <w:b/>
        </w:rPr>
        <w:t xml:space="preserve">cope of the </w:t>
      </w:r>
      <w:r w:rsidRPr="009153A5">
        <w:rPr>
          <w:rFonts w:hint="eastAsia"/>
          <w:b/>
        </w:rPr>
        <w:t>S</w:t>
      </w:r>
      <w:r w:rsidRPr="009153A5">
        <w:rPr>
          <w:b/>
        </w:rPr>
        <w:t>ubstrates</w:t>
      </w:r>
    </w:p>
    <w:p w14:paraId="35EDCBC1" w14:textId="39CD5877" w:rsidR="009153A5" w:rsidRPr="00E70829" w:rsidRDefault="009153A5" w:rsidP="0052661D">
      <w:pPr>
        <w:pStyle w:val="TAMainText"/>
      </w:pPr>
      <w:r w:rsidRPr="00E70829">
        <w:object w:dxaOrig="13846" w:dyaOrig="21276" w14:anchorId="350A3DF6">
          <v:shape id="_x0000_i1027" type="#_x0000_t75" style="width:414.75pt;height:637.5pt" o:ole="">
            <v:imagedata r:id="rId8" o:title=""/>
          </v:shape>
          <o:OLEObject Type="Embed" ProgID="ChemDraw.Document.6.0" ShapeID="_x0000_i1027" DrawAspect="Content" ObjectID="_1742281994" r:id="rId9"/>
        </w:object>
      </w:r>
    </w:p>
    <w:p w14:paraId="62A0DB2A" w14:textId="3409EB61" w:rsidR="001E3375" w:rsidRPr="0062529F" w:rsidRDefault="009153A5" w:rsidP="00444362">
      <w:pPr>
        <w:pStyle w:val="TAMainText"/>
      </w:pPr>
      <w:r w:rsidRPr="009153A5">
        <w:rPr>
          <w:iCs/>
          <w:vertAlign w:val="superscript"/>
        </w:rPr>
        <w:t>a</w:t>
      </w:r>
      <w:r w:rsidRPr="009153A5">
        <w:t xml:space="preserve">Reaction conditions: </w:t>
      </w:r>
      <w:r w:rsidRPr="009153A5">
        <w:rPr>
          <w:b/>
          <w:bCs/>
        </w:rPr>
        <w:t>1</w:t>
      </w:r>
      <w:r w:rsidRPr="009153A5">
        <w:t xml:space="preserve"> (0.1 mmol), </w:t>
      </w:r>
      <w:r w:rsidRPr="009153A5">
        <w:rPr>
          <w:b/>
          <w:bCs/>
        </w:rPr>
        <w:t>2</w:t>
      </w:r>
      <w:r w:rsidRPr="009153A5">
        <w:t xml:space="preserve"> (2.0 equiv), CuTc (10 mol %), </w:t>
      </w:r>
      <w:r w:rsidRPr="009153A5">
        <w:rPr>
          <w:rFonts w:hint="eastAsia"/>
          <w:b/>
        </w:rPr>
        <w:t>L</w:t>
      </w:r>
      <w:r w:rsidRPr="009153A5">
        <w:rPr>
          <w:b/>
        </w:rPr>
        <w:t>10</w:t>
      </w:r>
      <w:r w:rsidRPr="009153A5">
        <w:t xml:space="preserve"> (15 mol %), Na</w:t>
      </w:r>
      <w:r w:rsidRPr="009153A5">
        <w:rPr>
          <w:vertAlign w:val="subscript"/>
        </w:rPr>
        <w:t>2</w:t>
      </w:r>
      <w:r w:rsidRPr="009153A5">
        <w:t>CO</w:t>
      </w:r>
      <w:r w:rsidRPr="009153A5">
        <w:rPr>
          <w:vertAlign w:val="subscript"/>
        </w:rPr>
        <w:t>3</w:t>
      </w:r>
      <w:r w:rsidRPr="009153A5">
        <w:t xml:space="preserve"> (2.0 equiv), CsF (50 mol %) and DME (1.0 mL), at </w:t>
      </w:r>
      <w:r w:rsidRPr="009153A5">
        <w:rPr>
          <w:rFonts w:hint="eastAsia"/>
        </w:rPr>
        <w:t>rt</w:t>
      </w:r>
      <w:r w:rsidRPr="009153A5">
        <w:t xml:space="preserve"> for 12 h under an O</w:t>
      </w:r>
      <w:r w:rsidRPr="009153A5">
        <w:rPr>
          <w:vertAlign w:val="subscript"/>
        </w:rPr>
        <w:t>2</w:t>
      </w:r>
      <w:r w:rsidRPr="009153A5">
        <w:t xml:space="preserve"> atmosphere. </w:t>
      </w:r>
      <w:r w:rsidRPr="009153A5">
        <w:rPr>
          <w:vertAlign w:val="superscript"/>
        </w:rPr>
        <w:t>b</w:t>
      </w:r>
      <w:r w:rsidRPr="009153A5">
        <w:rPr>
          <w:rFonts w:hint="eastAsia"/>
        </w:rPr>
        <w:t>18 h.</w:t>
      </w:r>
    </w:p>
    <w:sectPr w:rsidR="001E3375" w:rsidRPr="006252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D8A0BD2" w14:textId="77777777" w:rsidR="004D6742" w:rsidRDefault="004D6742" w:rsidP="00A2718D">
      <w:r>
        <w:separator/>
      </w:r>
    </w:p>
  </w:endnote>
  <w:endnote w:type="continuationSeparator" w:id="0">
    <w:p w14:paraId="6D666157" w14:textId="77777777" w:rsidR="004D6742" w:rsidRDefault="004D6742" w:rsidP="00A271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no Pro">
    <w:charset w:val="00"/>
    <w:family w:val="roman"/>
    <w:pitch w:val="variable"/>
    <w:sig w:usb0="60000287" w:usb1="00000001" w:usb2="00000000" w:usb3="00000000" w:csb0="0000019F" w:csb1="00000000"/>
  </w:font>
  <w:font w:name="New York"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Myriad Pro Light">
    <w:altName w:val="Times New Roman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BD1D0C" w14:textId="77777777" w:rsidR="004D6742" w:rsidRDefault="004D6742" w:rsidP="00A2718D">
      <w:r>
        <w:separator/>
      </w:r>
    </w:p>
  </w:footnote>
  <w:footnote w:type="continuationSeparator" w:id="0">
    <w:p w14:paraId="7C2C9485" w14:textId="77777777" w:rsidR="004D6742" w:rsidRDefault="004D6742" w:rsidP="00A271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mmunication11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22s92asua0adee9ztlvz2vdx2rz0x0p2arv&quot;&gt;My EndNote Library-LQJ&lt;record-ids&gt;&lt;item&gt;2017&lt;/item&gt;&lt;item&gt;2020&lt;/item&gt;&lt;item&gt;2022&lt;/item&gt;&lt;item&gt;2023&lt;/item&gt;&lt;item&gt;2111&lt;/item&gt;&lt;item&gt;2112&lt;/item&gt;&lt;item&gt;2113&lt;/item&gt;&lt;item&gt;2115&lt;/item&gt;&lt;item&gt;2118&lt;/item&gt;&lt;item&gt;2545&lt;/item&gt;&lt;item&gt;2557&lt;/item&gt;&lt;item&gt;2577&lt;/item&gt;&lt;item&gt;3195&lt;/item&gt;&lt;item&gt;3380&lt;/item&gt;&lt;item&gt;3881&lt;/item&gt;&lt;item&gt;3882&lt;/item&gt;&lt;item&gt;3907&lt;/item&gt;&lt;item&gt;3911&lt;/item&gt;&lt;item&gt;3931&lt;/item&gt;&lt;item&gt;3932&lt;/item&gt;&lt;item&gt;3936&lt;/item&gt;&lt;item&gt;3938&lt;/item&gt;&lt;item&gt;4025&lt;/item&gt;&lt;item&gt;4064&lt;/item&gt;&lt;item&gt;4279&lt;/item&gt;&lt;item&gt;4284&lt;/item&gt;&lt;item&gt;4306&lt;/item&gt;&lt;item&gt;4307&lt;/item&gt;&lt;item&gt;4309&lt;/item&gt;&lt;item&gt;4310&lt;/item&gt;&lt;item&gt;4311&lt;/item&gt;&lt;item&gt;4379&lt;/item&gt;&lt;item&gt;4385&lt;/item&gt;&lt;item&gt;4386&lt;/item&gt;&lt;item&gt;4387&lt;/item&gt;&lt;item&gt;4388&lt;/item&gt;&lt;item&gt;4389&lt;/item&gt;&lt;item&gt;4390&lt;/item&gt;&lt;item&gt;4393&lt;/item&gt;&lt;item&gt;4397&lt;/item&gt;&lt;item&gt;4398&lt;/item&gt;&lt;item&gt;4415&lt;/item&gt;&lt;item&gt;4416&lt;/item&gt;&lt;item&gt;4417&lt;/item&gt;&lt;item&gt;4419&lt;/item&gt;&lt;item&gt;4423&lt;/item&gt;&lt;item&gt;4424&lt;/item&gt;&lt;/record-ids&gt;&lt;/item&gt;&lt;/Libraries&gt;"/>
  </w:docVars>
  <w:rsids>
    <w:rsidRoot w:val="006218A4"/>
    <w:rsid w:val="00006C65"/>
    <w:rsid w:val="00050A7C"/>
    <w:rsid w:val="000516E7"/>
    <w:rsid w:val="00066321"/>
    <w:rsid w:val="000837A5"/>
    <w:rsid w:val="00093E10"/>
    <w:rsid w:val="000C4401"/>
    <w:rsid w:val="000F7467"/>
    <w:rsid w:val="00100C84"/>
    <w:rsid w:val="00100FEC"/>
    <w:rsid w:val="0010713B"/>
    <w:rsid w:val="001071DC"/>
    <w:rsid w:val="00156A6B"/>
    <w:rsid w:val="001731C8"/>
    <w:rsid w:val="00182520"/>
    <w:rsid w:val="00184CB6"/>
    <w:rsid w:val="0019484A"/>
    <w:rsid w:val="001B17B2"/>
    <w:rsid w:val="001C0D5F"/>
    <w:rsid w:val="001E3375"/>
    <w:rsid w:val="0022248B"/>
    <w:rsid w:val="00264C7A"/>
    <w:rsid w:val="00264F73"/>
    <w:rsid w:val="0026546C"/>
    <w:rsid w:val="002768D2"/>
    <w:rsid w:val="00292513"/>
    <w:rsid w:val="002930FA"/>
    <w:rsid w:val="002A179F"/>
    <w:rsid w:val="002D08AE"/>
    <w:rsid w:val="002D3D99"/>
    <w:rsid w:val="002E0C2D"/>
    <w:rsid w:val="00303707"/>
    <w:rsid w:val="00310803"/>
    <w:rsid w:val="00321BE5"/>
    <w:rsid w:val="0034256F"/>
    <w:rsid w:val="003517FA"/>
    <w:rsid w:val="0037063C"/>
    <w:rsid w:val="00370851"/>
    <w:rsid w:val="00370FFA"/>
    <w:rsid w:val="00371E42"/>
    <w:rsid w:val="00372D6A"/>
    <w:rsid w:val="00377A66"/>
    <w:rsid w:val="0039798C"/>
    <w:rsid w:val="003A20E6"/>
    <w:rsid w:val="003B12EC"/>
    <w:rsid w:val="003C1ABD"/>
    <w:rsid w:val="003E5D63"/>
    <w:rsid w:val="003E7307"/>
    <w:rsid w:val="00403124"/>
    <w:rsid w:val="004038BD"/>
    <w:rsid w:val="00416629"/>
    <w:rsid w:val="00420EE2"/>
    <w:rsid w:val="00444362"/>
    <w:rsid w:val="00465FEC"/>
    <w:rsid w:val="00481A6C"/>
    <w:rsid w:val="004902DF"/>
    <w:rsid w:val="004B3D12"/>
    <w:rsid w:val="004C5248"/>
    <w:rsid w:val="004D1E85"/>
    <w:rsid w:val="004D4DB7"/>
    <w:rsid w:val="004D6742"/>
    <w:rsid w:val="004E39B5"/>
    <w:rsid w:val="004E525F"/>
    <w:rsid w:val="005057DB"/>
    <w:rsid w:val="00505E1F"/>
    <w:rsid w:val="0052661D"/>
    <w:rsid w:val="00564F83"/>
    <w:rsid w:val="00573AC8"/>
    <w:rsid w:val="0057510D"/>
    <w:rsid w:val="005928EF"/>
    <w:rsid w:val="005D21F8"/>
    <w:rsid w:val="005D419F"/>
    <w:rsid w:val="006218A4"/>
    <w:rsid w:val="0062529F"/>
    <w:rsid w:val="00625FEF"/>
    <w:rsid w:val="00647404"/>
    <w:rsid w:val="00664E9C"/>
    <w:rsid w:val="0066681D"/>
    <w:rsid w:val="006747CB"/>
    <w:rsid w:val="00690B2A"/>
    <w:rsid w:val="00694AEC"/>
    <w:rsid w:val="006A2DB3"/>
    <w:rsid w:val="006A78DF"/>
    <w:rsid w:val="006B0147"/>
    <w:rsid w:val="006B18F9"/>
    <w:rsid w:val="006C38F7"/>
    <w:rsid w:val="006D21B6"/>
    <w:rsid w:val="0070171F"/>
    <w:rsid w:val="00741DE2"/>
    <w:rsid w:val="00743432"/>
    <w:rsid w:val="00747F45"/>
    <w:rsid w:val="00760BE0"/>
    <w:rsid w:val="00770991"/>
    <w:rsid w:val="00775919"/>
    <w:rsid w:val="00786102"/>
    <w:rsid w:val="00797184"/>
    <w:rsid w:val="007A4C42"/>
    <w:rsid w:val="007B28AC"/>
    <w:rsid w:val="007F114B"/>
    <w:rsid w:val="00805AF8"/>
    <w:rsid w:val="008258D9"/>
    <w:rsid w:val="00826DF9"/>
    <w:rsid w:val="008352CE"/>
    <w:rsid w:val="00855228"/>
    <w:rsid w:val="008856B3"/>
    <w:rsid w:val="008B6A8B"/>
    <w:rsid w:val="008D327D"/>
    <w:rsid w:val="008E5F96"/>
    <w:rsid w:val="008F15FD"/>
    <w:rsid w:val="009153A5"/>
    <w:rsid w:val="0092121F"/>
    <w:rsid w:val="009345EA"/>
    <w:rsid w:val="00942663"/>
    <w:rsid w:val="00944A6E"/>
    <w:rsid w:val="00951DDD"/>
    <w:rsid w:val="0096176B"/>
    <w:rsid w:val="00971331"/>
    <w:rsid w:val="009B6A17"/>
    <w:rsid w:val="009C4F78"/>
    <w:rsid w:val="009C780A"/>
    <w:rsid w:val="009D1825"/>
    <w:rsid w:val="009F53EE"/>
    <w:rsid w:val="00A02B5B"/>
    <w:rsid w:val="00A12AB4"/>
    <w:rsid w:val="00A2718D"/>
    <w:rsid w:val="00A33393"/>
    <w:rsid w:val="00A5088A"/>
    <w:rsid w:val="00A51DC5"/>
    <w:rsid w:val="00A626CF"/>
    <w:rsid w:val="00A7262C"/>
    <w:rsid w:val="00A91AF2"/>
    <w:rsid w:val="00A97B81"/>
    <w:rsid w:val="00AD0053"/>
    <w:rsid w:val="00AE1075"/>
    <w:rsid w:val="00B04586"/>
    <w:rsid w:val="00B15DB5"/>
    <w:rsid w:val="00B27E6E"/>
    <w:rsid w:val="00B47081"/>
    <w:rsid w:val="00B62952"/>
    <w:rsid w:val="00B70DEF"/>
    <w:rsid w:val="00B900F7"/>
    <w:rsid w:val="00B95926"/>
    <w:rsid w:val="00B960FF"/>
    <w:rsid w:val="00BA482B"/>
    <w:rsid w:val="00BB6D3A"/>
    <w:rsid w:val="00BD440B"/>
    <w:rsid w:val="00BF410A"/>
    <w:rsid w:val="00C12A06"/>
    <w:rsid w:val="00C145CB"/>
    <w:rsid w:val="00C26E3E"/>
    <w:rsid w:val="00C53EDA"/>
    <w:rsid w:val="00C6266B"/>
    <w:rsid w:val="00C94B8B"/>
    <w:rsid w:val="00CC4923"/>
    <w:rsid w:val="00CD4213"/>
    <w:rsid w:val="00D05EF8"/>
    <w:rsid w:val="00D0729B"/>
    <w:rsid w:val="00D56CE7"/>
    <w:rsid w:val="00D6744E"/>
    <w:rsid w:val="00D74CC0"/>
    <w:rsid w:val="00D95F6D"/>
    <w:rsid w:val="00DA1253"/>
    <w:rsid w:val="00DC1227"/>
    <w:rsid w:val="00DD50A8"/>
    <w:rsid w:val="00DD51F6"/>
    <w:rsid w:val="00E13A69"/>
    <w:rsid w:val="00E35115"/>
    <w:rsid w:val="00E445CA"/>
    <w:rsid w:val="00E56595"/>
    <w:rsid w:val="00E56BA1"/>
    <w:rsid w:val="00E70829"/>
    <w:rsid w:val="00E722DB"/>
    <w:rsid w:val="00E723B4"/>
    <w:rsid w:val="00E90391"/>
    <w:rsid w:val="00EA152F"/>
    <w:rsid w:val="00EA51BA"/>
    <w:rsid w:val="00EC1990"/>
    <w:rsid w:val="00EF0B83"/>
    <w:rsid w:val="00EF27D7"/>
    <w:rsid w:val="00F01FAA"/>
    <w:rsid w:val="00F05DDD"/>
    <w:rsid w:val="00F1581B"/>
    <w:rsid w:val="00F370AA"/>
    <w:rsid w:val="00F51635"/>
    <w:rsid w:val="00F534EB"/>
    <w:rsid w:val="00F92EBA"/>
    <w:rsid w:val="00F959AF"/>
    <w:rsid w:val="00FC62A7"/>
    <w:rsid w:val="00FD595E"/>
    <w:rsid w:val="00FE5E4A"/>
    <w:rsid w:val="00FF1445"/>
    <w:rsid w:val="00FF14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58C999"/>
  <w15:docId w15:val="{1E6F510F-C15B-4CDA-81D7-4A0B69687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EmailAddress">
    <w:name w:val="BI_Email_Address"/>
    <w:basedOn w:val="Normal"/>
    <w:next w:val="Normal"/>
    <w:autoRedefine/>
    <w:rsid w:val="00EF0B83"/>
    <w:pPr>
      <w:widowControl/>
      <w:spacing w:after="60"/>
      <w:jc w:val="left"/>
    </w:pPr>
    <w:rPr>
      <w:rFonts w:ascii="Times New Roman" w:hAnsi="Times New Roman" w:cs="Times New Roman"/>
      <w:kern w:val="0"/>
      <w:sz w:val="24"/>
      <w:szCs w:val="24"/>
    </w:rPr>
  </w:style>
  <w:style w:type="paragraph" w:customStyle="1" w:styleId="AIReceivedDate">
    <w:name w:val="AI_Received_Date"/>
    <w:basedOn w:val="Normal"/>
    <w:next w:val="Normal"/>
    <w:autoRedefine/>
    <w:rsid w:val="00EF0B83"/>
    <w:pPr>
      <w:widowControl/>
      <w:spacing w:after="100"/>
      <w:jc w:val="left"/>
    </w:pPr>
    <w:rPr>
      <w:rFonts w:ascii="Arno Pro" w:hAnsi="Arno Pro" w:cs="Times New Roman"/>
      <w:kern w:val="0"/>
      <w:sz w:val="20"/>
      <w:szCs w:val="20"/>
    </w:rPr>
  </w:style>
  <w:style w:type="paragraph" w:customStyle="1" w:styleId="TAMainText">
    <w:name w:val="TA_Main_Text"/>
    <w:basedOn w:val="Normal"/>
    <w:link w:val="TAMainTextChar"/>
    <w:autoRedefine/>
    <w:uiPriority w:val="99"/>
    <w:rsid w:val="00743432"/>
    <w:pPr>
      <w:widowControl/>
    </w:pPr>
    <w:rPr>
      <w:rFonts w:ascii="Times New Roman" w:hAnsi="Times New Roman" w:cs="Times New Roman"/>
      <w:kern w:val="21"/>
      <w:sz w:val="20"/>
      <w:szCs w:val="20"/>
      <w:lang w:eastAsia="en-US"/>
    </w:rPr>
  </w:style>
  <w:style w:type="character" w:customStyle="1" w:styleId="TAMainTextChar">
    <w:name w:val="TA_Main_Text Char"/>
    <w:basedOn w:val="DefaultParagraphFont"/>
    <w:link w:val="TAMainText"/>
    <w:uiPriority w:val="99"/>
    <w:rsid w:val="00743432"/>
    <w:rPr>
      <w:rFonts w:ascii="Times New Roman" w:hAnsi="Times New Roman" w:cs="Times New Roman"/>
      <w:kern w:val="21"/>
      <w:sz w:val="20"/>
      <w:szCs w:val="20"/>
      <w:lang w:eastAsia="en-US"/>
    </w:rPr>
  </w:style>
  <w:style w:type="table" w:styleId="TableTheme">
    <w:name w:val="Table Theme"/>
    <w:basedOn w:val="TableNormal"/>
    <w:rsid w:val="00D05EF8"/>
    <w:pPr>
      <w:spacing w:after="200"/>
      <w:jc w:val="both"/>
    </w:pPr>
    <w:rPr>
      <w:rFonts w:ascii="New York" w:hAnsi="New York" w:cs="Times New Roman"/>
      <w:kern w:val="0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VAFigureCaption">
    <w:name w:val="VA_Figure_Caption"/>
    <w:basedOn w:val="Normal"/>
    <w:next w:val="Normal"/>
    <w:autoRedefine/>
    <w:rsid w:val="0092121F"/>
    <w:pPr>
      <w:widowControl/>
    </w:pPr>
    <w:rPr>
      <w:rFonts w:ascii="Arno Pro" w:hAnsi="Arno Pro" w:cs="Times New Roman"/>
      <w:kern w:val="20"/>
      <w:sz w:val="18"/>
      <w:szCs w:val="20"/>
      <w:lang w:eastAsia="en-US"/>
    </w:rPr>
  </w:style>
  <w:style w:type="paragraph" w:customStyle="1" w:styleId="SectionTitle">
    <w:name w:val="Section_Title"/>
    <w:basedOn w:val="Normal"/>
    <w:autoRedefine/>
    <w:rsid w:val="001E3375"/>
    <w:pPr>
      <w:widowControl/>
      <w:spacing w:before="180" w:after="120"/>
    </w:pPr>
    <w:rPr>
      <w:rFonts w:ascii="Myriad Pro Light" w:hAnsi="Myriad Pro Light" w:cs="Times New Roman"/>
      <w:b/>
      <w:kern w:val="20"/>
      <w:szCs w:val="18"/>
      <w:lang w:eastAsia="en-US"/>
    </w:rPr>
  </w:style>
  <w:style w:type="paragraph" w:customStyle="1" w:styleId="FAAuthorInfoSubtitle">
    <w:name w:val="FA_Author_Info_Subtitle"/>
    <w:basedOn w:val="Normal"/>
    <w:link w:val="FAAuthorInfoSubtitleChar"/>
    <w:autoRedefine/>
    <w:rsid w:val="00AD0053"/>
    <w:pPr>
      <w:widowControl/>
      <w:spacing w:before="120" w:after="60"/>
    </w:pPr>
    <w:rPr>
      <w:rFonts w:ascii="Times New Roman" w:hAnsi="Times New Roman" w:cs="Times New Roman"/>
      <w:b/>
      <w:kern w:val="21"/>
      <w:sz w:val="20"/>
      <w:szCs w:val="20"/>
    </w:rPr>
  </w:style>
  <w:style w:type="character" w:customStyle="1" w:styleId="FAAuthorInfoSubtitleChar">
    <w:name w:val="FA_Author_Info_Subtitle Char"/>
    <w:link w:val="FAAuthorInfoSubtitle"/>
    <w:rsid w:val="00AD0053"/>
    <w:rPr>
      <w:rFonts w:ascii="Times New Roman" w:hAnsi="Times New Roman" w:cs="Times New Roman"/>
      <w:b/>
      <w:kern w:val="21"/>
      <w:sz w:val="20"/>
      <w:szCs w:val="20"/>
    </w:rPr>
  </w:style>
  <w:style w:type="paragraph" w:customStyle="1" w:styleId="TDAckTitle">
    <w:name w:val="TD_Ack_Title"/>
    <w:basedOn w:val="Normal"/>
    <w:link w:val="TDAckTitleChar"/>
    <w:rsid w:val="001E3375"/>
    <w:pPr>
      <w:widowControl/>
      <w:spacing w:before="180" w:after="60"/>
    </w:pPr>
    <w:rPr>
      <w:rFonts w:ascii="Myriad Pro Light" w:hAnsi="Myriad Pro Light" w:cs="Times New Roman"/>
      <w:b/>
      <w:kern w:val="23"/>
      <w:szCs w:val="20"/>
      <w:lang w:eastAsia="en-US"/>
    </w:rPr>
  </w:style>
  <w:style w:type="character" w:customStyle="1" w:styleId="TDAckTitleChar">
    <w:name w:val="TD_Ack_Title Char"/>
    <w:link w:val="TDAckTitle"/>
    <w:rsid w:val="001E3375"/>
    <w:rPr>
      <w:rFonts w:ascii="Myriad Pro Light" w:hAnsi="Myriad Pro Light" w:cs="Times New Roman"/>
      <w:b/>
      <w:kern w:val="23"/>
      <w:szCs w:val="20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1E33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1E3375"/>
    <w:rPr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1B17B2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TAMainTextChar"/>
    <w:link w:val="EndNoteBibliographyTitle"/>
    <w:rsid w:val="001B17B2"/>
    <w:rPr>
      <w:rFonts w:ascii="Calibri" w:hAnsi="Calibri" w:cs="Calibri"/>
      <w:noProof/>
      <w:kern w:val="21"/>
      <w:sz w:val="20"/>
      <w:szCs w:val="20"/>
      <w:lang w:eastAsia="en-US"/>
    </w:rPr>
  </w:style>
  <w:style w:type="paragraph" w:customStyle="1" w:styleId="EndNoteBibliography">
    <w:name w:val="EndNote Bibliography"/>
    <w:basedOn w:val="Normal"/>
    <w:link w:val="EndNoteBibliographyChar"/>
    <w:rsid w:val="001B17B2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TAMainTextChar"/>
    <w:link w:val="EndNoteBibliography"/>
    <w:rsid w:val="001B17B2"/>
    <w:rPr>
      <w:rFonts w:ascii="Calibri" w:hAnsi="Calibri" w:cs="Calibri"/>
      <w:noProof/>
      <w:kern w:val="21"/>
      <w:sz w:val="20"/>
      <w:szCs w:val="20"/>
      <w:lang w:eastAsia="en-US"/>
    </w:rPr>
  </w:style>
  <w:style w:type="character" w:styleId="Hyperlink">
    <w:name w:val="Hyperlink"/>
    <w:basedOn w:val="DefaultParagraphFont"/>
    <w:uiPriority w:val="99"/>
    <w:unhideWhenUsed/>
    <w:rsid w:val="001B17B2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A271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2718D"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718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718D"/>
    <w:rPr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8856B3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52661D"/>
    <w:rPr>
      <w:rFonts w:ascii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1503</TotalTime>
  <Pages>2</Pages>
  <Words>209</Words>
  <Characters>1197</Characters>
  <Application>Microsoft Office Word</Application>
  <DocSecurity>0</DocSecurity>
  <Lines>9</Lines>
  <Paragraphs>2</Paragraphs>
  <ScaleCrop>false</ScaleCrop>
  <Company/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Poonam Mutha</cp:lastModifiedBy>
  <cp:revision>145</cp:revision>
  <dcterms:created xsi:type="dcterms:W3CDTF">2021-10-29T12:31:00Z</dcterms:created>
  <dcterms:modified xsi:type="dcterms:W3CDTF">2023-04-06T04:57:00Z</dcterms:modified>
</cp:coreProperties>
</file>