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76D3C" w14:textId="77777777" w:rsidR="00470539" w:rsidRDefault="00000000">
      <w:pPr>
        <w:spacing w:line="360" w:lineRule="auto"/>
        <w:rPr>
          <w:sz w:val="28"/>
          <w:szCs w:val="28"/>
        </w:rPr>
      </w:pPr>
      <w:r>
        <w:rPr>
          <w:sz w:val="28"/>
          <w:szCs w:val="28"/>
        </w:rPr>
        <w:t>Large-scale genomic analyses with machine learning uncover predictive patterns associated with fungal phytopathogenic lifestyles and traits – Supplementary Information</w:t>
      </w:r>
    </w:p>
    <w:p w14:paraId="6C56A53C" w14:textId="77777777" w:rsidR="00470539" w:rsidRDefault="00470539">
      <w:pPr>
        <w:spacing w:line="360" w:lineRule="auto"/>
        <w:rPr>
          <w:sz w:val="28"/>
          <w:szCs w:val="28"/>
        </w:rPr>
      </w:pPr>
    </w:p>
    <w:p w14:paraId="530DD42D" w14:textId="77777777" w:rsidR="00470539" w:rsidRDefault="00000000">
      <w:pPr>
        <w:pStyle w:val="Heading1"/>
        <w:keepNext w:val="0"/>
        <w:keepLines w:val="0"/>
        <w:rPr>
          <w:sz w:val="24"/>
          <w:szCs w:val="24"/>
        </w:rPr>
      </w:pPr>
      <w:bookmarkStart w:id="0" w:name="_s7fbxsb5q9u1" w:colFirst="0" w:colLast="0"/>
      <w:bookmarkEnd w:id="0"/>
      <w:r>
        <w:t>Supplementary Results</w:t>
      </w:r>
    </w:p>
    <w:p w14:paraId="5491930B" w14:textId="77777777" w:rsidR="00470539" w:rsidRDefault="00000000">
      <w:pPr>
        <w:pStyle w:val="Heading2"/>
      </w:pPr>
      <w:bookmarkStart w:id="1" w:name="_31royico1ix8" w:colFirst="0" w:colLast="0"/>
      <w:bookmarkEnd w:id="1"/>
      <w:r>
        <w:t>Results of statistical analyses run on DendroNet AUCs</w:t>
      </w:r>
    </w:p>
    <w:p w14:paraId="6FC2FEE2" w14:textId="77777777" w:rsidR="00470539" w:rsidRDefault="00000000">
      <w:pPr>
        <w:spacing w:line="360" w:lineRule="auto"/>
        <w:rPr>
          <w:sz w:val="24"/>
          <w:szCs w:val="24"/>
        </w:rPr>
      </w:pPr>
      <w:proofErr w:type="spellStart"/>
      <w:r>
        <w:rPr>
          <w:sz w:val="24"/>
          <w:szCs w:val="24"/>
        </w:rPr>
        <w:t>DendroNet’s</w:t>
      </w:r>
      <w:proofErr w:type="spellEnd"/>
      <w:r>
        <w:rPr>
          <w:sz w:val="24"/>
          <w:szCs w:val="24"/>
        </w:rPr>
        <w:t xml:space="preserve"> ability to predict fungal lifestyles varied greatly depending on the lifestyle and genomic features included in the model, with a range in AUC scores from 0.204 ± 0.185 (endomycorrhizal fungi using </w:t>
      </w:r>
      <w:proofErr w:type="spellStart"/>
      <w:r>
        <w:rPr>
          <w:sz w:val="24"/>
          <w:szCs w:val="24"/>
        </w:rPr>
        <w:t>SMCs+transporters+transfactors</w:t>
      </w:r>
      <w:proofErr w:type="spellEnd"/>
      <w:r>
        <w:rPr>
          <w:sz w:val="24"/>
          <w:szCs w:val="24"/>
        </w:rPr>
        <w:t xml:space="preserve"> feature set) to 1.000 ± 0.000 (obligate biotrophs in 26 feature sets) (Data S3). Statistical analysis with a Friedman test on the lifestyle prediction results showed a significant difference in </w:t>
      </w:r>
      <w:proofErr w:type="spellStart"/>
      <w:r>
        <w:rPr>
          <w:sz w:val="24"/>
          <w:szCs w:val="24"/>
        </w:rPr>
        <w:t>DendroNet’s</w:t>
      </w:r>
      <w:proofErr w:type="spellEnd"/>
      <w:r>
        <w:rPr>
          <w:sz w:val="24"/>
          <w:szCs w:val="24"/>
        </w:rPr>
        <w:t xml:space="preserve"> AUC scores depending on the genomic feature set used (χ² = 128.361, </w:t>
      </w:r>
      <w:r>
        <w:rPr>
          <w:i/>
          <w:sz w:val="24"/>
          <w:szCs w:val="24"/>
        </w:rPr>
        <w:t>p</w:t>
      </w:r>
      <w:r>
        <w:rPr>
          <w:sz w:val="24"/>
          <w:szCs w:val="24"/>
        </w:rPr>
        <w:t xml:space="preserve"> = 3.932e-14). However, post-hoc analysis with a </w:t>
      </w:r>
      <w:proofErr w:type="spellStart"/>
      <w:r>
        <w:rPr>
          <w:sz w:val="24"/>
          <w:szCs w:val="24"/>
        </w:rPr>
        <w:t>Nemenyi</w:t>
      </w:r>
      <w:proofErr w:type="spellEnd"/>
      <w:r>
        <w:rPr>
          <w:sz w:val="24"/>
          <w:szCs w:val="24"/>
        </w:rPr>
        <w:t xml:space="preserve"> test revealed that these significant differences arose only between a few of the best- and worst-performing feature sets; the differences in DendroNet results between most of the 31 genomic feature sets were not statistically significant (Data S5). Two consistent patterns emerged from the </w:t>
      </w:r>
      <w:proofErr w:type="spellStart"/>
      <w:r>
        <w:rPr>
          <w:sz w:val="24"/>
          <w:szCs w:val="24"/>
        </w:rPr>
        <w:t>Nemenyi</w:t>
      </w:r>
      <w:proofErr w:type="spellEnd"/>
      <w:r>
        <w:rPr>
          <w:sz w:val="24"/>
          <w:szCs w:val="24"/>
        </w:rPr>
        <w:t xml:space="preserve"> test: the first was that the SMCs alone produced significantly lower AUC scores from DendroNet when compared to the top eight feature sets, and the second was that these top eight feature sets all included the </w:t>
      </w:r>
      <w:proofErr w:type="spellStart"/>
      <w:r>
        <w:rPr>
          <w:sz w:val="24"/>
          <w:szCs w:val="24"/>
        </w:rPr>
        <w:t>CAZyme</w:t>
      </w:r>
      <w:proofErr w:type="spellEnd"/>
      <w:r>
        <w:rPr>
          <w:sz w:val="24"/>
          <w:szCs w:val="24"/>
        </w:rPr>
        <w:t xml:space="preserve"> annotation data (Data S5). </w:t>
      </w:r>
    </w:p>
    <w:p w14:paraId="26B927E7" w14:textId="77777777" w:rsidR="00470539" w:rsidRDefault="00470539">
      <w:pPr>
        <w:spacing w:line="360" w:lineRule="auto"/>
        <w:rPr>
          <w:sz w:val="24"/>
          <w:szCs w:val="24"/>
        </w:rPr>
      </w:pPr>
    </w:p>
    <w:p w14:paraId="283C8FE0" w14:textId="77777777" w:rsidR="00470539" w:rsidRDefault="00000000">
      <w:pPr>
        <w:spacing w:line="360" w:lineRule="auto"/>
        <w:rPr>
          <w:sz w:val="24"/>
          <w:szCs w:val="24"/>
        </w:rPr>
      </w:pPr>
      <w:proofErr w:type="spellStart"/>
      <w:r>
        <w:rPr>
          <w:sz w:val="24"/>
          <w:szCs w:val="24"/>
        </w:rPr>
        <w:t>DendroNet’s</w:t>
      </w:r>
      <w:proofErr w:type="spellEnd"/>
      <w:r>
        <w:rPr>
          <w:sz w:val="24"/>
          <w:szCs w:val="24"/>
        </w:rPr>
        <w:t xml:space="preserve"> performance in predicting fungal phytopathogenic traits also varied greatly, with AUC scores ranging from 0.294 ± 0.015 (gymnosperm pathogens using </w:t>
      </w:r>
      <w:proofErr w:type="spellStart"/>
      <w:r>
        <w:rPr>
          <w:sz w:val="24"/>
          <w:szCs w:val="24"/>
        </w:rPr>
        <w:t>SMCs+transfactors</w:t>
      </w:r>
      <w:proofErr w:type="spellEnd"/>
      <w:r>
        <w:rPr>
          <w:sz w:val="24"/>
          <w:szCs w:val="24"/>
        </w:rPr>
        <w:t xml:space="preserve"> feature set) to 0.961 ± 0.004 (foliar pathogens using the </w:t>
      </w:r>
      <w:proofErr w:type="spellStart"/>
      <w:r>
        <w:rPr>
          <w:sz w:val="24"/>
          <w:szCs w:val="24"/>
        </w:rPr>
        <w:t>CAZymes+MEROPS+SMCs</w:t>
      </w:r>
      <w:proofErr w:type="spellEnd"/>
      <w:r>
        <w:rPr>
          <w:sz w:val="24"/>
          <w:szCs w:val="24"/>
        </w:rPr>
        <w:t xml:space="preserve"> feature set) (Data S4). As with the lifestyles, statistical analysis with a Friedman test on the trait predictions showed a significant difference in AUC scores depending on the genomic feature set used (χ² = 59.584, </w:t>
      </w:r>
      <w:r>
        <w:rPr>
          <w:i/>
          <w:sz w:val="24"/>
          <w:szCs w:val="24"/>
        </w:rPr>
        <w:t>p</w:t>
      </w:r>
      <w:r>
        <w:rPr>
          <w:sz w:val="24"/>
          <w:szCs w:val="24"/>
        </w:rPr>
        <w:t xml:space="preserve"> = 0.001), though the </w:t>
      </w:r>
      <w:proofErr w:type="spellStart"/>
      <w:r>
        <w:rPr>
          <w:sz w:val="24"/>
          <w:szCs w:val="24"/>
        </w:rPr>
        <w:t>Nemenyi</w:t>
      </w:r>
      <w:proofErr w:type="spellEnd"/>
      <w:r>
        <w:rPr>
          <w:sz w:val="24"/>
          <w:szCs w:val="24"/>
        </w:rPr>
        <w:t xml:space="preserve"> post-hoc test showed that these differences arose only between the poorest feature set (SMCs alone) and the top three feature sets (Data S5).</w:t>
      </w:r>
    </w:p>
    <w:p w14:paraId="36685EBD" w14:textId="77777777" w:rsidR="00470539" w:rsidRDefault="00470539">
      <w:pPr>
        <w:spacing w:line="360" w:lineRule="auto"/>
        <w:rPr>
          <w:sz w:val="24"/>
          <w:szCs w:val="24"/>
        </w:rPr>
      </w:pPr>
    </w:p>
    <w:p w14:paraId="5D0754BF" w14:textId="77777777" w:rsidR="00470539" w:rsidRDefault="00000000">
      <w:pPr>
        <w:pStyle w:val="Heading1"/>
      </w:pPr>
      <w:bookmarkStart w:id="2" w:name="_cealn836y067" w:colFirst="0" w:colLast="0"/>
      <w:bookmarkEnd w:id="2"/>
      <w:r>
        <w:lastRenderedPageBreak/>
        <w:t>Supplementary Tables</w:t>
      </w:r>
    </w:p>
    <w:p w14:paraId="7D4B064A" w14:textId="77777777" w:rsidR="00470539" w:rsidRDefault="00000000">
      <w:pPr>
        <w:spacing w:after="200" w:line="240" w:lineRule="auto"/>
        <w:rPr>
          <w:sz w:val="24"/>
          <w:szCs w:val="24"/>
        </w:rPr>
      </w:pPr>
      <w:r>
        <w:rPr>
          <w:b/>
          <w:sz w:val="24"/>
          <w:szCs w:val="24"/>
        </w:rPr>
        <w:t>Table S1.</w:t>
      </w:r>
      <w:r>
        <w:rPr>
          <w:sz w:val="24"/>
          <w:szCs w:val="24"/>
        </w:rPr>
        <w:t xml:space="preserve"> The list of 25 lifestyles to which fungal species were assigned in </w:t>
      </w:r>
      <w:proofErr w:type="spellStart"/>
      <w:r>
        <w:rPr>
          <w:sz w:val="24"/>
          <w:szCs w:val="24"/>
        </w:rPr>
        <w:t>FunLifeDB</w:t>
      </w:r>
      <w:proofErr w:type="spellEnd"/>
      <w:r>
        <w:rPr>
          <w:sz w:val="24"/>
          <w:szCs w:val="24"/>
        </w:rPr>
        <w:t xml:space="preserve"> based on a literature search.</w:t>
      </w:r>
    </w:p>
    <w:tbl>
      <w:tblPr>
        <w:tblStyle w:val="a"/>
        <w:tblW w:w="8926" w:type="dxa"/>
        <w:tblInd w:w="-108" w:type="dxa"/>
        <w:tblBorders>
          <w:top w:val="single" w:sz="18" w:space="0" w:color="000000"/>
          <w:left w:val="nil"/>
          <w:bottom w:val="single" w:sz="18" w:space="0" w:color="000000"/>
          <w:right w:val="nil"/>
          <w:insideH w:val="single" w:sz="4" w:space="0" w:color="000000"/>
          <w:insideV w:val="nil"/>
        </w:tblBorders>
        <w:tblLayout w:type="fixed"/>
        <w:tblLook w:val="0400" w:firstRow="0" w:lastRow="0" w:firstColumn="0" w:lastColumn="0" w:noHBand="0" w:noVBand="1"/>
      </w:tblPr>
      <w:tblGrid>
        <w:gridCol w:w="5098"/>
        <w:gridCol w:w="3828"/>
      </w:tblGrid>
      <w:tr w:rsidR="00470539" w14:paraId="42373E42" w14:textId="77777777">
        <w:tc>
          <w:tcPr>
            <w:tcW w:w="8926" w:type="dxa"/>
            <w:gridSpan w:val="2"/>
            <w:tcBorders>
              <w:top w:val="single" w:sz="18" w:space="0" w:color="000000"/>
              <w:bottom w:val="single" w:sz="18" w:space="0" w:color="000000"/>
            </w:tcBorders>
          </w:tcPr>
          <w:p w14:paraId="423D3C18" w14:textId="77777777" w:rsidR="00470539" w:rsidRDefault="00000000">
            <w:pPr>
              <w:spacing w:line="300" w:lineRule="auto"/>
              <w:jc w:val="center"/>
              <w:rPr>
                <w:rFonts w:ascii="Arial" w:eastAsia="Arial" w:hAnsi="Arial" w:cs="Arial"/>
                <w:b/>
                <w:sz w:val="24"/>
                <w:szCs w:val="24"/>
              </w:rPr>
            </w:pPr>
            <w:r>
              <w:rPr>
                <w:rFonts w:ascii="Arial" w:eastAsia="Arial" w:hAnsi="Arial" w:cs="Arial"/>
                <w:b/>
                <w:sz w:val="24"/>
                <w:szCs w:val="24"/>
              </w:rPr>
              <w:t>Lifestyles (Abbreviation)</w:t>
            </w:r>
          </w:p>
        </w:tc>
      </w:tr>
      <w:tr w:rsidR="00470539" w14:paraId="00CCEB96" w14:textId="77777777">
        <w:tc>
          <w:tcPr>
            <w:tcW w:w="5098" w:type="dxa"/>
            <w:tcBorders>
              <w:top w:val="single" w:sz="18" w:space="0" w:color="000000"/>
            </w:tcBorders>
          </w:tcPr>
          <w:p w14:paraId="5C5C4623"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Saprotroph (S)</w:t>
            </w:r>
          </w:p>
        </w:tc>
        <w:tc>
          <w:tcPr>
            <w:tcW w:w="3828" w:type="dxa"/>
            <w:tcBorders>
              <w:top w:val="single" w:sz="18" w:space="0" w:color="000000"/>
            </w:tcBorders>
          </w:tcPr>
          <w:p w14:paraId="5AFB9696" w14:textId="77777777" w:rsidR="00470539" w:rsidRDefault="00000000">
            <w:pPr>
              <w:spacing w:line="300" w:lineRule="auto"/>
              <w:rPr>
                <w:rFonts w:ascii="Arial" w:eastAsia="Arial" w:hAnsi="Arial" w:cs="Arial"/>
                <w:sz w:val="24"/>
                <w:szCs w:val="24"/>
              </w:rPr>
            </w:pPr>
            <w:proofErr w:type="spellStart"/>
            <w:r>
              <w:rPr>
                <w:rFonts w:ascii="Arial" w:eastAsia="Arial" w:hAnsi="Arial" w:cs="Arial"/>
                <w:sz w:val="24"/>
                <w:szCs w:val="24"/>
              </w:rPr>
              <w:t>Lichenicolous</w:t>
            </w:r>
            <w:proofErr w:type="spellEnd"/>
            <w:r>
              <w:rPr>
                <w:rFonts w:ascii="Arial" w:eastAsia="Arial" w:hAnsi="Arial" w:cs="Arial"/>
                <w:sz w:val="24"/>
                <w:szCs w:val="24"/>
              </w:rPr>
              <w:t xml:space="preserve"> (L)</w:t>
            </w:r>
          </w:p>
        </w:tc>
      </w:tr>
      <w:tr w:rsidR="00470539" w14:paraId="0E045F0F" w14:textId="77777777">
        <w:tc>
          <w:tcPr>
            <w:tcW w:w="5098" w:type="dxa"/>
          </w:tcPr>
          <w:p w14:paraId="50768CF8"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Necrotroph (N)</w:t>
            </w:r>
          </w:p>
        </w:tc>
        <w:tc>
          <w:tcPr>
            <w:tcW w:w="3828" w:type="dxa"/>
          </w:tcPr>
          <w:p w14:paraId="6F0AD7C4"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Lichenized (LF)</w:t>
            </w:r>
          </w:p>
        </w:tc>
      </w:tr>
      <w:tr w:rsidR="00470539" w14:paraId="085B5968" w14:textId="77777777">
        <w:tc>
          <w:tcPr>
            <w:tcW w:w="5098" w:type="dxa"/>
          </w:tcPr>
          <w:p w14:paraId="58BF88CE"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Biotroph (B)</w:t>
            </w:r>
          </w:p>
        </w:tc>
        <w:tc>
          <w:tcPr>
            <w:tcW w:w="3828" w:type="dxa"/>
          </w:tcPr>
          <w:p w14:paraId="46F0362E" w14:textId="77777777" w:rsidR="00470539" w:rsidRDefault="00000000">
            <w:pPr>
              <w:spacing w:line="300" w:lineRule="auto"/>
              <w:rPr>
                <w:rFonts w:ascii="Arial" w:eastAsia="Arial" w:hAnsi="Arial" w:cs="Arial"/>
                <w:sz w:val="24"/>
                <w:szCs w:val="24"/>
              </w:rPr>
            </w:pPr>
            <w:proofErr w:type="spellStart"/>
            <w:r>
              <w:rPr>
                <w:rFonts w:ascii="Arial" w:eastAsia="Arial" w:hAnsi="Arial" w:cs="Arial"/>
                <w:sz w:val="24"/>
                <w:szCs w:val="24"/>
              </w:rPr>
              <w:t>Endolichenic</w:t>
            </w:r>
            <w:proofErr w:type="spellEnd"/>
            <w:r>
              <w:rPr>
                <w:rFonts w:ascii="Arial" w:eastAsia="Arial" w:hAnsi="Arial" w:cs="Arial"/>
                <w:sz w:val="24"/>
                <w:szCs w:val="24"/>
              </w:rPr>
              <w:t xml:space="preserve"> (EL)</w:t>
            </w:r>
          </w:p>
        </w:tc>
      </w:tr>
      <w:tr w:rsidR="00470539" w14:paraId="39F609D7" w14:textId="77777777">
        <w:tc>
          <w:tcPr>
            <w:tcW w:w="5098" w:type="dxa"/>
          </w:tcPr>
          <w:p w14:paraId="3381A454"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Obligate Biotroph (OB)</w:t>
            </w:r>
          </w:p>
        </w:tc>
        <w:tc>
          <w:tcPr>
            <w:tcW w:w="3828" w:type="dxa"/>
          </w:tcPr>
          <w:p w14:paraId="0F89F12D"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Coprophilous (C)</w:t>
            </w:r>
          </w:p>
        </w:tc>
      </w:tr>
      <w:tr w:rsidR="00470539" w14:paraId="77CB1B86" w14:textId="77777777">
        <w:tc>
          <w:tcPr>
            <w:tcW w:w="5098" w:type="dxa"/>
          </w:tcPr>
          <w:p w14:paraId="2EE44351"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Hemibiotroph (HB)</w:t>
            </w:r>
          </w:p>
        </w:tc>
        <w:tc>
          <w:tcPr>
            <w:tcW w:w="3828" w:type="dxa"/>
          </w:tcPr>
          <w:p w14:paraId="05F73579" w14:textId="77777777" w:rsidR="00470539" w:rsidRDefault="00000000">
            <w:pPr>
              <w:spacing w:line="300" w:lineRule="auto"/>
              <w:rPr>
                <w:rFonts w:ascii="Arial" w:eastAsia="Arial" w:hAnsi="Arial" w:cs="Arial"/>
                <w:sz w:val="24"/>
                <w:szCs w:val="24"/>
              </w:rPr>
            </w:pPr>
            <w:proofErr w:type="spellStart"/>
            <w:r>
              <w:rPr>
                <w:rFonts w:ascii="Arial" w:eastAsia="Arial" w:hAnsi="Arial" w:cs="Arial"/>
                <w:sz w:val="24"/>
                <w:szCs w:val="24"/>
              </w:rPr>
              <w:t>Pyrophilous</w:t>
            </w:r>
            <w:proofErr w:type="spellEnd"/>
            <w:r>
              <w:rPr>
                <w:rFonts w:ascii="Arial" w:eastAsia="Arial" w:hAnsi="Arial" w:cs="Arial"/>
                <w:sz w:val="24"/>
                <w:szCs w:val="24"/>
              </w:rPr>
              <w:t xml:space="preserve"> (PY)</w:t>
            </w:r>
          </w:p>
        </w:tc>
      </w:tr>
      <w:tr w:rsidR="00470539" w14:paraId="6873714C" w14:textId="77777777">
        <w:tc>
          <w:tcPr>
            <w:tcW w:w="5098" w:type="dxa"/>
          </w:tcPr>
          <w:p w14:paraId="45EBE934"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Mycoparasite (MP)</w:t>
            </w:r>
          </w:p>
        </w:tc>
        <w:tc>
          <w:tcPr>
            <w:tcW w:w="3828" w:type="dxa"/>
          </w:tcPr>
          <w:p w14:paraId="065E3DBF"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Black Yeast (BY)</w:t>
            </w:r>
          </w:p>
        </w:tc>
      </w:tr>
      <w:tr w:rsidR="00470539" w14:paraId="3B522254" w14:textId="77777777">
        <w:tc>
          <w:tcPr>
            <w:tcW w:w="5098" w:type="dxa"/>
          </w:tcPr>
          <w:p w14:paraId="2FCE5131"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Parasitic (P)</w:t>
            </w:r>
          </w:p>
        </w:tc>
        <w:tc>
          <w:tcPr>
            <w:tcW w:w="3828" w:type="dxa"/>
          </w:tcPr>
          <w:p w14:paraId="190DA3D0"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Thermophile (T)</w:t>
            </w:r>
          </w:p>
        </w:tc>
      </w:tr>
      <w:tr w:rsidR="00470539" w14:paraId="5F20DB0C" w14:textId="77777777">
        <w:tc>
          <w:tcPr>
            <w:tcW w:w="5098" w:type="dxa"/>
          </w:tcPr>
          <w:p w14:paraId="58FBBA18"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Opportunistic/Latent Pathogen (O)</w:t>
            </w:r>
          </w:p>
        </w:tc>
        <w:tc>
          <w:tcPr>
            <w:tcW w:w="3828" w:type="dxa"/>
          </w:tcPr>
          <w:p w14:paraId="4C1F12CB"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Acidophile (A)</w:t>
            </w:r>
          </w:p>
        </w:tc>
      </w:tr>
      <w:tr w:rsidR="00470539" w14:paraId="6D3C688D" w14:textId="77777777">
        <w:tc>
          <w:tcPr>
            <w:tcW w:w="5098" w:type="dxa"/>
          </w:tcPr>
          <w:p w14:paraId="0A804B61"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Ectomycorrhizal (ECM)</w:t>
            </w:r>
          </w:p>
        </w:tc>
        <w:tc>
          <w:tcPr>
            <w:tcW w:w="3828" w:type="dxa"/>
          </w:tcPr>
          <w:p w14:paraId="76D890EA"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Alkaliphilic (AL)</w:t>
            </w:r>
          </w:p>
        </w:tc>
      </w:tr>
      <w:tr w:rsidR="00470539" w14:paraId="7D4F4F49" w14:textId="77777777">
        <w:tc>
          <w:tcPr>
            <w:tcW w:w="5098" w:type="dxa"/>
          </w:tcPr>
          <w:p w14:paraId="4183D9B1"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Endomycorrhizal (ENM)</w:t>
            </w:r>
          </w:p>
        </w:tc>
        <w:tc>
          <w:tcPr>
            <w:tcW w:w="3828" w:type="dxa"/>
          </w:tcPr>
          <w:p w14:paraId="7A432780"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Hyphomycete (HY)</w:t>
            </w:r>
          </w:p>
        </w:tc>
      </w:tr>
      <w:tr w:rsidR="00470539" w14:paraId="5BBDEFCD" w14:textId="77777777">
        <w:tc>
          <w:tcPr>
            <w:tcW w:w="5098" w:type="dxa"/>
          </w:tcPr>
          <w:p w14:paraId="66A19209"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Orchid Mycorrhizal (ORM)</w:t>
            </w:r>
          </w:p>
        </w:tc>
        <w:tc>
          <w:tcPr>
            <w:tcW w:w="3828" w:type="dxa"/>
          </w:tcPr>
          <w:p w14:paraId="5F6C6079"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Brown Rot (BR)</w:t>
            </w:r>
          </w:p>
        </w:tc>
      </w:tr>
      <w:tr w:rsidR="00470539" w14:paraId="1E558CBA" w14:textId="77777777">
        <w:tc>
          <w:tcPr>
            <w:tcW w:w="5098" w:type="dxa"/>
            <w:tcBorders>
              <w:bottom w:val="single" w:sz="4" w:space="0" w:color="000000"/>
            </w:tcBorders>
          </w:tcPr>
          <w:p w14:paraId="20A57041"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Endophyte (E)</w:t>
            </w:r>
          </w:p>
        </w:tc>
        <w:tc>
          <w:tcPr>
            <w:tcW w:w="3828" w:type="dxa"/>
            <w:tcBorders>
              <w:bottom w:val="single" w:sz="4" w:space="0" w:color="000000"/>
            </w:tcBorders>
          </w:tcPr>
          <w:p w14:paraId="05D02CDB"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White Rot (WR)</w:t>
            </w:r>
          </w:p>
        </w:tc>
      </w:tr>
      <w:tr w:rsidR="00470539" w14:paraId="0393A869" w14:textId="77777777">
        <w:tc>
          <w:tcPr>
            <w:tcW w:w="5098" w:type="dxa"/>
            <w:tcBorders>
              <w:top w:val="single" w:sz="4" w:space="0" w:color="000000"/>
              <w:bottom w:val="single" w:sz="18" w:space="0" w:color="000000"/>
            </w:tcBorders>
          </w:tcPr>
          <w:p w14:paraId="530473C4" w14:textId="77777777" w:rsidR="00470539" w:rsidRDefault="00000000">
            <w:pPr>
              <w:spacing w:line="300" w:lineRule="auto"/>
              <w:rPr>
                <w:rFonts w:ascii="Arial" w:eastAsia="Arial" w:hAnsi="Arial" w:cs="Arial"/>
                <w:sz w:val="24"/>
                <w:szCs w:val="24"/>
              </w:rPr>
            </w:pPr>
            <w:r>
              <w:rPr>
                <w:rFonts w:ascii="Arial" w:eastAsia="Arial" w:hAnsi="Arial" w:cs="Arial"/>
                <w:sz w:val="24"/>
                <w:szCs w:val="24"/>
              </w:rPr>
              <w:t>Epiphyte (EP)</w:t>
            </w:r>
          </w:p>
        </w:tc>
        <w:tc>
          <w:tcPr>
            <w:tcW w:w="3828" w:type="dxa"/>
            <w:tcBorders>
              <w:top w:val="single" w:sz="4" w:space="0" w:color="000000"/>
              <w:bottom w:val="single" w:sz="18" w:space="0" w:color="000000"/>
            </w:tcBorders>
          </w:tcPr>
          <w:p w14:paraId="6CDA08E2" w14:textId="77777777" w:rsidR="00470539" w:rsidRDefault="00470539">
            <w:pPr>
              <w:spacing w:line="300" w:lineRule="auto"/>
              <w:rPr>
                <w:rFonts w:ascii="Arial" w:eastAsia="Arial" w:hAnsi="Arial" w:cs="Arial"/>
                <w:sz w:val="24"/>
                <w:szCs w:val="24"/>
              </w:rPr>
            </w:pPr>
          </w:p>
        </w:tc>
      </w:tr>
    </w:tbl>
    <w:p w14:paraId="52B0839C" w14:textId="77777777" w:rsidR="00470539" w:rsidRDefault="00470539">
      <w:pPr>
        <w:spacing w:line="240" w:lineRule="auto"/>
        <w:rPr>
          <w:sz w:val="24"/>
          <w:szCs w:val="24"/>
        </w:rPr>
      </w:pPr>
    </w:p>
    <w:p w14:paraId="58B5CBBE" w14:textId="77777777" w:rsidR="00470539" w:rsidRDefault="00000000">
      <w:pPr>
        <w:keepNext/>
        <w:spacing w:after="200" w:line="240" w:lineRule="auto"/>
        <w:rPr>
          <w:sz w:val="24"/>
          <w:szCs w:val="24"/>
        </w:rPr>
      </w:pPr>
      <w:r>
        <w:rPr>
          <w:b/>
          <w:sz w:val="24"/>
          <w:szCs w:val="24"/>
        </w:rPr>
        <w:t>Table S2.</w:t>
      </w:r>
      <w:r>
        <w:rPr>
          <w:sz w:val="24"/>
          <w:szCs w:val="24"/>
        </w:rPr>
        <w:t xml:space="preserve"> The ecological traits assigned to pathogenic fungi in </w:t>
      </w:r>
      <w:proofErr w:type="spellStart"/>
      <w:r>
        <w:rPr>
          <w:sz w:val="24"/>
          <w:szCs w:val="24"/>
        </w:rPr>
        <w:t>FunLifeDB</w:t>
      </w:r>
      <w:proofErr w:type="spellEnd"/>
      <w:r>
        <w:rPr>
          <w:sz w:val="24"/>
          <w:szCs w:val="24"/>
        </w:rPr>
        <w:t>; host type was assigned to all pathogens whereas only plant pathogens received additional assignments for plant host information and infected/inoculated tissues.</w:t>
      </w:r>
    </w:p>
    <w:tbl>
      <w:tblPr>
        <w:tblStyle w:val="a0"/>
        <w:tblW w:w="8926" w:type="dxa"/>
        <w:tblInd w:w="-108" w:type="dxa"/>
        <w:tblBorders>
          <w:top w:val="single" w:sz="18" w:space="0" w:color="000000"/>
          <w:left w:val="nil"/>
          <w:bottom w:val="single" w:sz="18" w:space="0" w:color="000000"/>
          <w:right w:val="nil"/>
          <w:insideH w:val="single" w:sz="4" w:space="0" w:color="000000"/>
          <w:insideV w:val="nil"/>
        </w:tblBorders>
        <w:tblLayout w:type="fixed"/>
        <w:tblLook w:val="0400" w:firstRow="0" w:lastRow="0" w:firstColumn="0" w:lastColumn="0" w:noHBand="0" w:noVBand="1"/>
      </w:tblPr>
      <w:tblGrid>
        <w:gridCol w:w="5098"/>
        <w:gridCol w:w="3828"/>
      </w:tblGrid>
      <w:tr w:rsidR="00470539" w14:paraId="6CD2EA25" w14:textId="77777777">
        <w:tc>
          <w:tcPr>
            <w:tcW w:w="8926" w:type="dxa"/>
            <w:gridSpan w:val="2"/>
            <w:tcBorders>
              <w:top w:val="single" w:sz="18" w:space="0" w:color="000000"/>
              <w:bottom w:val="single" w:sz="18" w:space="0" w:color="000000"/>
            </w:tcBorders>
            <w:vAlign w:val="center"/>
          </w:tcPr>
          <w:p w14:paraId="51560A38" w14:textId="77777777" w:rsidR="00470539" w:rsidRDefault="00000000">
            <w:pPr>
              <w:spacing w:line="240" w:lineRule="auto"/>
              <w:jc w:val="center"/>
              <w:rPr>
                <w:rFonts w:ascii="Arial" w:eastAsia="Arial" w:hAnsi="Arial" w:cs="Arial"/>
                <w:b/>
                <w:sz w:val="24"/>
                <w:szCs w:val="24"/>
              </w:rPr>
            </w:pPr>
            <w:r>
              <w:rPr>
                <w:rFonts w:ascii="Arial" w:eastAsia="Arial" w:hAnsi="Arial" w:cs="Arial"/>
                <w:b/>
                <w:sz w:val="24"/>
                <w:szCs w:val="24"/>
              </w:rPr>
              <w:t>Ecological Traits</w:t>
            </w:r>
          </w:p>
        </w:tc>
      </w:tr>
      <w:tr w:rsidR="00470539" w14:paraId="78F782D6" w14:textId="77777777">
        <w:trPr>
          <w:trHeight w:val="1202"/>
        </w:trPr>
        <w:tc>
          <w:tcPr>
            <w:tcW w:w="5098" w:type="dxa"/>
            <w:tcBorders>
              <w:top w:val="single" w:sz="18" w:space="0" w:color="000000"/>
            </w:tcBorders>
            <w:vAlign w:val="center"/>
          </w:tcPr>
          <w:p w14:paraId="726D8B8B"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Host Type</w:t>
            </w:r>
          </w:p>
        </w:tc>
        <w:tc>
          <w:tcPr>
            <w:tcW w:w="3828" w:type="dxa"/>
            <w:tcBorders>
              <w:top w:val="single" w:sz="18" w:space="0" w:color="000000"/>
            </w:tcBorders>
            <w:vAlign w:val="center"/>
          </w:tcPr>
          <w:p w14:paraId="6F8F484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Plant</w:t>
            </w:r>
          </w:p>
          <w:p w14:paraId="66D5DF6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Fungus</w:t>
            </w:r>
          </w:p>
          <w:p w14:paraId="35E96BFC"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Vertebrate</w:t>
            </w:r>
          </w:p>
          <w:p w14:paraId="56E06109"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Invertebrate</w:t>
            </w:r>
          </w:p>
        </w:tc>
      </w:tr>
      <w:tr w:rsidR="00470539" w14:paraId="1B046BCF" w14:textId="77777777">
        <w:trPr>
          <w:trHeight w:val="873"/>
        </w:trPr>
        <w:tc>
          <w:tcPr>
            <w:tcW w:w="5098" w:type="dxa"/>
            <w:vAlign w:val="center"/>
          </w:tcPr>
          <w:p w14:paraId="4A635383"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Plant Host Information</w:t>
            </w:r>
          </w:p>
        </w:tc>
        <w:tc>
          <w:tcPr>
            <w:tcW w:w="3828" w:type="dxa"/>
            <w:vAlign w:val="center"/>
          </w:tcPr>
          <w:p w14:paraId="5F87A786"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Gymnosperms</w:t>
            </w:r>
          </w:p>
          <w:p w14:paraId="72329ED6"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Angiosperms</w:t>
            </w:r>
          </w:p>
        </w:tc>
      </w:tr>
      <w:tr w:rsidR="00470539" w14:paraId="56FB3891" w14:textId="77777777">
        <w:trPr>
          <w:trHeight w:val="940"/>
        </w:trPr>
        <w:tc>
          <w:tcPr>
            <w:tcW w:w="5098" w:type="dxa"/>
            <w:vAlign w:val="center"/>
          </w:tcPr>
          <w:p w14:paraId="13A8A59D"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Infected/Diseased Tissues</w:t>
            </w:r>
          </w:p>
        </w:tc>
        <w:tc>
          <w:tcPr>
            <w:tcW w:w="3828" w:type="dxa"/>
            <w:vAlign w:val="center"/>
          </w:tcPr>
          <w:p w14:paraId="47E64177"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Main Stem</w:t>
            </w:r>
          </w:p>
          <w:p w14:paraId="676A4C5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Leaves</w:t>
            </w:r>
          </w:p>
          <w:p w14:paraId="74009FB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Roots</w:t>
            </w:r>
          </w:p>
        </w:tc>
      </w:tr>
    </w:tbl>
    <w:p w14:paraId="7EB608D6" w14:textId="77777777" w:rsidR="00470539" w:rsidRDefault="00470539">
      <w:pPr>
        <w:spacing w:line="240" w:lineRule="auto"/>
        <w:rPr>
          <w:sz w:val="24"/>
          <w:szCs w:val="24"/>
        </w:rPr>
      </w:pPr>
    </w:p>
    <w:p w14:paraId="287DE4BE" w14:textId="77777777" w:rsidR="00470539" w:rsidRDefault="00000000">
      <w:pPr>
        <w:keepNext/>
        <w:spacing w:after="200" w:line="240" w:lineRule="auto"/>
        <w:rPr>
          <w:b/>
          <w:sz w:val="20"/>
          <w:szCs w:val="20"/>
        </w:rPr>
      </w:pPr>
      <w:r>
        <w:br w:type="page"/>
      </w:r>
    </w:p>
    <w:p w14:paraId="00BD0F30" w14:textId="77777777" w:rsidR="00470539" w:rsidRDefault="00000000">
      <w:pPr>
        <w:keepNext/>
        <w:spacing w:after="200" w:line="240" w:lineRule="auto"/>
        <w:rPr>
          <w:b/>
          <w:sz w:val="24"/>
          <w:szCs w:val="24"/>
        </w:rPr>
      </w:pPr>
      <w:r>
        <w:rPr>
          <w:b/>
          <w:sz w:val="24"/>
          <w:szCs w:val="24"/>
        </w:rPr>
        <w:lastRenderedPageBreak/>
        <w:t xml:space="preserve">Table S3. </w:t>
      </w:r>
      <w:r>
        <w:rPr>
          <w:sz w:val="24"/>
          <w:szCs w:val="24"/>
        </w:rPr>
        <w:t xml:space="preserve">The balance of genomes across pathogenic groups as well as the tested lifestyles and traits in both the original </w:t>
      </w:r>
      <w:proofErr w:type="spellStart"/>
      <w:r>
        <w:rPr>
          <w:sz w:val="24"/>
          <w:szCs w:val="24"/>
        </w:rPr>
        <w:t>FunLifeDB</w:t>
      </w:r>
      <w:proofErr w:type="spellEnd"/>
      <w:r>
        <w:rPr>
          <w:sz w:val="24"/>
          <w:szCs w:val="24"/>
        </w:rPr>
        <w:t xml:space="preserve"> and the reduced dataset of published genomes used for analyses. </w:t>
      </w:r>
    </w:p>
    <w:tbl>
      <w:tblPr>
        <w:tblStyle w:val="a1"/>
        <w:tblW w:w="8647" w:type="dxa"/>
        <w:tblInd w:w="-108" w:type="dxa"/>
        <w:tblBorders>
          <w:top w:val="single" w:sz="4" w:space="0" w:color="000000"/>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2830"/>
        <w:gridCol w:w="2694"/>
        <w:gridCol w:w="3123"/>
      </w:tblGrid>
      <w:tr w:rsidR="00470539" w14:paraId="2AB7A77A" w14:textId="77777777">
        <w:tc>
          <w:tcPr>
            <w:tcW w:w="2830" w:type="dxa"/>
            <w:tcBorders>
              <w:top w:val="single" w:sz="18" w:space="0" w:color="000000"/>
              <w:bottom w:val="single" w:sz="18" w:space="0" w:color="000000"/>
            </w:tcBorders>
          </w:tcPr>
          <w:p w14:paraId="6FFC66D2" w14:textId="77777777" w:rsidR="00470539" w:rsidRDefault="00470539">
            <w:pPr>
              <w:spacing w:line="240" w:lineRule="auto"/>
              <w:rPr>
                <w:rFonts w:ascii="Arial" w:eastAsia="Arial" w:hAnsi="Arial" w:cs="Arial"/>
                <w:b/>
                <w:sz w:val="24"/>
                <w:szCs w:val="24"/>
              </w:rPr>
            </w:pPr>
          </w:p>
        </w:tc>
        <w:tc>
          <w:tcPr>
            <w:tcW w:w="2694" w:type="dxa"/>
            <w:tcBorders>
              <w:top w:val="single" w:sz="18" w:space="0" w:color="000000"/>
              <w:bottom w:val="single" w:sz="18" w:space="0" w:color="000000"/>
            </w:tcBorders>
          </w:tcPr>
          <w:p w14:paraId="410183F2"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Number of Genomes in Original Database</w:t>
            </w:r>
          </w:p>
        </w:tc>
        <w:tc>
          <w:tcPr>
            <w:tcW w:w="3123" w:type="dxa"/>
            <w:tcBorders>
              <w:top w:val="single" w:sz="18" w:space="0" w:color="000000"/>
              <w:bottom w:val="single" w:sz="18" w:space="0" w:color="000000"/>
            </w:tcBorders>
          </w:tcPr>
          <w:p w14:paraId="722FB174"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Number of Genomes in Reduced Database</w:t>
            </w:r>
          </w:p>
        </w:tc>
      </w:tr>
      <w:tr w:rsidR="00470539" w14:paraId="0D772835" w14:textId="77777777">
        <w:tc>
          <w:tcPr>
            <w:tcW w:w="2830" w:type="dxa"/>
            <w:tcBorders>
              <w:top w:val="single" w:sz="18" w:space="0" w:color="000000"/>
            </w:tcBorders>
          </w:tcPr>
          <w:p w14:paraId="62A0C25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Pathogens</w:t>
            </w:r>
          </w:p>
        </w:tc>
        <w:tc>
          <w:tcPr>
            <w:tcW w:w="2694" w:type="dxa"/>
            <w:tcBorders>
              <w:top w:val="single" w:sz="18" w:space="0" w:color="000000"/>
            </w:tcBorders>
          </w:tcPr>
          <w:p w14:paraId="4C4D8230"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251</w:t>
            </w:r>
          </w:p>
        </w:tc>
        <w:tc>
          <w:tcPr>
            <w:tcW w:w="3123" w:type="dxa"/>
            <w:tcBorders>
              <w:top w:val="single" w:sz="18" w:space="0" w:color="000000"/>
            </w:tcBorders>
          </w:tcPr>
          <w:p w14:paraId="548856C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177</w:t>
            </w:r>
          </w:p>
        </w:tc>
      </w:tr>
      <w:tr w:rsidR="00470539" w14:paraId="7D1F63D7" w14:textId="77777777">
        <w:tc>
          <w:tcPr>
            <w:tcW w:w="2830" w:type="dxa"/>
          </w:tcPr>
          <w:p w14:paraId="2F4E2709"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Non-pathogens</w:t>
            </w:r>
          </w:p>
        </w:tc>
        <w:tc>
          <w:tcPr>
            <w:tcW w:w="2694" w:type="dxa"/>
          </w:tcPr>
          <w:p w14:paraId="643C5D6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265</w:t>
            </w:r>
          </w:p>
        </w:tc>
        <w:tc>
          <w:tcPr>
            <w:tcW w:w="3123" w:type="dxa"/>
          </w:tcPr>
          <w:p w14:paraId="7AD94B0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177</w:t>
            </w:r>
          </w:p>
        </w:tc>
      </w:tr>
      <w:tr w:rsidR="00470539" w14:paraId="5146A1A1" w14:textId="77777777">
        <w:trPr>
          <w:trHeight w:val="245"/>
        </w:trPr>
        <w:tc>
          <w:tcPr>
            <w:tcW w:w="2830" w:type="dxa"/>
            <w:tcBorders>
              <w:bottom w:val="single" w:sz="4" w:space="0" w:color="000000"/>
            </w:tcBorders>
          </w:tcPr>
          <w:p w14:paraId="38462053"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Pathogenicity unknown</w:t>
            </w:r>
          </w:p>
        </w:tc>
        <w:tc>
          <w:tcPr>
            <w:tcW w:w="2694" w:type="dxa"/>
            <w:tcBorders>
              <w:bottom w:val="single" w:sz="4" w:space="0" w:color="000000"/>
            </w:tcBorders>
          </w:tcPr>
          <w:p w14:paraId="7552D54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66</w:t>
            </w:r>
          </w:p>
        </w:tc>
        <w:tc>
          <w:tcPr>
            <w:tcW w:w="3123" w:type="dxa"/>
            <w:tcBorders>
              <w:bottom w:val="single" w:sz="4" w:space="0" w:color="000000"/>
            </w:tcBorders>
          </w:tcPr>
          <w:p w14:paraId="05CE2AA5"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33</w:t>
            </w:r>
          </w:p>
        </w:tc>
      </w:tr>
      <w:tr w:rsidR="00470539" w14:paraId="52E2C628" w14:textId="77777777">
        <w:tc>
          <w:tcPr>
            <w:tcW w:w="2830" w:type="dxa"/>
          </w:tcPr>
          <w:p w14:paraId="1DB38557"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Plant pathogens</w:t>
            </w:r>
          </w:p>
        </w:tc>
        <w:tc>
          <w:tcPr>
            <w:tcW w:w="2694" w:type="dxa"/>
          </w:tcPr>
          <w:p w14:paraId="0B0F2B02"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196</w:t>
            </w:r>
          </w:p>
        </w:tc>
        <w:tc>
          <w:tcPr>
            <w:tcW w:w="3123" w:type="dxa"/>
          </w:tcPr>
          <w:p w14:paraId="5FF19B6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138</w:t>
            </w:r>
          </w:p>
        </w:tc>
      </w:tr>
      <w:tr w:rsidR="00470539" w14:paraId="1DEF33EB" w14:textId="77777777">
        <w:tc>
          <w:tcPr>
            <w:tcW w:w="2830" w:type="dxa"/>
            <w:tcBorders>
              <w:bottom w:val="single" w:sz="4" w:space="0" w:color="000000"/>
            </w:tcBorders>
          </w:tcPr>
          <w:p w14:paraId="60D8D847"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Saprotrophs</w:t>
            </w:r>
          </w:p>
        </w:tc>
        <w:tc>
          <w:tcPr>
            <w:tcW w:w="2694" w:type="dxa"/>
            <w:tcBorders>
              <w:bottom w:val="single" w:sz="4" w:space="0" w:color="000000"/>
            </w:tcBorders>
          </w:tcPr>
          <w:p w14:paraId="79EDFD45"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369</w:t>
            </w:r>
          </w:p>
        </w:tc>
        <w:tc>
          <w:tcPr>
            <w:tcW w:w="3123" w:type="dxa"/>
            <w:tcBorders>
              <w:bottom w:val="single" w:sz="4" w:space="0" w:color="000000"/>
            </w:tcBorders>
          </w:tcPr>
          <w:p w14:paraId="3A1A4C55"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241</w:t>
            </w:r>
          </w:p>
        </w:tc>
      </w:tr>
      <w:tr w:rsidR="00470539" w14:paraId="2B1514B1" w14:textId="77777777">
        <w:tc>
          <w:tcPr>
            <w:tcW w:w="2830" w:type="dxa"/>
            <w:tcBorders>
              <w:bottom w:val="single" w:sz="4" w:space="0" w:color="000000"/>
            </w:tcBorders>
          </w:tcPr>
          <w:p w14:paraId="7CA78C71" w14:textId="77777777" w:rsidR="00470539" w:rsidRDefault="00000000">
            <w:pPr>
              <w:spacing w:line="240" w:lineRule="auto"/>
              <w:rPr>
                <w:rFonts w:ascii="Arial" w:eastAsia="Arial" w:hAnsi="Arial" w:cs="Arial"/>
                <w:sz w:val="24"/>
                <w:szCs w:val="24"/>
              </w:rPr>
            </w:pPr>
            <w:proofErr w:type="spellStart"/>
            <w:r>
              <w:rPr>
                <w:rFonts w:ascii="Arial" w:eastAsia="Arial" w:hAnsi="Arial" w:cs="Arial"/>
                <w:sz w:val="24"/>
                <w:szCs w:val="24"/>
              </w:rPr>
              <w:t>Ectomycorrhizae</w:t>
            </w:r>
            <w:proofErr w:type="spellEnd"/>
          </w:p>
        </w:tc>
        <w:tc>
          <w:tcPr>
            <w:tcW w:w="2694" w:type="dxa"/>
            <w:tcBorders>
              <w:bottom w:val="single" w:sz="4" w:space="0" w:color="000000"/>
            </w:tcBorders>
          </w:tcPr>
          <w:p w14:paraId="42C3D59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36</w:t>
            </w:r>
          </w:p>
        </w:tc>
        <w:tc>
          <w:tcPr>
            <w:tcW w:w="3123" w:type="dxa"/>
            <w:tcBorders>
              <w:bottom w:val="single" w:sz="4" w:space="0" w:color="000000"/>
            </w:tcBorders>
          </w:tcPr>
          <w:p w14:paraId="6DE5FC83"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32</w:t>
            </w:r>
          </w:p>
        </w:tc>
      </w:tr>
      <w:tr w:rsidR="00470539" w14:paraId="4C7189D0" w14:textId="77777777">
        <w:tc>
          <w:tcPr>
            <w:tcW w:w="2830" w:type="dxa"/>
            <w:tcBorders>
              <w:bottom w:val="single" w:sz="4" w:space="0" w:color="000000"/>
            </w:tcBorders>
          </w:tcPr>
          <w:p w14:paraId="62C7A1BE" w14:textId="77777777" w:rsidR="00470539" w:rsidRDefault="00000000">
            <w:pPr>
              <w:spacing w:line="240" w:lineRule="auto"/>
              <w:rPr>
                <w:rFonts w:ascii="Arial" w:eastAsia="Arial" w:hAnsi="Arial" w:cs="Arial"/>
                <w:sz w:val="24"/>
                <w:szCs w:val="24"/>
              </w:rPr>
            </w:pPr>
            <w:proofErr w:type="spellStart"/>
            <w:r>
              <w:rPr>
                <w:rFonts w:ascii="Arial" w:eastAsia="Arial" w:hAnsi="Arial" w:cs="Arial"/>
                <w:sz w:val="24"/>
                <w:szCs w:val="24"/>
              </w:rPr>
              <w:t>Endomycorrhizae</w:t>
            </w:r>
            <w:proofErr w:type="spellEnd"/>
          </w:p>
        </w:tc>
        <w:tc>
          <w:tcPr>
            <w:tcW w:w="2694" w:type="dxa"/>
            <w:tcBorders>
              <w:bottom w:val="single" w:sz="4" w:space="0" w:color="000000"/>
            </w:tcBorders>
          </w:tcPr>
          <w:p w14:paraId="1F94CEE4"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7</w:t>
            </w:r>
          </w:p>
        </w:tc>
        <w:tc>
          <w:tcPr>
            <w:tcW w:w="3123" w:type="dxa"/>
            <w:tcBorders>
              <w:bottom w:val="single" w:sz="4" w:space="0" w:color="000000"/>
            </w:tcBorders>
          </w:tcPr>
          <w:p w14:paraId="2AD1C4A4"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7</w:t>
            </w:r>
          </w:p>
        </w:tc>
      </w:tr>
      <w:tr w:rsidR="00470539" w14:paraId="040222D3" w14:textId="77777777">
        <w:tc>
          <w:tcPr>
            <w:tcW w:w="2830" w:type="dxa"/>
            <w:tcBorders>
              <w:bottom w:val="single" w:sz="4" w:space="0" w:color="000000"/>
            </w:tcBorders>
          </w:tcPr>
          <w:p w14:paraId="3AC0E04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Necrotrophs</w:t>
            </w:r>
          </w:p>
        </w:tc>
        <w:tc>
          <w:tcPr>
            <w:tcW w:w="2694" w:type="dxa"/>
            <w:tcBorders>
              <w:bottom w:val="single" w:sz="4" w:space="0" w:color="000000"/>
            </w:tcBorders>
          </w:tcPr>
          <w:p w14:paraId="1468FD54"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80</w:t>
            </w:r>
          </w:p>
        </w:tc>
        <w:tc>
          <w:tcPr>
            <w:tcW w:w="3123" w:type="dxa"/>
            <w:tcBorders>
              <w:bottom w:val="single" w:sz="4" w:space="0" w:color="000000"/>
            </w:tcBorders>
          </w:tcPr>
          <w:p w14:paraId="1ACB4AD2"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56</w:t>
            </w:r>
          </w:p>
        </w:tc>
      </w:tr>
      <w:tr w:rsidR="00470539" w14:paraId="7A97CE66" w14:textId="77777777">
        <w:tc>
          <w:tcPr>
            <w:tcW w:w="2830" w:type="dxa"/>
            <w:tcBorders>
              <w:bottom w:val="single" w:sz="4" w:space="0" w:color="000000"/>
            </w:tcBorders>
          </w:tcPr>
          <w:p w14:paraId="60FEA58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Hemibiotrophs</w:t>
            </w:r>
          </w:p>
        </w:tc>
        <w:tc>
          <w:tcPr>
            <w:tcW w:w="2694" w:type="dxa"/>
            <w:tcBorders>
              <w:bottom w:val="single" w:sz="4" w:space="0" w:color="000000"/>
            </w:tcBorders>
          </w:tcPr>
          <w:p w14:paraId="24214B0B"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78</w:t>
            </w:r>
          </w:p>
        </w:tc>
        <w:tc>
          <w:tcPr>
            <w:tcW w:w="3123" w:type="dxa"/>
            <w:tcBorders>
              <w:bottom w:val="single" w:sz="4" w:space="0" w:color="000000"/>
            </w:tcBorders>
          </w:tcPr>
          <w:p w14:paraId="2C48A96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52</w:t>
            </w:r>
          </w:p>
        </w:tc>
      </w:tr>
      <w:tr w:rsidR="00470539" w14:paraId="605573C5" w14:textId="77777777">
        <w:tc>
          <w:tcPr>
            <w:tcW w:w="2830" w:type="dxa"/>
            <w:tcBorders>
              <w:bottom w:val="single" w:sz="4" w:space="0" w:color="000000"/>
            </w:tcBorders>
          </w:tcPr>
          <w:p w14:paraId="2CD6142B"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Facultative biotrophs</w:t>
            </w:r>
          </w:p>
        </w:tc>
        <w:tc>
          <w:tcPr>
            <w:tcW w:w="2694" w:type="dxa"/>
            <w:tcBorders>
              <w:bottom w:val="single" w:sz="4" w:space="0" w:color="000000"/>
            </w:tcBorders>
          </w:tcPr>
          <w:p w14:paraId="2BD08BDD"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43</w:t>
            </w:r>
          </w:p>
        </w:tc>
        <w:tc>
          <w:tcPr>
            <w:tcW w:w="3123" w:type="dxa"/>
            <w:tcBorders>
              <w:bottom w:val="single" w:sz="4" w:space="0" w:color="000000"/>
            </w:tcBorders>
          </w:tcPr>
          <w:p w14:paraId="7A9279B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37</w:t>
            </w:r>
          </w:p>
        </w:tc>
      </w:tr>
      <w:tr w:rsidR="00470539" w14:paraId="6777338E" w14:textId="77777777">
        <w:tc>
          <w:tcPr>
            <w:tcW w:w="2830" w:type="dxa"/>
            <w:tcBorders>
              <w:bottom w:val="single" w:sz="4" w:space="0" w:color="000000"/>
            </w:tcBorders>
          </w:tcPr>
          <w:p w14:paraId="49472F3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Obligate biotrophs</w:t>
            </w:r>
          </w:p>
        </w:tc>
        <w:tc>
          <w:tcPr>
            <w:tcW w:w="2694" w:type="dxa"/>
            <w:tcBorders>
              <w:bottom w:val="single" w:sz="4" w:space="0" w:color="000000"/>
            </w:tcBorders>
          </w:tcPr>
          <w:p w14:paraId="4AEC663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24</w:t>
            </w:r>
          </w:p>
        </w:tc>
        <w:tc>
          <w:tcPr>
            <w:tcW w:w="3123" w:type="dxa"/>
            <w:tcBorders>
              <w:bottom w:val="single" w:sz="4" w:space="0" w:color="000000"/>
            </w:tcBorders>
          </w:tcPr>
          <w:p w14:paraId="6A194BA0"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21</w:t>
            </w:r>
          </w:p>
        </w:tc>
      </w:tr>
      <w:tr w:rsidR="00470539" w14:paraId="46DA20DD" w14:textId="77777777">
        <w:tc>
          <w:tcPr>
            <w:tcW w:w="2830" w:type="dxa"/>
            <w:tcBorders>
              <w:bottom w:val="single" w:sz="4" w:space="0" w:color="000000"/>
            </w:tcBorders>
          </w:tcPr>
          <w:p w14:paraId="6301C725"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Gymnosperm pathogens</w:t>
            </w:r>
          </w:p>
        </w:tc>
        <w:tc>
          <w:tcPr>
            <w:tcW w:w="2694" w:type="dxa"/>
            <w:tcBorders>
              <w:bottom w:val="single" w:sz="4" w:space="0" w:color="000000"/>
            </w:tcBorders>
          </w:tcPr>
          <w:p w14:paraId="5641BA3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34</w:t>
            </w:r>
          </w:p>
        </w:tc>
        <w:tc>
          <w:tcPr>
            <w:tcW w:w="3123" w:type="dxa"/>
            <w:tcBorders>
              <w:bottom w:val="single" w:sz="4" w:space="0" w:color="000000"/>
            </w:tcBorders>
          </w:tcPr>
          <w:p w14:paraId="3292DAA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24</w:t>
            </w:r>
          </w:p>
        </w:tc>
      </w:tr>
      <w:tr w:rsidR="00470539" w14:paraId="5EA793D1" w14:textId="77777777">
        <w:tc>
          <w:tcPr>
            <w:tcW w:w="2830" w:type="dxa"/>
            <w:tcBorders>
              <w:bottom w:val="single" w:sz="4" w:space="0" w:color="000000"/>
            </w:tcBorders>
          </w:tcPr>
          <w:p w14:paraId="392B97FA"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Angiosperm pathogens</w:t>
            </w:r>
          </w:p>
        </w:tc>
        <w:tc>
          <w:tcPr>
            <w:tcW w:w="2694" w:type="dxa"/>
            <w:tcBorders>
              <w:bottom w:val="single" w:sz="4" w:space="0" w:color="000000"/>
            </w:tcBorders>
          </w:tcPr>
          <w:p w14:paraId="5872158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181</w:t>
            </w:r>
          </w:p>
        </w:tc>
        <w:tc>
          <w:tcPr>
            <w:tcW w:w="3123" w:type="dxa"/>
            <w:tcBorders>
              <w:bottom w:val="single" w:sz="4" w:space="0" w:color="000000"/>
            </w:tcBorders>
          </w:tcPr>
          <w:p w14:paraId="2BB1CA3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128</w:t>
            </w:r>
          </w:p>
        </w:tc>
      </w:tr>
      <w:tr w:rsidR="00470539" w14:paraId="18562E30" w14:textId="77777777">
        <w:tc>
          <w:tcPr>
            <w:tcW w:w="2830" w:type="dxa"/>
            <w:tcBorders>
              <w:bottom w:val="single" w:sz="4" w:space="0" w:color="000000"/>
            </w:tcBorders>
          </w:tcPr>
          <w:p w14:paraId="5DDEB215"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Stem pathogens</w:t>
            </w:r>
          </w:p>
        </w:tc>
        <w:tc>
          <w:tcPr>
            <w:tcW w:w="2694" w:type="dxa"/>
            <w:tcBorders>
              <w:bottom w:val="single" w:sz="4" w:space="0" w:color="000000"/>
            </w:tcBorders>
          </w:tcPr>
          <w:p w14:paraId="4362C4D1"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131</w:t>
            </w:r>
          </w:p>
        </w:tc>
        <w:tc>
          <w:tcPr>
            <w:tcW w:w="3123" w:type="dxa"/>
            <w:tcBorders>
              <w:bottom w:val="single" w:sz="4" w:space="0" w:color="000000"/>
            </w:tcBorders>
          </w:tcPr>
          <w:p w14:paraId="3F256310"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99</w:t>
            </w:r>
          </w:p>
        </w:tc>
      </w:tr>
      <w:tr w:rsidR="00470539" w14:paraId="12150D6B" w14:textId="77777777">
        <w:tc>
          <w:tcPr>
            <w:tcW w:w="2830" w:type="dxa"/>
            <w:tcBorders>
              <w:bottom w:val="single" w:sz="4" w:space="0" w:color="000000"/>
            </w:tcBorders>
          </w:tcPr>
          <w:p w14:paraId="3D36A4F4"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Foliar pathogens</w:t>
            </w:r>
          </w:p>
        </w:tc>
        <w:tc>
          <w:tcPr>
            <w:tcW w:w="2694" w:type="dxa"/>
            <w:tcBorders>
              <w:bottom w:val="single" w:sz="4" w:space="0" w:color="000000"/>
            </w:tcBorders>
          </w:tcPr>
          <w:p w14:paraId="74630359"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134</w:t>
            </w:r>
          </w:p>
        </w:tc>
        <w:tc>
          <w:tcPr>
            <w:tcW w:w="3123" w:type="dxa"/>
            <w:tcBorders>
              <w:bottom w:val="single" w:sz="4" w:space="0" w:color="000000"/>
            </w:tcBorders>
          </w:tcPr>
          <w:p w14:paraId="15845DF4"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103</w:t>
            </w:r>
          </w:p>
        </w:tc>
      </w:tr>
      <w:tr w:rsidR="00470539" w14:paraId="790E73AA" w14:textId="77777777">
        <w:tc>
          <w:tcPr>
            <w:tcW w:w="2830" w:type="dxa"/>
            <w:tcBorders>
              <w:bottom w:val="single" w:sz="4" w:space="0" w:color="000000"/>
            </w:tcBorders>
          </w:tcPr>
          <w:p w14:paraId="4CB0890D"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Root pathogens</w:t>
            </w:r>
          </w:p>
        </w:tc>
        <w:tc>
          <w:tcPr>
            <w:tcW w:w="2694" w:type="dxa"/>
            <w:tcBorders>
              <w:bottom w:val="single" w:sz="4" w:space="0" w:color="000000"/>
            </w:tcBorders>
          </w:tcPr>
          <w:p w14:paraId="2B86A6FE"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64</w:t>
            </w:r>
          </w:p>
        </w:tc>
        <w:tc>
          <w:tcPr>
            <w:tcW w:w="3123" w:type="dxa"/>
            <w:tcBorders>
              <w:bottom w:val="single" w:sz="4" w:space="0" w:color="000000"/>
            </w:tcBorders>
          </w:tcPr>
          <w:p w14:paraId="67C12DFF"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40</w:t>
            </w:r>
          </w:p>
        </w:tc>
      </w:tr>
      <w:tr w:rsidR="00470539" w14:paraId="7FC7BF43" w14:textId="77777777">
        <w:tc>
          <w:tcPr>
            <w:tcW w:w="2830" w:type="dxa"/>
            <w:tcBorders>
              <w:bottom w:val="single" w:sz="4" w:space="0" w:color="000000"/>
            </w:tcBorders>
          </w:tcPr>
          <w:p w14:paraId="3A782D68"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Total species</w:t>
            </w:r>
          </w:p>
        </w:tc>
        <w:tc>
          <w:tcPr>
            <w:tcW w:w="2694" w:type="dxa"/>
            <w:tcBorders>
              <w:bottom w:val="single" w:sz="4" w:space="0" w:color="000000"/>
            </w:tcBorders>
          </w:tcPr>
          <w:p w14:paraId="2F72B0F2"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533</w:t>
            </w:r>
          </w:p>
        </w:tc>
        <w:tc>
          <w:tcPr>
            <w:tcW w:w="3123" w:type="dxa"/>
            <w:tcBorders>
              <w:bottom w:val="single" w:sz="4" w:space="0" w:color="000000"/>
            </w:tcBorders>
          </w:tcPr>
          <w:p w14:paraId="5DFAF64D"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355</w:t>
            </w:r>
          </w:p>
        </w:tc>
      </w:tr>
      <w:tr w:rsidR="00470539" w14:paraId="496A3FD3" w14:textId="77777777">
        <w:tc>
          <w:tcPr>
            <w:tcW w:w="2830" w:type="dxa"/>
            <w:tcBorders>
              <w:bottom w:val="single" w:sz="18" w:space="0" w:color="000000"/>
            </w:tcBorders>
          </w:tcPr>
          <w:p w14:paraId="2D015EA2"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Total genomes</w:t>
            </w:r>
          </w:p>
        </w:tc>
        <w:tc>
          <w:tcPr>
            <w:tcW w:w="2694" w:type="dxa"/>
            <w:tcBorders>
              <w:bottom w:val="single" w:sz="18" w:space="0" w:color="000000"/>
            </w:tcBorders>
          </w:tcPr>
          <w:p w14:paraId="289838E8"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582</w:t>
            </w:r>
          </w:p>
        </w:tc>
        <w:tc>
          <w:tcPr>
            <w:tcW w:w="3123" w:type="dxa"/>
            <w:tcBorders>
              <w:bottom w:val="single" w:sz="18" w:space="0" w:color="000000"/>
            </w:tcBorders>
          </w:tcPr>
          <w:p w14:paraId="72CBDDC4" w14:textId="77777777" w:rsidR="00470539" w:rsidRDefault="00000000">
            <w:pPr>
              <w:spacing w:line="240" w:lineRule="auto"/>
              <w:rPr>
                <w:rFonts w:ascii="Arial" w:eastAsia="Arial" w:hAnsi="Arial" w:cs="Arial"/>
                <w:b/>
                <w:sz w:val="24"/>
                <w:szCs w:val="24"/>
              </w:rPr>
            </w:pPr>
            <w:r>
              <w:rPr>
                <w:rFonts w:ascii="Arial" w:eastAsia="Arial" w:hAnsi="Arial" w:cs="Arial"/>
                <w:b/>
                <w:sz w:val="24"/>
                <w:szCs w:val="24"/>
              </w:rPr>
              <w:t xml:space="preserve">387 </w:t>
            </w:r>
          </w:p>
          <w:p w14:paraId="12079EF8" w14:textId="77777777" w:rsidR="00470539" w:rsidRDefault="00000000">
            <w:pPr>
              <w:spacing w:line="240" w:lineRule="auto"/>
              <w:rPr>
                <w:rFonts w:ascii="Arial" w:eastAsia="Arial" w:hAnsi="Arial" w:cs="Arial"/>
                <w:sz w:val="24"/>
                <w:szCs w:val="24"/>
              </w:rPr>
            </w:pPr>
            <w:r>
              <w:rPr>
                <w:rFonts w:ascii="Arial" w:eastAsia="Arial" w:hAnsi="Arial" w:cs="Arial"/>
                <w:sz w:val="24"/>
                <w:szCs w:val="24"/>
              </w:rPr>
              <w:t>(362 published, 8 genomes from R.H. as PI, 17 genomes from F.M. as PI)</w:t>
            </w:r>
          </w:p>
        </w:tc>
      </w:tr>
    </w:tbl>
    <w:p w14:paraId="0C1F502E" w14:textId="77777777" w:rsidR="00470539" w:rsidRDefault="00470539">
      <w:pPr>
        <w:spacing w:line="240" w:lineRule="auto"/>
        <w:rPr>
          <w:sz w:val="24"/>
          <w:szCs w:val="24"/>
        </w:rPr>
      </w:pPr>
    </w:p>
    <w:p w14:paraId="2853B5FA" w14:textId="77777777" w:rsidR="00470539" w:rsidRDefault="00000000">
      <w:pPr>
        <w:pStyle w:val="Heading1"/>
      </w:pPr>
      <w:bookmarkStart w:id="3" w:name="_3p55v241osoq" w:colFirst="0" w:colLast="0"/>
      <w:bookmarkEnd w:id="3"/>
      <w:r>
        <w:br w:type="page"/>
      </w:r>
    </w:p>
    <w:p w14:paraId="2E78F351" w14:textId="2A4B8E0B" w:rsidR="00470539" w:rsidRDefault="00000000">
      <w:pPr>
        <w:pStyle w:val="Heading1"/>
        <w:rPr>
          <w:highlight w:val="none"/>
        </w:rPr>
      </w:pPr>
      <w:bookmarkStart w:id="4" w:name="_kz6574f2fu4n" w:colFirst="0" w:colLast="0"/>
      <w:bookmarkEnd w:id="4"/>
      <w:r>
        <w:lastRenderedPageBreak/>
        <w:t>Supplementary Figure</w:t>
      </w:r>
      <w:r w:rsidR="002074EF">
        <w:t>s</w:t>
      </w:r>
    </w:p>
    <w:p w14:paraId="49BC1FCB" w14:textId="77777777" w:rsidR="004B6909" w:rsidRDefault="004B6909" w:rsidP="004B6909">
      <w:pPr>
        <w:spacing w:line="240" w:lineRule="auto"/>
        <w:rPr>
          <w:sz w:val="24"/>
          <w:szCs w:val="24"/>
        </w:rPr>
      </w:pPr>
      <w:r>
        <w:rPr>
          <w:b/>
          <w:sz w:val="24"/>
          <w:szCs w:val="24"/>
        </w:rPr>
        <w:t xml:space="preserve">Figure S1. </w:t>
      </w:r>
      <w:r>
        <w:rPr>
          <w:sz w:val="24"/>
          <w:szCs w:val="24"/>
        </w:rPr>
        <w:t>Principal component analysis (PCA) biplots for all five annotation groups showing the separation of the Ascomycota and Basidiomycota phyla on the first two principal components (PCs). The two phyla are differentiated by colour, and the four subphyla are differentiated by shape. The black arrows represent the loadings of the variables included in each PCA; only the top ten variables contributing to PC1 and PC2 are shown.</w:t>
      </w:r>
    </w:p>
    <w:p w14:paraId="30B27841" w14:textId="77777777" w:rsidR="004B6909" w:rsidRPr="004B6909" w:rsidRDefault="004B6909" w:rsidP="004B6909"/>
    <w:p w14:paraId="399EA9D9" w14:textId="038AB5CD" w:rsidR="00470539" w:rsidRDefault="002074EF" w:rsidP="002074EF">
      <w:pPr>
        <w:spacing w:line="360" w:lineRule="auto"/>
        <w:jc w:val="center"/>
        <w:rPr>
          <w:sz w:val="24"/>
          <w:szCs w:val="24"/>
        </w:rPr>
      </w:pPr>
      <w:r>
        <w:rPr>
          <w:noProof/>
          <w:sz w:val="24"/>
          <w:szCs w:val="24"/>
        </w:rPr>
        <w:lastRenderedPageBreak/>
        <w:drawing>
          <wp:inline distT="0" distB="0" distL="0" distR="0" wp14:anchorId="7B6D3A82" wp14:editId="31EB6D11">
            <wp:extent cx="3790710" cy="7581418"/>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802888" cy="7605775"/>
                    </a:xfrm>
                    <a:prstGeom prst="rect">
                      <a:avLst/>
                    </a:prstGeom>
                  </pic:spPr>
                </pic:pic>
              </a:graphicData>
            </a:graphic>
          </wp:inline>
        </w:drawing>
      </w:r>
    </w:p>
    <w:p w14:paraId="410AC96A" w14:textId="273B4E7D" w:rsidR="004B6909" w:rsidRDefault="004B6909">
      <w:pPr>
        <w:rPr>
          <w:sz w:val="24"/>
          <w:szCs w:val="24"/>
        </w:rPr>
      </w:pPr>
      <w:r>
        <w:rPr>
          <w:sz w:val="24"/>
          <w:szCs w:val="24"/>
        </w:rPr>
        <w:br w:type="page"/>
      </w:r>
    </w:p>
    <w:p w14:paraId="6CC873F2" w14:textId="77777777" w:rsidR="004B6909" w:rsidRDefault="004B6909" w:rsidP="004B6909">
      <w:pPr>
        <w:spacing w:line="240" w:lineRule="auto"/>
        <w:rPr>
          <w:sz w:val="24"/>
          <w:szCs w:val="24"/>
        </w:rPr>
      </w:pPr>
      <w:r>
        <w:rPr>
          <w:b/>
          <w:sz w:val="24"/>
          <w:szCs w:val="24"/>
        </w:rPr>
        <w:lastRenderedPageBreak/>
        <w:t xml:space="preserve">Figure S2. </w:t>
      </w:r>
      <w:r>
        <w:rPr>
          <w:sz w:val="24"/>
          <w:szCs w:val="24"/>
        </w:rPr>
        <w:t>Principal component analysis (PCA) biplots for carbohydrate active enzymes (</w:t>
      </w:r>
      <w:proofErr w:type="spellStart"/>
      <w:r>
        <w:rPr>
          <w:sz w:val="24"/>
          <w:szCs w:val="24"/>
        </w:rPr>
        <w:t>CAZymes</w:t>
      </w:r>
      <w:proofErr w:type="spellEnd"/>
      <w:r>
        <w:rPr>
          <w:sz w:val="24"/>
          <w:szCs w:val="24"/>
        </w:rPr>
        <w:t>) and peptidases showing the clustering of obligate biotroph (OB) genomes. The four subphyla are differentiated by colour, and the obligate biotroph genomes are differentiated by shape. A statistical ellipse was drawn at a 95% confidence level around the OB genomes. The black arrows represent the loadings of the variables included in each PCA; only the top ten variables contributing to PC1 and PC4 (</w:t>
      </w:r>
      <w:proofErr w:type="spellStart"/>
      <w:r>
        <w:rPr>
          <w:sz w:val="24"/>
          <w:szCs w:val="24"/>
        </w:rPr>
        <w:t>CAZyme</w:t>
      </w:r>
      <w:proofErr w:type="spellEnd"/>
      <w:r>
        <w:rPr>
          <w:sz w:val="24"/>
          <w:szCs w:val="24"/>
        </w:rPr>
        <w:t xml:space="preserve"> PCA), or PC1 and PC3 (peptidase PCA), are shown.</w:t>
      </w:r>
    </w:p>
    <w:p w14:paraId="293EE448" w14:textId="77777777" w:rsidR="002074EF" w:rsidRDefault="002074EF" w:rsidP="000C4868">
      <w:pPr>
        <w:rPr>
          <w:sz w:val="24"/>
          <w:szCs w:val="24"/>
        </w:rPr>
      </w:pPr>
    </w:p>
    <w:p w14:paraId="16E6B9C9" w14:textId="1D258447" w:rsidR="00470539" w:rsidRPr="000C4868" w:rsidRDefault="002074EF" w:rsidP="000C4868">
      <w:pPr>
        <w:spacing w:line="360" w:lineRule="auto"/>
        <w:jc w:val="center"/>
        <w:rPr>
          <w:sz w:val="24"/>
          <w:szCs w:val="24"/>
        </w:rPr>
      </w:pPr>
      <w:r>
        <w:rPr>
          <w:noProof/>
          <w:sz w:val="24"/>
          <w:szCs w:val="24"/>
        </w:rPr>
        <w:drawing>
          <wp:anchor distT="0" distB="0" distL="114300" distR="114300" simplePos="0" relativeHeight="251659264" behindDoc="0" locked="0" layoutInCell="1" allowOverlap="1" wp14:anchorId="23C30C6C" wp14:editId="7696FC82">
            <wp:simplePos x="0" y="0"/>
            <wp:positionH relativeFrom="column">
              <wp:posOffset>-152400</wp:posOffset>
            </wp:positionH>
            <wp:positionV relativeFrom="paragraph">
              <wp:posOffset>0</wp:posOffset>
            </wp:positionV>
            <wp:extent cx="6210300" cy="6210300"/>
            <wp:effectExtent l="0" t="0" r="0" b="0"/>
            <wp:wrapSquare wrapText="bothSides"/>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0" cy="6210300"/>
                    </a:xfrm>
                    <a:prstGeom prst="rect">
                      <a:avLst/>
                    </a:prstGeom>
                  </pic:spPr>
                </pic:pic>
              </a:graphicData>
            </a:graphic>
            <wp14:sizeRelH relativeFrom="page">
              <wp14:pctWidth>0</wp14:pctWidth>
            </wp14:sizeRelH>
            <wp14:sizeRelV relativeFrom="page">
              <wp14:pctHeight>0</wp14:pctHeight>
            </wp14:sizeRelV>
          </wp:anchor>
        </w:drawing>
      </w:r>
    </w:p>
    <w:p w14:paraId="7F38B0FD" w14:textId="77777777" w:rsidR="004B6909" w:rsidRDefault="004B6909">
      <w:pPr>
        <w:rPr>
          <w:sz w:val="24"/>
          <w:szCs w:val="24"/>
        </w:rPr>
      </w:pPr>
      <w:r>
        <w:rPr>
          <w:sz w:val="24"/>
          <w:szCs w:val="24"/>
        </w:rPr>
        <w:br w:type="page"/>
      </w:r>
    </w:p>
    <w:p w14:paraId="19B8711C" w14:textId="77777777" w:rsidR="004B6909" w:rsidRDefault="004B6909" w:rsidP="004B6909">
      <w:pPr>
        <w:spacing w:line="240" w:lineRule="auto"/>
        <w:rPr>
          <w:sz w:val="24"/>
          <w:szCs w:val="24"/>
        </w:rPr>
      </w:pPr>
      <w:r>
        <w:rPr>
          <w:b/>
          <w:sz w:val="24"/>
          <w:szCs w:val="24"/>
        </w:rPr>
        <w:lastRenderedPageBreak/>
        <w:t>Figure S3.</w:t>
      </w:r>
      <w:r>
        <w:rPr>
          <w:sz w:val="24"/>
          <w:szCs w:val="24"/>
        </w:rPr>
        <w:t xml:space="preserve"> Clustered heatmap of the </w:t>
      </w:r>
      <w:proofErr w:type="spellStart"/>
      <w:r>
        <w:rPr>
          <w:sz w:val="24"/>
          <w:szCs w:val="24"/>
        </w:rPr>
        <w:t>CAZyme</w:t>
      </w:r>
      <w:proofErr w:type="spellEnd"/>
      <w:r>
        <w:rPr>
          <w:sz w:val="24"/>
          <w:szCs w:val="24"/>
        </w:rPr>
        <w:t xml:space="preserve"> enzyme classes associated with </w:t>
      </w:r>
      <w:proofErr w:type="spellStart"/>
      <w:r>
        <w:rPr>
          <w:sz w:val="24"/>
          <w:szCs w:val="24"/>
        </w:rPr>
        <w:t>DendroNet’s</w:t>
      </w:r>
      <w:proofErr w:type="spellEnd"/>
      <w:r>
        <w:rPr>
          <w:sz w:val="24"/>
          <w:szCs w:val="24"/>
        </w:rPr>
        <w:t xml:space="preserve"> predictions of phytopathogenic lifestyles and traits. Also included is the ‘</w:t>
      </w:r>
      <w:proofErr w:type="spellStart"/>
      <w:r>
        <w:rPr>
          <w:sz w:val="24"/>
          <w:szCs w:val="24"/>
        </w:rPr>
        <w:t>Total_CAZys</w:t>
      </w:r>
      <w:proofErr w:type="spellEnd"/>
      <w:r>
        <w:rPr>
          <w:sz w:val="24"/>
          <w:szCs w:val="24"/>
        </w:rPr>
        <w:t xml:space="preserve">’ feature, which is the total number of </w:t>
      </w:r>
      <w:proofErr w:type="spellStart"/>
      <w:r>
        <w:rPr>
          <w:sz w:val="24"/>
          <w:szCs w:val="24"/>
        </w:rPr>
        <w:t>CAZyme</w:t>
      </w:r>
      <w:proofErr w:type="spellEnd"/>
      <w:r>
        <w:rPr>
          <w:sz w:val="24"/>
          <w:szCs w:val="24"/>
        </w:rPr>
        <w:t xml:space="preserve"> genes annotated in each genome regardless of enzyme class. The values in the heatmap are the correlation directions for each </w:t>
      </w:r>
      <w:proofErr w:type="spellStart"/>
      <w:r>
        <w:rPr>
          <w:sz w:val="24"/>
          <w:szCs w:val="24"/>
        </w:rPr>
        <w:t>CAZyme</w:t>
      </w:r>
      <w:proofErr w:type="spellEnd"/>
      <w:r>
        <w:rPr>
          <w:sz w:val="24"/>
          <w:szCs w:val="24"/>
        </w:rPr>
        <w:t xml:space="preserve"> class input into DendroNet as a machine learning feature, which indicate whether an increase (positive correlation, red) or decrease (negative correlation, blue) in the number of genes in a </w:t>
      </w:r>
      <w:proofErr w:type="spellStart"/>
      <w:r>
        <w:rPr>
          <w:sz w:val="24"/>
          <w:szCs w:val="24"/>
        </w:rPr>
        <w:t>CAZyme</w:t>
      </w:r>
      <w:proofErr w:type="spellEnd"/>
      <w:r>
        <w:rPr>
          <w:sz w:val="24"/>
          <w:szCs w:val="24"/>
        </w:rPr>
        <w:t xml:space="preserve"> class was associated with a lifestyle or trait. Abbreviations: S, saprotrophs; ECM, ectomycorrhizal; ENM: endomycorrhizal; P, pathogens; PP, plant pathogens; N, necrotrophs; HB, hemibiotrophs; B, biotrophs; OB, obligate biotrophs; AP, angiosperm pathogens; GP, gymnosperm pathogens; FP, foliar pathogens; SP, stem pathogens; RP, root pathogens.</w:t>
      </w:r>
    </w:p>
    <w:p w14:paraId="62C650DF" w14:textId="61150A4A" w:rsidR="000C4868" w:rsidRDefault="000C4868">
      <w:pPr>
        <w:rPr>
          <w:sz w:val="24"/>
          <w:szCs w:val="24"/>
        </w:rPr>
      </w:pPr>
      <w:r>
        <w:rPr>
          <w:sz w:val="24"/>
          <w:szCs w:val="24"/>
        </w:rPr>
        <w:br w:type="page"/>
      </w:r>
    </w:p>
    <w:p w14:paraId="2C7F915B" w14:textId="2B6242FC" w:rsidR="00470539" w:rsidRDefault="000C4868">
      <w:pPr>
        <w:spacing w:line="360" w:lineRule="auto"/>
        <w:rPr>
          <w:sz w:val="24"/>
          <w:szCs w:val="24"/>
        </w:rPr>
      </w:pPr>
      <w:r>
        <w:rPr>
          <w:noProof/>
          <w:sz w:val="24"/>
          <w:szCs w:val="24"/>
        </w:rPr>
        <w:lastRenderedPageBreak/>
        <w:drawing>
          <wp:anchor distT="0" distB="0" distL="114300" distR="114300" simplePos="0" relativeHeight="251658240" behindDoc="0" locked="0" layoutInCell="1" allowOverlap="1" wp14:anchorId="73B08FBE" wp14:editId="58047D48">
            <wp:simplePos x="0" y="0"/>
            <wp:positionH relativeFrom="column">
              <wp:posOffset>-618490</wp:posOffset>
            </wp:positionH>
            <wp:positionV relativeFrom="paragraph">
              <wp:posOffset>0</wp:posOffset>
            </wp:positionV>
            <wp:extent cx="7287895" cy="7848600"/>
            <wp:effectExtent l="0" t="0" r="1905" b="0"/>
            <wp:wrapSquare wrapText="bothSides"/>
            <wp:docPr id="3" name="Picture 3"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Chart, box and whisker char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87895" cy="7848600"/>
                    </a:xfrm>
                    <a:prstGeom prst="rect">
                      <a:avLst/>
                    </a:prstGeom>
                  </pic:spPr>
                </pic:pic>
              </a:graphicData>
            </a:graphic>
            <wp14:sizeRelH relativeFrom="page">
              <wp14:pctWidth>0</wp14:pctWidth>
            </wp14:sizeRelH>
            <wp14:sizeRelV relativeFrom="page">
              <wp14:pctHeight>0</wp14:pctHeight>
            </wp14:sizeRelV>
          </wp:anchor>
        </w:drawing>
      </w:r>
    </w:p>
    <w:p w14:paraId="1A929AAA" w14:textId="77777777" w:rsidR="004B6909" w:rsidRDefault="004B6909" w:rsidP="004B6909">
      <w:pPr>
        <w:spacing w:line="240" w:lineRule="auto"/>
        <w:rPr>
          <w:sz w:val="24"/>
          <w:szCs w:val="24"/>
        </w:rPr>
      </w:pPr>
      <w:r>
        <w:rPr>
          <w:b/>
          <w:sz w:val="24"/>
          <w:szCs w:val="24"/>
        </w:rPr>
        <w:lastRenderedPageBreak/>
        <w:t xml:space="preserve">Figure S4. </w:t>
      </w:r>
      <w:r>
        <w:rPr>
          <w:sz w:val="24"/>
          <w:szCs w:val="24"/>
        </w:rPr>
        <w:t xml:space="preserve"> Clustered heatmap of the peptidase (MEROPS) clans and families associated with </w:t>
      </w:r>
      <w:proofErr w:type="spellStart"/>
      <w:r>
        <w:rPr>
          <w:sz w:val="24"/>
          <w:szCs w:val="24"/>
        </w:rPr>
        <w:t>DendroNet’s</w:t>
      </w:r>
      <w:proofErr w:type="spellEnd"/>
      <w:r>
        <w:rPr>
          <w:sz w:val="24"/>
          <w:szCs w:val="24"/>
        </w:rPr>
        <w:t xml:space="preserve"> predictions of phytopathogenic lifestyles and traits. Also included is the ‘</w:t>
      </w:r>
      <w:proofErr w:type="spellStart"/>
      <w:r>
        <w:rPr>
          <w:sz w:val="24"/>
          <w:szCs w:val="24"/>
        </w:rPr>
        <w:t>Total_MEROPS</w:t>
      </w:r>
      <w:proofErr w:type="spellEnd"/>
      <w:r>
        <w:rPr>
          <w:sz w:val="24"/>
          <w:szCs w:val="24"/>
        </w:rPr>
        <w:t>’ feature, which is the total number of peptidase genes annotated in each genome regardless of clan or family. The values in the heatmap are the correlation directions for each MEROPS clan/family input into DendroNet as a machine learning feature, which indicate whether an increase (positive correlation, red) or decrease (negative correlation, blue) in the number of genes in a group was associated with a lifestyle or trait. Abbreviations: S, saprotrophs; ECM, ectomycorrhizal; ENM: endomycorrhizal; P, pathogens; PP, plant pathogens; N, necrotrophs; HB, hemibiotrophs; B, biotrophs; OB, obligate biotrophs; AP, angiosperm pathogens; GP, gymnosperm pathogens; FP, foliar pathogens; SP, stem pathogens; RP, root pathogens.</w:t>
      </w:r>
    </w:p>
    <w:p w14:paraId="1BEC42F7" w14:textId="7E80498D" w:rsidR="000C4868" w:rsidRDefault="000C4868">
      <w:pPr>
        <w:rPr>
          <w:sz w:val="24"/>
          <w:szCs w:val="24"/>
        </w:rPr>
      </w:pPr>
    </w:p>
    <w:p w14:paraId="75A1C340" w14:textId="2711F5CB" w:rsidR="000C4868" w:rsidRDefault="000C4868" w:rsidP="002074EF">
      <w:pPr>
        <w:spacing w:line="240" w:lineRule="auto"/>
        <w:rPr>
          <w:sz w:val="24"/>
          <w:szCs w:val="24"/>
        </w:rPr>
      </w:pPr>
      <w:r>
        <w:rPr>
          <w:noProof/>
          <w:sz w:val="24"/>
          <w:szCs w:val="24"/>
        </w:rPr>
        <w:lastRenderedPageBreak/>
        <w:drawing>
          <wp:anchor distT="0" distB="0" distL="114300" distR="114300" simplePos="0" relativeHeight="251660288" behindDoc="0" locked="0" layoutInCell="1" allowOverlap="1" wp14:anchorId="770F45C2" wp14:editId="7ACF4241">
            <wp:simplePos x="0" y="0"/>
            <wp:positionH relativeFrom="column">
              <wp:posOffset>-457411</wp:posOffset>
            </wp:positionH>
            <wp:positionV relativeFrom="paragraph">
              <wp:posOffset>0</wp:posOffset>
            </wp:positionV>
            <wp:extent cx="7022465" cy="7628255"/>
            <wp:effectExtent l="0" t="0" r="635" b="4445"/>
            <wp:wrapSquare wrapText="bothSides"/>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022465" cy="7628255"/>
                    </a:xfrm>
                    <a:prstGeom prst="rect">
                      <a:avLst/>
                    </a:prstGeom>
                  </pic:spPr>
                </pic:pic>
              </a:graphicData>
            </a:graphic>
            <wp14:sizeRelH relativeFrom="page">
              <wp14:pctWidth>0</wp14:pctWidth>
            </wp14:sizeRelH>
            <wp14:sizeRelV relativeFrom="page">
              <wp14:pctHeight>0</wp14:pctHeight>
            </wp14:sizeRelV>
          </wp:anchor>
        </w:drawing>
      </w:r>
    </w:p>
    <w:p w14:paraId="2C05356A" w14:textId="77777777" w:rsidR="00470539" w:rsidRDefault="00470539" w:rsidP="002074EF">
      <w:pPr>
        <w:spacing w:line="240" w:lineRule="auto"/>
        <w:rPr>
          <w:sz w:val="24"/>
          <w:szCs w:val="24"/>
        </w:rPr>
      </w:pPr>
    </w:p>
    <w:p w14:paraId="0846A078" w14:textId="10AE9C26" w:rsidR="000C4868" w:rsidRDefault="000C4868">
      <w:pPr>
        <w:rPr>
          <w:b/>
          <w:sz w:val="24"/>
          <w:szCs w:val="24"/>
        </w:rPr>
      </w:pPr>
      <w:r>
        <w:rPr>
          <w:b/>
          <w:sz w:val="24"/>
          <w:szCs w:val="24"/>
        </w:rPr>
        <w:br w:type="page"/>
      </w:r>
    </w:p>
    <w:p w14:paraId="2900CFA8" w14:textId="77777777" w:rsidR="00470539" w:rsidRDefault="00470539" w:rsidP="002074EF">
      <w:pPr>
        <w:spacing w:line="240" w:lineRule="auto"/>
        <w:rPr>
          <w:sz w:val="24"/>
          <w:szCs w:val="24"/>
        </w:rPr>
      </w:pPr>
    </w:p>
    <w:p w14:paraId="2301805D" w14:textId="77777777" w:rsidR="004B6909" w:rsidRDefault="004B6909" w:rsidP="004B6909">
      <w:pPr>
        <w:spacing w:line="240" w:lineRule="auto"/>
        <w:rPr>
          <w:sz w:val="24"/>
          <w:szCs w:val="24"/>
        </w:rPr>
      </w:pPr>
      <w:r>
        <w:rPr>
          <w:b/>
          <w:sz w:val="24"/>
          <w:szCs w:val="24"/>
        </w:rPr>
        <w:t xml:space="preserve">Figure S5. </w:t>
      </w:r>
      <w:r>
        <w:rPr>
          <w:sz w:val="24"/>
          <w:szCs w:val="24"/>
        </w:rPr>
        <w:t xml:space="preserve">Clustered heatmap of the secondary metabolite cluster (SMC) classes associated with </w:t>
      </w:r>
      <w:proofErr w:type="spellStart"/>
      <w:r>
        <w:rPr>
          <w:sz w:val="24"/>
          <w:szCs w:val="24"/>
        </w:rPr>
        <w:t>DendroNet’s</w:t>
      </w:r>
      <w:proofErr w:type="spellEnd"/>
      <w:r>
        <w:rPr>
          <w:sz w:val="24"/>
          <w:szCs w:val="24"/>
        </w:rPr>
        <w:t xml:space="preserve"> predictions of phytopathogenic lifestyles and traits. Also included is the ‘</w:t>
      </w:r>
      <w:proofErr w:type="spellStart"/>
      <w:r>
        <w:rPr>
          <w:sz w:val="24"/>
          <w:szCs w:val="24"/>
        </w:rPr>
        <w:t>Total_SMCs</w:t>
      </w:r>
      <w:proofErr w:type="spellEnd"/>
      <w:r>
        <w:rPr>
          <w:sz w:val="24"/>
          <w:szCs w:val="24"/>
        </w:rPr>
        <w:t>’ feature, which is the total number of SMC genes annotated in each genome regardless of class. The values in the heatmap are the correlation directions for each SMC class input into DendroNet as a machine learning feature, which indicate whether an increase (positive correlation, red) or decrease (negative correlation, blue) in the number of genes in a class was associated with a lifestyle or trait. Abbreviations: S, saprotrophs; ECM, ectomycorrhizal; ENM: endomycorrhizal; P, pathogens; PP, plant pathogens; N, necrotrophs; HB, hemibiotrophs; B, biotrophs; OB, obligate biotrophs; AP, angiosperm pathogens; GP, gymnosperm pathogens; FP, foliar pathogens; SP, stem pathogens; RP, root pathogens.</w:t>
      </w:r>
    </w:p>
    <w:p w14:paraId="38C1136C" w14:textId="77777777" w:rsidR="000C4868" w:rsidRDefault="000C4868">
      <w:pPr>
        <w:rPr>
          <w:b/>
          <w:sz w:val="24"/>
          <w:szCs w:val="24"/>
        </w:rPr>
      </w:pPr>
      <w:r>
        <w:rPr>
          <w:b/>
          <w:sz w:val="24"/>
          <w:szCs w:val="24"/>
        </w:rPr>
        <w:br w:type="page"/>
      </w:r>
    </w:p>
    <w:p w14:paraId="10CF76EE" w14:textId="46F76EDD" w:rsidR="004B6909" w:rsidRDefault="004B6909" w:rsidP="002074EF">
      <w:pPr>
        <w:spacing w:line="240" w:lineRule="auto"/>
        <w:rPr>
          <w:b/>
          <w:sz w:val="24"/>
          <w:szCs w:val="24"/>
        </w:rPr>
      </w:pPr>
      <w:r>
        <w:rPr>
          <w:b/>
          <w:noProof/>
          <w:sz w:val="24"/>
          <w:szCs w:val="24"/>
        </w:rPr>
        <w:lastRenderedPageBreak/>
        <w:drawing>
          <wp:anchor distT="0" distB="0" distL="114300" distR="114300" simplePos="0" relativeHeight="251661312" behindDoc="0" locked="0" layoutInCell="1" allowOverlap="1" wp14:anchorId="1D64DFBE" wp14:editId="37BA2C53">
            <wp:simplePos x="0" y="0"/>
            <wp:positionH relativeFrom="column">
              <wp:posOffset>-437515</wp:posOffset>
            </wp:positionH>
            <wp:positionV relativeFrom="paragraph">
              <wp:posOffset>579</wp:posOffset>
            </wp:positionV>
            <wp:extent cx="7023100" cy="7513955"/>
            <wp:effectExtent l="0" t="0" r="0" b="4445"/>
            <wp:wrapSquare wrapText="bothSides"/>
            <wp:docPr id="5" name="Picture 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023100" cy="7513955"/>
                    </a:xfrm>
                    <a:prstGeom prst="rect">
                      <a:avLst/>
                    </a:prstGeom>
                  </pic:spPr>
                </pic:pic>
              </a:graphicData>
            </a:graphic>
            <wp14:sizeRelH relativeFrom="page">
              <wp14:pctWidth>0</wp14:pctWidth>
            </wp14:sizeRelH>
            <wp14:sizeRelV relativeFrom="page">
              <wp14:pctHeight>0</wp14:pctHeight>
            </wp14:sizeRelV>
          </wp:anchor>
        </w:drawing>
      </w:r>
    </w:p>
    <w:p w14:paraId="5FB9D198" w14:textId="77777777" w:rsidR="004B6909" w:rsidRDefault="004B6909">
      <w:pPr>
        <w:rPr>
          <w:b/>
          <w:sz w:val="24"/>
          <w:szCs w:val="24"/>
        </w:rPr>
      </w:pPr>
      <w:r>
        <w:rPr>
          <w:b/>
          <w:sz w:val="24"/>
          <w:szCs w:val="24"/>
        </w:rPr>
        <w:br w:type="page"/>
      </w:r>
    </w:p>
    <w:p w14:paraId="0518942A" w14:textId="77777777" w:rsidR="004B6909" w:rsidRDefault="004B6909" w:rsidP="004B6909">
      <w:pPr>
        <w:spacing w:line="240" w:lineRule="auto"/>
        <w:rPr>
          <w:sz w:val="24"/>
          <w:szCs w:val="24"/>
        </w:rPr>
      </w:pPr>
      <w:r>
        <w:rPr>
          <w:b/>
          <w:sz w:val="24"/>
          <w:szCs w:val="24"/>
        </w:rPr>
        <w:lastRenderedPageBreak/>
        <w:t xml:space="preserve">Figure S6. </w:t>
      </w:r>
      <w:r>
        <w:rPr>
          <w:sz w:val="24"/>
          <w:szCs w:val="24"/>
        </w:rPr>
        <w:t xml:space="preserve">Clustered heatmap of the transporter superfamilies and families associated with </w:t>
      </w:r>
      <w:proofErr w:type="spellStart"/>
      <w:r>
        <w:rPr>
          <w:sz w:val="24"/>
          <w:szCs w:val="24"/>
        </w:rPr>
        <w:t>DendroNet’s</w:t>
      </w:r>
      <w:proofErr w:type="spellEnd"/>
      <w:r>
        <w:rPr>
          <w:sz w:val="24"/>
          <w:szCs w:val="24"/>
        </w:rPr>
        <w:t xml:space="preserve"> predictions of phytopathogenic lifestyles and traits. Also included is the ‘</w:t>
      </w:r>
      <w:proofErr w:type="spellStart"/>
      <w:r>
        <w:rPr>
          <w:sz w:val="24"/>
          <w:szCs w:val="24"/>
        </w:rPr>
        <w:t>Total_Transporters</w:t>
      </w:r>
      <w:proofErr w:type="spellEnd"/>
      <w:r>
        <w:rPr>
          <w:sz w:val="24"/>
          <w:szCs w:val="24"/>
        </w:rPr>
        <w:t>’ feature, which is the total number of SMC genes annotated in each genome regardless of family. The values in the heatmap are the correlation directions for each transporter family input into DendroNet as a machine learning feature, which indicate whether an increase (positive correlation, red) or decrease (negative correlation, blue) in the number of genes in a family was associated with a lifestyle or trait. Abbreviations: S, saprotrophs; ECM, ectomycorrhizal; ENM: endomycorrhizal; P, pathogens; PP, plant pathogens; N, necrotrophs; HB, hemibiotrophs; B, biotrophs; OB, obligate biotrophs; AP, angiosperm pathogens; GP, gymnosperm pathogens; FP, foliar pathogens; SP, stem pathogens; RP, root pathogens.</w:t>
      </w:r>
    </w:p>
    <w:p w14:paraId="552A7648" w14:textId="77777777" w:rsidR="00470539" w:rsidRDefault="00470539" w:rsidP="002074EF">
      <w:pPr>
        <w:spacing w:line="240" w:lineRule="auto"/>
        <w:rPr>
          <w:sz w:val="24"/>
          <w:szCs w:val="24"/>
        </w:rPr>
      </w:pPr>
    </w:p>
    <w:p w14:paraId="3A1507A3" w14:textId="77777777" w:rsidR="004B6909" w:rsidRDefault="004B6909">
      <w:pPr>
        <w:rPr>
          <w:b/>
          <w:sz w:val="24"/>
          <w:szCs w:val="24"/>
        </w:rPr>
      </w:pPr>
      <w:r>
        <w:rPr>
          <w:b/>
          <w:sz w:val="24"/>
          <w:szCs w:val="24"/>
        </w:rPr>
        <w:br w:type="page"/>
      </w:r>
    </w:p>
    <w:p w14:paraId="5AD9A8DC" w14:textId="220EBF5C" w:rsidR="004B6909" w:rsidRDefault="004B6909" w:rsidP="002074EF">
      <w:pPr>
        <w:spacing w:line="240" w:lineRule="auto"/>
        <w:rPr>
          <w:b/>
          <w:sz w:val="24"/>
          <w:szCs w:val="24"/>
        </w:rPr>
      </w:pPr>
      <w:r>
        <w:rPr>
          <w:b/>
          <w:noProof/>
          <w:sz w:val="24"/>
          <w:szCs w:val="24"/>
        </w:rPr>
        <w:lastRenderedPageBreak/>
        <w:drawing>
          <wp:anchor distT="0" distB="0" distL="114300" distR="114300" simplePos="0" relativeHeight="251662336" behindDoc="0" locked="0" layoutInCell="1" allowOverlap="1" wp14:anchorId="2ACFF9D3" wp14:editId="50A4543F">
            <wp:simplePos x="0" y="0"/>
            <wp:positionH relativeFrom="column">
              <wp:posOffset>-742315</wp:posOffset>
            </wp:positionH>
            <wp:positionV relativeFrom="paragraph">
              <wp:posOffset>0</wp:posOffset>
            </wp:positionV>
            <wp:extent cx="7381240" cy="7844790"/>
            <wp:effectExtent l="0" t="0" r="0" b="3810"/>
            <wp:wrapSquare wrapText="bothSides"/>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381240" cy="7844790"/>
                    </a:xfrm>
                    <a:prstGeom prst="rect">
                      <a:avLst/>
                    </a:prstGeom>
                  </pic:spPr>
                </pic:pic>
              </a:graphicData>
            </a:graphic>
            <wp14:sizeRelH relativeFrom="page">
              <wp14:pctWidth>0</wp14:pctWidth>
            </wp14:sizeRelH>
            <wp14:sizeRelV relativeFrom="page">
              <wp14:pctHeight>0</wp14:pctHeight>
            </wp14:sizeRelV>
          </wp:anchor>
        </w:drawing>
      </w:r>
    </w:p>
    <w:p w14:paraId="16C59E08" w14:textId="77777777" w:rsidR="004B6909" w:rsidRDefault="004B6909">
      <w:pPr>
        <w:rPr>
          <w:b/>
          <w:sz w:val="24"/>
          <w:szCs w:val="24"/>
        </w:rPr>
      </w:pPr>
      <w:r>
        <w:rPr>
          <w:b/>
          <w:sz w:val="24"/>
          <w:szCs w:val="24"/>
        </w:rPr>
        <w:br w:type="page"/>
      </w:r>
    </w:p>
    <w:p w14:paraId="53118674" w14:textId="77777777" w:rsidR="004B6909" w:rsidRDefault="004B6909" w:rsidP="004B6909">
      <w:pPr>
        <w:spacing w:line="240" w:lineRule="auto"/>
        <w:rPr>
          <w:sz w:val="24"/>
          <w:szCs w:val="24"/>
        </w:rPr>
      </w:pPr>
      <w:r>
        <w:rPr>
          <w:b/>
          <w:sz w:val="24"/>
          <w:szCs w:val="24"/>
        </w:rPr>
        <w:lastRenderedPageBreak/>
        <w:t xml:space="preserve">Figure S7. </w:t>
      </w:r>
      <w:r>
        <w:rPr>
          <w:sz w:val="24"/>
          <w:szCs w:val="24"/>
        </w:rPr>
        <w:t xml:space="preserve">Clustered heatmap of the transcription factor (TF) families associated with </w:t>
      </w:r>
      <w:proofErr w:type="spellStart"/>
      <w:r>
        <w:rPr>
          <w:sz w:val="24"/>
          <w:szCs w:val="24"/>
        </w:rPr>
        <w:t>DendroNet’s</w:t>
      </w:r>
      <w:proofErr w:type="spellEnd"/>
      <w:r>
        <w:rPr>
          <w:sz w:val="24"/>
          <w:szCs w:val="24"/>
        </w:rPr>
        <w:t xml:space="preserve"> predictions of phytopathogenic lifestyles and traits. Also included is the ‘</w:t>
      </w:r>
      <w:proofErr w:type="spellStart"/>
      <w:r>
        <w:rPr>
          <w:sz w:val="24"/>
          <w:szCs w:val="24"/>
        </w:rPr>
        <w:t>Total_TransFactors</w:t>
      </w:r>
      <w:proofErr w:type="spellEnd"/>
      <w:r>
        <w:rPr>
          <w:sz w:val="24"/>
          <w:szCs w:val="24"/>
        </w:rPr>
        <w:t>’ feature, which is the total number of TF genes annotated in each genome regardless of family. The values in the heatmap are the correlation directions for each TF family input into DendroNet as a machine learning feature, which indicate whether an increase (positive correlation, red) or decrease (negative correlation, blue) in the number of genes in a family was associated with a lifestyle or trait. Abbreviations: S, saprotrophs; ECM, ectomycorrhizal; ENM: endomycorrhizal; P, pathogens; PP, plant pathogens; N, necrotrophs; HB, hemibiotrophs; B, biotrophs; OB, obligate biotrophs; AP, angiosperm pathogens; GP, gymnosperm pathogens; FP, foliar pathogens; SP, stem pathogens; RP, root pathogens.</w:t>
      </w:r>
    </w:p>
    <w:p w14:paraId="38ABEB93" w14:textId="77777777" w:rsidR="00470539" w:rsidRDefault="00470539" w:rsidP="002074EF">
      <w:pPr>
        <w:spacing w:line="240" w:lineRule="auto"/>
        <w:rPr>
          <w:sz w:val="24"/>
          <w:szCs w:val="24"/>
        </w:rPr>
      </w:pPr>
    </w:p>
    <w:p w14:paraId="0F0595BB" w14:textId="77777777" w:rsidR="004B6909" w:rsidRDefault="004B6909">
      <w:pPr>
        <w:rPr>
          <w:b/>
          <w:sz w:val="24"/>
          <w:szCs w:val="24"/>
        </w:rPr>
      </w:pPr>
      <w:r>
        <w:rPr>
          <w:b/>
          <w:sz w:val="24"/>
          <w:szCs w:val="24"/>
        </w:rPr>
        <w:br w:type="page"/>
      </w:r>
    </w:p>
    <w:p w14:paraId="2C3F2E0C" w14:textId="2C3D04F7" w:rsidR="004B6909" w:rsidRDefault="004B6909" w:rsidP="002074EF">
      <w:pPr>
        <w:spacing w:line="240" w:lineRule="auto"/>
        <w:rPr>
          <w:b/>
          <w:sz w:val="24"/>
          <w:szCs w:val="24"/>
        </w:rPr>
      </w:pPr>
      <w:r>
        <w:rPr>
          <w:b/>
          <w:noProof/>
          <w:sz w:val="24"/>
          <w:szCs w:val="24"/>
        </w:rPr>
        <w:lastRenderedPageBreak/>
        <w:drawing>
          <wp:anchor distT="0" distB="0" distL="114300" distR="114300" simplePos="0" relativeHeight="251663360" behindDoc="0" locked="0" layoutInCell="1" allowOverlap="1" wp14:anchorId="3BF44CB3" wp14:editId="6438A03B">
            <wp:simplePos x="0" y="0"/>
            <wp:positionH relativeFrom="column">
              <wp:posOffset>-609600</wp:posOffset>
            </wp:positionH>
            <wp:positionV relativeFrom="paragraph">
              <wp:posOffset>0</wp:posOffset>
            </wp:positionV>
            <wp:extent cx="7367905" cy="7818755"/>
            <wp:effectExtent l="0" t="0" r="0" b="4445"/>
            <wp:wrapSquare wrapText="bothSides"/>
            <wp:docPr id="7" name="Picture 7"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bar 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367905" cy="7818755"/>
                    </a:xfrm>
                    <a:prstGeom prst="rect">
                      <a:avLst/>
                    </a:prstGeom>
                  </pic:spPr>
                </pic:pic>
              </a:graphicData>
            </a:graphic>
            <wp14:sizeRelH relativeFrom="page">
              <wp14:pctWidth>0</wp14:pctWidth>
            </wp14:sizeRelH>
            <wp14:sizeRelV relativeFrom="page">
              <wp14:pctHeight>0</wp14:pctHeight>
            </wp14:sizeRelV>
          </wp:anchor>
        </w:drawing>
      </w:r>
    </w:p>
    <w:p w14:paraId="6BBA941E" w14:textId="77777777" w:rsidR="004B6909" w:rsidRDefault="004B6909">
      <w:pPr>
        <w:rPr>
          <w:b/>
          <w:sz w:val="24"/>
          <w:szCs w:val="24"/>
        </w:rPr>
      </w:pPr>
      <w:r>
        <w:rPr>
          <w:b/>
          <w:sz w:val="24"/>
          <w:szCs w:val="24"/>
        </w:rPr>
        <w:br w:type="page"/>
      </w:r>
    </w:p>
    <w:p w14:paraId="0AFB7351" w14:textId="20DCB576" w:rsidR="00470539" w:rsidRDefault="004B6909">
      <w:pPr>
        <w:pStyle w:val="Heading1"/>
      </w:pPr>
      <w:bookmarkStart w:id="5" w:name="_kvemf9aazzbg" w:colFirst="0" w:colLast="0"/>
      <w:bookmarkEnd w:id="5"/>
      <w:r>
        <w:lastRenderedPageBreak/>
        <w:t>Supplementary Data Descriptions</w:t>
      </w:r>
    </w:p>
    <w:p w14:paraId="6B839475" w14:textId="77777777" w:rsidR="00470539" w:rsidRDefault="00000000" w:rsidP="002074EF">
      <w:pPr>
        <w:spacing w:line="240" w:lineRule="auto"/>
        <w:rPr>
          <w:sz w:val="24"/>
          <w:szCs w:val="24"/>
        </w:rPr>
      </w:pPr>
      <w:r>
        <w:rPr>
          <w:b/>
          <w:sz w:val="24"/>
          <w:szCs w:val="24"/>
        </w:rPr>
        <w:t xml:space="preserve">Supplementary Data S1. </w:t>
      </w:r>
      <w:r>
        <w:rPr>
          <w:sz w:val="24"/>
          <w:szCs w:val="24"/>
        </w:rPr>
        <w:t xml:space="preserve">Reduced version of </w:t>
      </w:r>
      <w:proofErr w:type="spellStart"/>
      <w:r>
        <w:rPr>
          <w:sz w:val="24"/>
          <w:szCs w:val="24"/>
        </w:rPr>
        <w:t>FunLifeDB</w:t>
      </w:r>
      <w:proofErr w:type="spellEnd"/>
      <w:r>
        <w:rPr>
          <w:sz w:val="24"/>
          <w:szCs w:val="24"/>
        </w:rPr>
        <w:t xml:space="preserve"> with the 387 genomes (355 species) used for analyses in this study. </w:t>
      </w:r>
    </w:p>
    <w:p w14:paraId="31E348E3" w14:textId="77777777" w:rsidR="00470539" w:rsidRDefault="00470539" w:rsidP="002074EF">
      <w:pPr>
        <w:spacing w:line="240" w:lineRule="auto"/>
        <w:rPr>
          <w:sz w:val="24"/>
          <w:szCs w:val="24"/>
        </w:rPr>
      </w:pPr>
    </w:p>
    <w:p w14:paraId="776FF405" w14:textId="77777777" w:rsidR="00470539" w:rsidRDefault="00000000" w:rsidP="002074EF">
      <w:pPr>
        <w:spacing w:line="240" w:lineRule="auto"/>
        <w:rPr>
          <w:sz w:val="24"/>
          <w:szCs w:val="24"/>
        </w:rPr>
      </w:pPr>
      <w:r>
        <w:rPr>
          <w:b/>
          <w:sz w:val="24"/>
          <w:szCs w:val="24"/>
        </w:rPr>
        <w:t xml:space="preserve">Supplementary Data S2. </w:t>
      </w:r>
      <w:r>
        <w:rPr>
          <w:sz w:val="24"/>
          <w:szCs w:val="24"/>
        </w:rPr>
        <w:t xml:space="preserve">Baseline AUC scores from DendroNet parsimony models (phylogenetic placement only, no genome annotation data) for all lifestyles and phytopathogenic traits tested. </w:t>
      </w:r>
    </w:p>
    <w:p w14:paraId="1CF14F91" w14:textId="77777777" w:rsidR="00470539" w:rsidRDefault="00470539" w:rsidP="002074EF">
      <w:pPr>
        <w:spacing w:line="240" w:lineRule="auto"/>
        <w:rPr>
          <w:sz w:val="24"/>
          <w:szCs w:val="24"/>
        </w:rPr>
      </w:pPr>
    </w:p>
    <w:p w14:paraId="708628F1" w14:textId="77777777" w:rsidR="00470539" w:rsidRDefault="00000000" w:rsidP="002074EF">
      <w:pPr>
        <w:spacing w:line="240" w:lineRule="auto"/>
        <w:rPr>
          <w:sz w:val="24"/>
          <w:szCs w:val="24"/>
        </w:rPr>
      </w:pPr>
      <w:r>
        <w:rPr>
          <w:b/>
          <w:sz w:val="24"/>
          <w:szCs w:val="24"/>
        </w:rPr>
        <w:t xml:space="preserve">Supplementary Data S3. </w:t>
      </w:r>
      <w:r>
        <w:rPr>
          <w:sz w:val="24"/>
          <w:szCs w:val="24"/>
        </w:rPr>
        <w:t xml:space="preserve">AUC scores from DendroNet </w:t>
      </w:r>
      <w:proofErr w:type="spellStart"/>
      <w:r>
        <w:rPr>
          <w:sz w:val="24"/>
          <w:szCs w:val="24"/>
        </w:rPr>
        <w:t>feature+parsimony</w:t>
      </w:r>
      <w:proofErr w:type="spellEnd"/>
      <w:r>
        <w:rPr>
          <w:sz w:val="24"/>
          <w:szCs w:val="24"/>
        </w:rPr>
        <w:t xml:space="preserve"> models (includes phylogenetic placement and genome annotation data) from all 31 feature sets and for the lifestyles tested. The mean and standard deviation of the AUCs from each feature set were calculated, and the results are listed from highest mean to lowest mean AUC.</w:t>
      </w:r>
    </w:p>
    <w:p w14:paraId="65DD9963" w14:textId="77777777" w:rsidR="00470539" w:rsidRDefault="00470539" w:rsidP="002074EF">
      <w:pPr>
        <w:spacing w:line="240" w:lineRule="auto"/>
        <w:rPr>
          <w:sz w:val="24"/>
          <w:szCs w:val="24"/>
        </w:rPr>
      </w:pPr>
    </w:p>
    <w:p w14:paraId="01526447" w14:textId="77777777" w:rsidR="00470539" w:rsidRDefault="00000000" w:rsidP="002074EF">
      <w:pPr>
        <w:spacing w:line="240" w:lineRule="auto"/>
        <w:rPr>
          <w:sz w:val="24"/>
          <w:szCs w:val="24"/>
        </w:rPr>
      </w:pPr>
      <w:r>
        <w:rPr>
          <w:b/>
          <w:sz w:val="24"/>
          <w:szCs w:val="24"/>
        </w:rPr>
        <w:t xml:space="preserve">Supplementary Data S4. </w:t>
      </w:r>
      <w:r>
        <w:rPr>
          <w:sz w:val="24"/>
          <w:szCs w:val="24"/>
        </w:rPr>
        <w:t xml:space="preserve">AUC scores from DendroNet </w:t>
      </w:r>
      <w:proofErr w:type="spellStart"/>
      <w:r>
        <w:rPr>
          <w:sz w:val="24"/>
          <w:szCs w:val="24"/>
        </w:rPr>
        <w:t>feature+parsimony</w:t>
      </w:r>
      <w:proofErr w:type="spellEnd"/>
      <w:r>
        <w:rPr>
          <w:sz w:val="24"/>
          <w:szCs w:val="24"/>
        </w:rPr>
        <w:t xml:space="preserve"> models (includes phylogenetic placement and genome annotation data) from all 31 feature sets and for the phytopathogenic traits tested. The mean and standard deviation of the AUCs from each feature set were calculated, and the results are listed from highest mean to lowest mean AUC.</w:t>
      </w:r>
    </w:p>
    <w:p w14:paraId="50DDAE31" w14:textId="77777777" w:rsidR="00470539" w:rsidRDefault="00470539" w:rsidP="002074EF">
      <w:pPr>
        <w:spacing w:line="240" w:lineRule="auto"/>
        <w:rPr>
          <w:sz w:val="24"/>
          <w:szCs w:val="24"/>
        </w:rPr>
      </w:pPr>
    </w:p>
    <w:p w14:paraId="637062B2" w14:textId="77777777" w:rsidR="00470539" w:rsidRDefault="00000000" w:rsidP="002074EF">
      <w:pPr>
        <w:spacing w:line="240" w:lineRule="auto"/>
        <w:rPr>
          <w:sz w:val="24"/>
          <w:szCs w:val="24"/>
        </w:rPr>
      </w:pPr>
      <w:r>
        <w:rPr>
          <w:b/>
          <w:sz w:val="24"/>
          <w:szCs w:val="24"/>
        </w:rPr>
        <w:t xml:space="preserve">Supplementary Data S5. </w:t>
      </w:r>
      <w:r>
        <w:rPr>
          <w:sz w:val="24"/>
          <w:szCs w:val="24"/>
        </w:rPr>
        <w:t xml:space="preserve">Results from all statistical analyses on DendroNet AUCs for both the lifestyles and phytopathogenic traits. </w:t>
      </w:r>
    </w:p>
    <w:p w14:paraId="6987243F" w14:textId="77777777" w:rsidR="00470539" w:rsidRDefault="00470539" w:rsidP="002074EF">
      <w:pPr>
        <w:spacing w:line="240" w:lineRule="auto"/>
        <w:rPr>
          <w:sz w:val="24"/>
          <w:szCs w:val="24"/>
        </w:rPr>
      </w:pPr>
    </w:p>
    <w:p w14:paraId="00868013" w14:textId="77777777" w:rsidR="00470539" w:rsidRDefault="00000000" w:rsidP="002074EF">
      <w:pPr>
        <w:spacing w:line="240" w:lineRule="auto"/>
        <w:rPr>
          <w:sz w:val="24"/>
          <w:szCs w:val="24"/>
        </w:rPr>
      </w:pPr>
      <w:r>
        <w:rPr>
          <w:b/>
          <w:sz w:val="24"/>
          <w:szCs w:val="24"/>
        </w:rPr>
        <w:t xml:space="preserve">Supplementary Data S6. </w:t>
      </w:r>
      <w:r>
        <w:rPr>
          <w:sz w:val="24"/>
          <w:szCs w:val="24"/>
        </w:rPr>
        <w:t xml:space="preserve">DendroNet feature </w:t>
      </w:r>
      <w:proofErr w:type="spellStart"/>
      <w:r>
        <w:rPr>
          <w:sz w:val="24"/>
          <w:szCs w:val="24"/>
        </w:rPr>
        <w:t>importances</w:t>
      </w:r>
      <w:proofErr w:type="spellEnd"/>
      <w:r>
        <w:rPr>
          <w:sz w:val="24"/>
          <w:szCs w:val="24"/>
        </w:rPr>
        <w:t xml:space="preserve"> from the </w:t>
      </w:r>
      <w:proofErr w:type="spellStart"/>
      <w:r>
        <w:rPr>
          <w:sz w:val="24"/>
          <w:szCs w:val="24"/>
        </w:rPr>
        <w:t>feature+parsimony</w:t>
      </w:r>
      <w:proofErr w:type="spellEnd"/>
      <w:r>
        <w:rPr>
          <w:sz w:val="24"/>
          <w:szCs w:val="24"/>
        </w:rPr>
        <w:t xml:space="preserve"> models for all five genome annotation groups. The raw, fraction, and correlation values for the individual genomic features (gene families) that improved </w:t>
      </w:r>
      <w:proofErr w:type="spellStart"/>
      <w:r>
        <w:rPr>
          <w:sz w:val="24"/>
          <w:szCs w:val="24"/>
        </w:rPr>
        <w:t>DendroNet’s</w:t>
      </w:r>
      <w:proofErr w:type="spellEnd"/>
      <w:r>
        <w:rPr>
          <w:sz w:val="24"/>
          <w:szCs w:val="24"/>
        </w:rPr>
        <w:t xml:space="preserve"> predictive performance of a lifestyle or trait over the parsimony model are reported for each annotation. A fraction value greater than 1.0 for a feature indicates that a DendroNet model using only that individual feature produced better AUC scores than a model using a combination of all features from an annotation group.</w:t>
      </w:r>
    </w:p>
    <w:p w14:paraId="42EBFDB1" w14:textId="77777777" w:rsidR="00470539" w:rsidRDefault="00470539" w:rsidP="002074EF">
      <w:pPr>
        <w:spacing w:line="240" w:lineRule="auto"/>
        <w:rPr>
          <w:sz w:val="24"/>
          <w:szCs w:val="24"/>
        </w:rPr>
      </w:pPr>
    </w:p>
    <w:p w14:paraId="72705042" w14:textId="77777777" w:rsidR="00470539" w:rsidRDefault="00000000" w:rsidP="002074EF">
      <w:pPr>
        <w:spacing w:line="240" w:lineRule="auto"/>
        <w:rPr>
          <w:sz w:val="24"/>
          <w:szCs w:val="24"/>
        </w:rPr>
      </w:pPr>
      <w:r>
        <w:rPr>
          <w:b/>
          <w:sz w:val="24"/>
          <w:szCs w:val="24"/>
        </w:rPr>
        <w:t xml:space="preserve">Supplementary Data S7. </w:t>
      </w:r>
      <w:r>
        <w:rPr>
          <w:sz w:val="24"/>
          <w:szCs w:val="24"/>
        </w:rPr>
        <w:t xml:space="preserve">Correlation directions for all genomic features (gene families) included in the DendroNet </w:t>
      </w:r>
      <w:proofErr w:type="spellStart"/>
      <w:r>
        <w:rPr>
          <w:sz w:val="24"/>
          <w:szCs w:val="24"/>
        </w:rPr>
        <w:t>feature+parsimony</w:t>
      </w:r>
      <w:proofErr w:type="spellEnd"/>
      <w:r>
        <w:rPr>
          <w:sz w:val="24"/>
          <w:szCs w:val="24"/>
        </w:rPr>
        <w:t xml:space="preserve"> models, regardless of prediction performance relative to the parsimony model, for all five genome annotation groups. A positive correlation (+) indicates that a lifestyle or trait was associated with an increased number of genes relative to other lifestyles and traits, and a negative correlation (-) indicates that a lifestyle or trait was associated with </w:t>
      </w:r>
      <w:proofErr w:type="gramStart"/>
      <w:r>
        <w:rPr>
          <w:sz w:val="24"/>
          <w:szCs w:val="24"/>
        </w:rPr>
        <w:t>a decreased number of</w:t>
      </w:r>
      <w:proofErr w:type="gramEnd"/>
      <w:r>
        <w:rPr>
          <w:sz w:val="24"/>
          <w:szCs w:val="24"/>
        </w:rPr>
        <w:t xml:space="preserve"> genes. </w:t>
      </w:r>
    </w:p>
    <w:p w14:paraId="59C3DAED" w14:textId="77777777" w:rsidR="00470539" w:rsidRDefault="00470539" w:rsidP="002074EF">
      <w:pPr>
        <w:spacing w:line="240" w:lineRule="auto"/>
        <w:rPr>
          <w:b/>
          <w:sz w:val="24"/>
          <w:szCs w:val="24"/>
        </w:rPr>
      </w:pPr>
    </w:p>
    <w:p w14:paraId="49B2A61D" w14:textId="77777777" w:rsidR="00470539" w:rsidRDefault="00470539">
      <w:pPr>
        <w:spacing w:line="360" w:lineRule="auto"/>
        <w:rPr>
          <w:sz w:val="24"/>
          <w:szCs w:val="24"/>
        </w:rPr>
      </w:pPr>
    </w:p>
    <w:p w14:paraId="659B9594" w14:textId="77777777" w:rsidR="00470539" w:rsidRDefault="00470539">
      <w:pPr>
        <w:spacing w:line="360" w:lineRule="auto"/>
        <w:rPr>
          <w:sz w:val="24"/>
          <w:szCs w:val="24"/>
        </w:rPr>
      </w:pPr>
    </w:p>
    <w:p w14:paraId="1CC62FF3" w14:textId="77777777" w:rsidR="00470539" w:rsidRDefault="00470539">
      <w:pPr>
        <w:spacing w:line="360" w:lineRule="auto"/>
        <w:rPr>
          <w:sz w:val="24"/>
          <w:szCs w:val="24"/>
        </w:rPr>
      </w:pPr>
    </w:p>
    <w:p w14:paraId="7A2A474E" w14:textId="77777777" w:rsidR="00470539" w:rsidRDefault="00470539">
      <w:pPr>
        <w:spacing w:line="360" w:lineRule="auto"/>
        <w:rPr>
          <w:sz w:val="24"/>
          <w:szCs w:val="24"/>
        </w:rPr>
      </w:pPr>
    </w:p>
    <w:p w14:paraId="42FE66DC" w14:textId="77777777" w:rsidR="00470539" w:rsidRDefault="00470539">
      <w:pPr>
        <w:spacing w:line="360" w:lineRule="auto"/>
        <w:rPr>
          <w:sz w:val="24"/>
          <w:szCs w:val="24"/>
        </w:rPr>
      </w:pPr>
    </w:p>
    <w:sectPr w:rsidR="00470539">
      <w:footerReference w:type="defaul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6A0F50" w14:textId="77777777" w:rsidR="00E36E05" w:rsidRDefault="00E36E05">
      <w:pPr>
        <w:spacing w:line="240" w:lineRule="auto"/>
      </w:pPr>
      <w:r>
        <w:separator/>
      </w:r>
    </w:p>
  </w:endnote>
  <w:endnote w:type="continuationSeparator" w:id="0">
    <w:p w14:paraId="66B9446C" w14:textId="77777777" w:rsidR="00E36E05" w:rsidRDefault="00E36E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D09A5" w14:textId="77777777" w:rsidR="00470539" w:rsidRDefault="00000000">
    <w:pPr>
      <w:jc w:val="right"/>
    </w:pPr>
    <w:r>
      <w:fldChar w:fldCharType="begin"/>
    </w:r>
    <w:r>
      <w:instrText>PAGE</w:instrText>
    </w:r>
    <w:r>
      <w:fldChar w:fldCharType="separate"/>
    </w:r>
    <w:r w:rsidR="002074EF">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659C46" w14:textId="77777777" w:rsidR="00E36E05" w:rsidRDefault="00E36E05">
      <w:pPr>
        <w:spacing w:line="240" w:lineRule="auto"/>
      </w:pPr>
      <w:r>
        <w:separator/>
      </w:r>
    </w:p>
  </w:footnote>
  <w:footnote w:type="continuationSeparator" w:id="0">
    <w:p w14:paraId="122CA043" w14:textId="77777777" w:rsidR="00E36E05" w:rsidRDefault="00E36E0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539"/>
    <w:rsid w:val="000C4868"/>
    <w:rsid w:val="002074EF"/>
    <w:rsid w:val="00470539"/>
    <w:rsid w:val="004B6909"/>
    <w:rsid w:val="00E36E0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05303"/>
  <w15:docId w15:val="{F3B63BFA-C7F6-7A49-B3A2-7B88010B1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C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120" w:after="120" w:line="360" w:lineRule="auto"/>
      <w:outlineLvl w:val="0"/>
    </w:pPr>
    <w:rPr>
      <w:b/>
      <w:smallCaps/>
      <w:sz w:val="28"/>
      <w:szCs w:val="28"/>
      <w:highlight w:val="white"/>
    </w:rPr>
  </w:style>
  <w:style w:type="paragraph" w:styleId="Heading2">
    <w:name w:val="heading 2"/>
    <w:basedOn w:val="Normal"/>
    <w:next w:val="Normal"/>
    <w:uiPriority w:val="9"/>
    <w:unhideWhenUsed/>
    <w:qFormat/>
    <w:pPr>
      <w:keepNext/>
      <w:keepLines/>
      <w:spacing w:line="360" w:lineRule="auto"/>
      <w:outlineLvl w:val="1"/>
    </w:pPr>
    <w:rPr>
      <w:b/>
      <w:sz w:val="24"/>
      <w:szCs w:val="24"/>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rPr>
      <w:rFonts w:ascii="Calibri" w:eastAsia="Calibri" w:hAnsi="Calibri" w:cs="Calibri"/>
    </w:rPr>
    <w:tblPr>
      <w:tblStyleRowBandSize w:val="1"/>
      <w:tblStyleColBandSize w:val="1"/>
    </w:tblPr>
  </w:style>
  <w:style w:type="table" w:customStyle="1" w:styleId="a0">
    <w:basedOn w:val="TableNormal"/>
    <w:rPr>
      <w:rFonts w:ascii="Calibri" w:eastAsia="Calibri" w:hAnsi="Calibri" w:cs="Calibri"/>
    </w:rPr>
    <w:tblPr>
      <w:tblStyleRowBandSize w:val="1"/>
      <w:tblStyleColBandSize w:val="1"/>
    </w:tblPr>
  </w:style>
  <w:style w:type="table" w:customStyle="1" w:styleId="a1">
    <w:basedOn w:val="TableNormal"/>
    <w:rPr>
      <w:rFonts w:ascii="Calibri" w:eastAsia="Calibri" w:hAnsi="Calibri" w:cs="Calibri"/>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17</Pages>
  <Words>1737</Words>
  <Characters>9905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edort@student.ubc.ca</cp:lastModifiedBy>
  <cp:revision>3</cp:revision>
  <dcterms:created xsi:type="dcterms:W3CDTF">2023-04-04T18:25:00Z</dcterms:created>
  <dcterms:modified xsi:type="dcterms:W3CDTF">2023-04-04T18:41:00Z</dcterms:modified>
</cp:coreProperties>
</file>