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BF3" w:rsidRPr="00144023" w:rsidRDefault="00B512D0" w:rsidP="007333F0">
      <w:pPr>
        <w:ind w:firstLine="0"/>
        <w:jc w:val="center"/>
        <w:rPr>
          <w:b/>
          <w:bCs/>
        </w:rPr>
      </w:pPr>
      <w:r w:rsidRPr="00144023">
        <w:rPr>
          <w:rFonts w:ascii="TimesNewRomanPS-BoldItalicMT" w:hAnsi="TimesNewRomanPS-BoldItalicMT"/>
          <w:b/>
          <w:bCs/>
          <w:i/>
          <w:iCs/>
          <w:color w:val="000000" w:themeColor="text1"/>
          <w:sz w:val="36"/>
          <w:szCs w:val="36"/>
        </w:rPr>
        <w:t xml:space="preserve">Supplementary </w:t>
      </w:r>
      <w:r w:rsidR="00894BF3" w:rsidRPr="00144023">
        <w:rPr>
          <w:rFonts w:ascii="TimesNewRomanPS-BoldItalicMT" w:hAnsi="TimesNewRomanPS-BoldItalicMT"/>
          <w:b/>
          <w:bCs/>
          <w:i/>
          <w:iCs/>
          <w:color w:val="000000"/>
          <w:sz w:val="36"/>
          <w:szCs w:val="36"/>
        </w:rPr>
        <w:t>Information</w:t>
      </w:r>
    </w:p>
    <w:p w:rsidR="00F402F8" w:rsidRPr="00005BA4" w:rsidRDefault="00F402F8" w:rsidP="00F402F8">
      <w:pPr>
        <w:spacing w:line="360" w:lineRule="auto"/>
        <w:jc w:val="center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DB6D4C">
        <w:rPr>
          <w:rFonts w:asciiTheme="majorBidi" w:hAnsiTheme="majorBidi" w:cstheme="majorBidi"/>
          <w:b/>
          <w:bCs/>
          <w:sz w:val="32"/>
          <w:szCs w:val="32"/>
        </w:rPr>
        <w:t xml:space="preserve">Investigating the synergistic effect of </w:t>
      </w:r>
      <w:r w:rsidRPr="00005BA4">
        <w:rPr>
          <w:rFonts w:asciiTheme="majorBidi" w:hAnsiTheme="majorBidi" w:cstheme="majorBidi"/>
          <w:b/>
          <w:bCs/>
          <w:sz w:val="32"/>
          <w:szCs w:val="32"/>
        </w:rPr>
        <w:t>UV/PS/TiO</w:t>
      </w:r>
      <w:r w:rsidRPr="00005BA4">
        <w:rPr>
          <w:rFonts w:asciiTheme="majorBidi" w:hAnsiTheme="majorBidi" w:cstheme="majorBidi"/>
          <w:b/>
          <w:bCs/>
          <w:sz w:val="32"/>
          <w:szCs w:val="32"/>
          <w:vertAlign w:val="subscript"/>
        </w:rPr>
        <w:t>2</w:t>
      </w:r>
      <w:r w:rsidRPr="00005BA4">
        <w:rPr>
          <w:rFonts w:asciiTheme="majorBidi" w:hAnsiTheme="majorBidi" w:cstheme="majorBidi"/>
          <w:b/>
          <w:bCs/>
          <w:sz w:val="32"/>
          <w:szCs w:val="32"/>
        </w:rPr>
        <w:t xml:space="preserve"> and UV/PI/TiO</w:t>
      </w:r>
      <w:r w:rsidRPr="00005BA4">
        <w:rPr>
          <w:rFonts w:asciiTheme="majorBidi" w:hAnsiTheme="majorBidi" w:cstheme="majorBidi"/>
          <w:b/>
          <w:bCs/>
          <w:sz w:val="32"/>
          <w:szCs w:val="32"/>
          <w:vertAlign w:val="subscript"/>
        </w:rPr>
        <w:t>2</w:t>
      </w:r>
      <w:r w:rsidRPr="00DB6D4C">
        <w:rPr>
          <w:rFonts w:asciiTheme="majorBidi" w:hAnsiTheme="majorBidi" w:cstheme="majorBidi"/>
          <w:b/>
          <w:bCs/>
          <w:sz w:val="32"/>
          <w:szCs w:val="32"/>
        </w:rPr>
        <w:t xml:space="preserve"> processes </w:t>
      </w:r>
      <w:r>
        <w:rPr>
          <w:rFonts w:asciiTheme="majorBidi" w:hAnsiTheme="majorBidi" w:cstheme="majorBidi"/>
          <w:b/>
          <w:bCs/>
          <w:sz w:val="32"/>
          <w:szCs w:val="32"/>
        </w:rPr>
        <w:t>on</w:t>
      </w:r>
      <w:r w:rsidRPr="00DB6D4C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DB6D4C">
        <w:rPr>
          <w:rFonts w:asciiTheme="majorBidi" w:hAnsiTheme="majorBidi" w:cstheme="majorBidi"/>
          <w:b/>
          <w:bCs/>
          <w:sz w:val="32"/>
          <w:szCs w:val="32"/>
        </w:rPr>
        <w:t>paraquat</w:t>
      </w:r>
      <w:proofErr w:type="spellEnd"/>
      <w:r w:rsidRPr="001B0FED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Pr="001B0FED">
        <w:rPr>
          <w:rFonts w:asciiTheme="majorBidi" w:hAnsiTheme="majorBidi" w:cstheme="majorBidi"/>
          <w:b/>
          <w:bCs/>
          <w:color w:val="222222"/>
          <w:sz w:val="32"/>
          <w:szCs w:val="32"/>
          <w:shd w:val="clear" w:color="auto" w:fill="FFFFFF"/>
        </w:rPr>
        <w:t>herbicide</w:t>
      </w:r>
      <w:r w:rsidRPr="00DB6D4C">
        <w:rPr>
          <w:rFonts w:asciiTheme="majorBidi" w:hAnsiTheme="majorBidi" w:cstheme="majorBidi"/>
          <w:b/>
          <w:bCs/>
          <w:sz w:val="32"/>
          <w:szCs w:val="32"/>
        </w:rPr>
        <w:t xml:space="preserve"> degradation </w:t>
      </w:r>
      <w:r w:rsidRPr="00005BA4">
        <w:rPr>
          <w:rFonts w:asciiTheme="majorBidi" w:hAnsiTheme="majorBidi" w:cstheme="majorBidi"/>
          <w:b/>
          <w:bCs/>
          <w:sz w:val="32"/>
          <w:szCs w:val="32"/>
        </w:rPr>
        <w:t xml:space="preserve">in media aqueous: </w:t>
      </w:r>
      <w:r w:rsidRPr="00E66600">
        <w:rPr>
          <w:rFonts w:asciiTheme="majorBidi" w:hAnsiTheme="majorBidi" w:cstheme="majorBidi"/>
          <w:b/>
          <w:bCs/>
          <w:sz w:val="32"/>
          <w:szCs w:val="32"/>
        </w:rPr>
        <w:t>statistical optimization</w:t>
      </w:r>
      <w:r>
        <w:rPr>
          <w:rFonts w:asciiTheme="majorBidi" w:hAnsiTheme="majorBidi" w:cstheme="majorBidi"/>
          <w:b/>
          <w:bCs/>
          <w:sz w:val="32"/>
          <w:szCs w:val="32"/>
        </w:rPr>
        <w:t>,</w:t>
      </w:r>
      <w:r w:rsidRPr="00005BA4">
        <w:rPr>
          <w:rFonts w:asciiTheme="majorBidi" w:hAnsiTheme="majorBidi" w:cstheme="majorBidi"/>
          <w:b/>
          <w:bCs/>
          <w:sz w:val="32"/>
          <w:szCs w:val="32"/>
        </w:rPr>
        <w:t xml:space="preserve"> kinetic study, and estimation of</w:t>
      </w:r>
      <w:r w:rsidRPr="00005BA4">
        <w:rPr>
          <w:rFonts w:asciiTheme="majorBidi" w:eastAsia="GulliverRM" w:hAnsiTheme="majorBidi" w:cstheme="majorBidi"/>
          <w:b/>
          <w:bCs/>
          <w:color w:val="000000" w:themeColor="text1"/>
          <w:sz w:val="32"/>
          <w:szCs w:val="32"/>
        </w:rPr>
        <w:t xml:space="preserve"> electrical energy </w:t>
      </w:r>
      <w:r w:rsidRPr="00005BA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>consumption</w:t>
      </w:r>
    </w:p>
    <w:p w:rsidR="00BE5F3E" w:rsidRPr="00E66600" w:rsidRDefault="00BE5F3E" w:rsidP="00BE5F3E">
      <w:pPr>
        <w:jc w:val="center"/>
        <w:rPr>
          <w:rFonts w:asciiTheme="majorBidi" w:hAnsiTheme="majorBidi" w:cstheme="majorBidi"/>
          <w:color w:val="8B8B8B"/>
          <w:sz w:val="21"/>
          <w:szCs w:val="21"/>
        </w:rPr>
      </w:pPr>
    </w:p>
    <w:p w:rsidR="00A92F4F" w:rsidRDefault="00A92F4F" w:rsidP="00A92F4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Cs w:val="24"/>
        </w:rPr>
      </w:pPr>
      <w:proofErr w:type="spellStart"/>
      <w:r w:rsidRPr="00E66600">
        <w:rPr>
          <w:rFonts w:asciiTheme="majorBidi" w:hAnsiTheme="majorBidi" w:cstheme="majorBidi"/>
          <w:color w:val="000000" w:themeColor="text1"/>
          <w:sz w:val="28"/>
          <w:szCs w:val="28"/>
        </w:rPr>
        <w:t>Azam</w:t>
      </w:r>
      <w:proofErr w:type="spellEnd"/>
      <w:r w:rsidRPr="00E66600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proofErr w:type="spellStart"/>
      <w:r w:rsidRPr="00E66600">
        <w:rPr>
          <w:rFonts w:asciiTheme="majorBidi" w:hAnsiTheme="majorBidi" w:cstheme="majorBidi"/>
          <w:color w:val="000000" w:themeColor="text1"/>
          <w:sz w:val="28"/>
          <w:szCs w:val="28"/>
        </w:rPr>
        <w:t>Ghavi</w:t>
      </w:r>
      <w:proofErr w:type="spellEnd"/>
      <w:r w:rsidRPr="00E66600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 xml:space="preserve"> a</w:t>
      </w:r>
      <w:r w:rsidRPr="00CA3851">
        <w:rPr>
          <w:rFonts w:asciiTheme="majorBidi" w:hAnsiTheme="majorBidi" w:cstheme="majorBidi"/>
          <w:sz w:val="36"/>
          <w:szCs w:val="36"/>
          <w:vertAlign w:val="superscript"/>
        </w:rPr>
        <w:t>*</w:t>
      </w:r>
      <w:r w:rsidRPr="00E66600">
        <w:rPr>
          <w:rFonts w:asciiTheme="majorBidi" w:hAnsiTheme="majorBidi" w:cstheme="majorBidi"/>
          <w:color w:val="000000" w:themeColor="text1"/>
          <w:sz w:val="28"/>
          <w:szCs w:val="28"/>
        </w:rPr>
        <w:t>,</w:t>
      </w:r>
      <w:r w:rsidRPr="00E66600">
        <w:rPr>
          <w:rFonts w:asciiTheme="majorBidi" w:hAnsiTheme="majorBidi" w:cstheme="majorBidi"/>
          <w:sz w:val="28"/>
          <w:szCs w:val="28"/>
        </w:rPr>
        <w:t xml:space="preserve"> </w:t>
      </w:r>
      <w:hyperlink r:id="rId9" w:history="1">
        <w:proofErr w:type="spellStart"/>
        <w:r w:rsidRPr="00313212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>Ghadamali</w:t>
        </w:r>
        <w:proofErr w:type="spellEnd"/>
        <w:r w:rsidRPr="00313212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 xml:space="preserve"> </w:t>
        </w:r>
        <w:proofErr w:type="spellStart"/>
        <w:r w:rsidRPr="00313212">
          <w:rPr>
            <w:rStyle w:val="Hyperlink"/>
            <w:rFonts w:asciiTheme="majorBidi" w:hAnsiTheme="majorBidi"/>
            <w:color w:val="000000" w:themeColor="text1"/>
            <w:sz w:val="28"/>
            <w:szCs w:val="28"/>
            <w:u w:val="none"/>
          </w:rPr>
          <w:t>Bagherian</w:t>
        </w:r>
        <w:proofErr w:type="spellEnd"/>
      </w:hyperlink>
      <w:r w:rsidRPr="00E66600">
        <w:rPr>
          <w:rFonts w:asciiTheme="majorBidi" w:hAnsiTheme="majorBidi" w:cstheme="majorBidi"/>
          <w:color w:val="8B8B8B"/>
          <w:sz w:val="28"/>
          <w:szCs w:val="28"/>
        </w:rPr>
        <w:t xml:space="preserve"> </w:t>
      </w:r>
      <w:r w:rsidRPr="00E66600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</w:rPr>
        <w:t>a</w:t>
      </w:r>
      <w:r>
        <w:rPr>
          <w:rFonts w:asciiTheme="majorBidi" w:hAnsiTheme="majorBidi" w:cstheme="majorBidi"/>
          <w:color w:val="8B8B8B"/>
          <w:sz w:val="28"/>
          <w:szCs w:val="28"/>
        </w:rPr>
        <w:t>,</w:t>
      </w:r>
      <w:r w:rsidRPr="00E66600">
        <w:rPr>
          <w:rFonts w:asciiTheme="majorBidi" w:hAnsiTheme="majorBidi" w:cstheme="majorBidi"/>
          <w:color w:val="8B8B8B"/>
          <w:sz w:val="28"/>
          <w:szCs w:val="28"/>
        </w:rPr>
        <w:t xml:space="preserve"> </w:t>
      </w:r>
      <w:proofErr w:type="spellStart"/>
      <w:r w:rsidRPr="00E66600">
        <w:rPr>
          <w:rFonts w:cs="Times New Roman"/>
          <w:color w:val="000000"/>
          <w:sz w:val="28"/>
          <w:szCs w:val="28"/>
        </w:rPr>
        <w:t>Hadi</w:t>
      </w:r>
      <w:proofErr w:type="spellEnd"/>
      <w:r w:rsidRPr="00E66600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Pr="00E66600">
        <w:rPr>
          <w:rFonts w:cs="Times New Roman"/>
          <w:color w:val="000000"/>
          <w:sz w:val="28"/>
          <w:szCs w:val="28"/>
        </w:rPr>
        <w:t>Rezaei</w:t>
      </w:r>
      <w:proofErr w:type="spellEnd"/>
      <w:r w:rsidRPr="00E66600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Pr="00E66600">
        <w:rPr>
          <w:rFonts w:cs="Times New Roman"/>
          <w:color w:val="000000"/>
          <w:sz w:val="28"/>
          <w:szCs w:val="28"/>
        </w:rPr>
        <w:t>Vahidian</w:t>
      </w:r>
      <w:proofErr w:type="spellEnd"/>
      <w:r w:rsidRPr="00E66600">
        <w:rPr>
          <w:rFonts w:cs="Times New Roman"/>
          <w:color w:val="000000"/>
          <w:sz w:val="28"/>
          <w:szCs w:val="28"/>
          <w:vertAlign w:val="superscript"/>
        </w:rPr>
        <w:t xml:space="preserve"> b</w:t>
      </w:r>
    </w:p>
    <w:p w:rsidR="00A92F4F" w:rsidRPr="00E66600" w:rsidRDefault="00A92F4F" w:rsidP="00A92F4F">
      <w:pPr>
        <w:jc w:val="center"/>
        <w:rPr>
          <w:rFonts w:asciiTheme="majorBidi" w:hAnsiTheme="majorBidi" w:cstheme="majorBidi"/>
          <w:color w:val="8B8B8B"/>
          <w:sz w:val="21"/>
          <w:szCs w:val="21"/>
        </w:rPr>
      </w:pPr>
    </w:p>
    <w:p w:rsidR="00A92F4F" w:rsidRPr="00A90AC5" w:rsidRDefault="00A92F4F" w:rsidP="00F402F8">
      <w:pPr>
        <w:ind w:firstLine="0"/>
        <w:jc w:val="center"/>
        <w:rPr>
          <w:rFonts w:asciiTheme="majorBidi" w:hAnsiTheme="majorBidi" w:cstheme="majorBidi"/>
          <w:i/>
          <w:iCs/>
          <w:color w:val="8B8B8B"/>
        </w:rPr>
      </w:pPr>
      <w:proofErr w:type="gramStart"/>
      <w:r w:rsidRPr="00A90AC5">
        <w:rPr>
          <w:rFonts w:asciiTheme="majorBidi" w:hAnsiTheme="majorBidi" w:cstheme="majorBidi"/>
          <w:b/>
          <w:bCs/>
          <w:color w:val="8B8B8B"/>
          <w:szCs w:val="24"/>
          <w:vertAlign w:val="superscript"/>
        </w:rPr>
        <w:t>a</w:t>
      </w:r>
      <w:proofErr w:type="gramEnd"/>
      <w:r w:rsidRPr="00A90AC5">
        <w:rPr>
          <w:rFonts w:asciiTheme="majorBidi" w:hAnsiTheme="majorBidi" w:cstheme="majorBidi"/>
          <w:i/>
          <w:iCs/>
          <w:color w:val="8B8B8B"/>
          <w:szCs w:val="24"/>
        </w:rPr>
        <w:t xml:space="preserve"> </w:t>
      </w:r>
      <w:r w:rsidRPr="00A90AC5">
        <w:rPr>
          <w:rFonts w:asciiTheme="majorBidi" w:hAnsiTheme="majorBidi" w:cstheme="majorBidi"/>
          <w:i/>
          <w:iCs/>
          <w:color w:val="000000"/>
        </w:rPr>
        <w:t xml:space="preserve">Faculty of Chemistry, </w:t>
      </w:r>
      <w:proofErr w:type="spellStart"/>
      <w:r w:rsidRPr="00A90AC5">
        <w:rPr>
          <w:rFonts w:asciiTheme="majorBidi" w:hAnsiTheme="majorBidi" w:cstheme="majorBidi"/>
          <w:i/>
          <w:iCs/>
          <w:color w:val="000000"/>
        </w:rPr>
        <w:t>Shahrood</w:t>
      </w:r>
      <w:proofErr w:type="spellEnd"/>
      <w:r w:rsidRPr="00A90AC5">
        <w:rPr>
          <w:rFonts w:asciiTheme="majorBidi" w:hAnsiTheme="majorBidi" w:cstheme="majorBidi"/>
          <w:i/>
          <w:iCs/>
          <w:color w:val="000000"/>
        </w:rPr>
        <w:t xml:space="preserve"> University of Technology, P.O. Box </w:t>
      </w:r>
      <w:r w:rsidR="00F402F8" w:rsidRPr="00A90AC5">
        <w:rPr>
          <w:rFonts w:asciiTheme="majorBidi" w:hAnsiTheme="majorBidi" w:cstheme="majorBidi"/>
          <w:i/>
          <w:iCs/>
          <w:color w:val="000000"/>
        </w:rPr>
        <w:t>316</w:t>
      </w:r>
      <w:r w:rsidR="00F402F8">
        <w:rPr>
          <w:rFonts w:asciiTheme="majorBidi" w:hAnsiTheme="majorBidi" w:cstheme="majorBidi"/>
          <w:i/>
          <w:iCs/>
          <w:color w:val="000000"/>
        </w:rPr>
        <w:t>-3619995181</w:t>
      </w:r>
      <w:r w:rsidRPr="00A90AC5">
        <w:rPr>
          <w:rFonts w:asciiTheme="majorBidi" w:hAnsiTheme="majorBidi" w:cstheme="majorBidi"/>
          <w:i/>
          <w:iCs/>
          <w:color w:val="000000"/>
        </w:rPr>
        <w:t xml:space="preserve">, </w:t>
      </w:r>
      <w:proofErr w:type="spellStart"/>
      <w:r w:rsidRPr="00A90AC5">
        <w:rPr>
          <w:rFonts w:asciiTheme="majorBidi" w:hAnsiTheme="majorBidi" w:cstheme="majorBidi"/>
          <w:i/>
          <w:iCs/>
          <w:color w:val="000000"/>
        </w:rPr>
        <w:t>Shahrood</w:t>
      </w:r>
      <w:proofErr w:type="spellEnd"/>
      <w:r w:rsidRPr="00A90AC5">
        <w:rPr>
          <w:rFonts w:asciiTheme="majorBidi" w:hAnsiTheme="majorBidi" w:cstheme="majorBidi"/>
          <w:i/>
          <w:iCs/>
          <w:color w:val="000000"/>
        </w:rPr>
        <w:t>, Iran</w:t>
      </w:r>
    </w:p>
    <w:p w:rsidR="00A92F4F" w:rsidRDefault="00A92F4F" w:rsidP="00A92F4F">
      <w:pPr>
        <w:ind w:firstLine="0"/>
        <w:jc w:val="center"/>
        <w:rPr>
          <w:rFonts w:asciiTheme="majorBidi" w:hAnsiTheme="majorBidi" w:cstheme="majorBidi"/>
          <w:color w:val="8B8B8B"/>
          <w:sz w:val="21"/>
          <w:szCs w:val="21"/>
        </w:rPr>
      </w:pPr>
      <w:proofErr w:type="gramStart"/>
      <w:r w:rsidRPr="00A90AC5">
        <w:rPr>
          <w:rFonts w:asciiTheme="majorBidi" w:hAnsiTheme="majorBidi" w:cstheme="majorBidi"/>
          <w:b/>
          <w:bCs/>
          <w:color w:val="8B8B8B"/>
          <w:szCs w:val="24"/>
          <w:vertAlign w:val="superscript"/>
        </w:rPr>
        <w:t>b</w:t>
      </w:r>
      <w:proofErr w:type="gramEnd"/>
      <w:r w:rsidRPr="00A90AC5">
        <w:rPr>
          <w:rFonts w:asciiTheme="majorBidi" w:hAnsiTheme="majorBidi" w:cstheme="majorBidi"/>
          <w:color w:val="8B8B8B"/>
        </w:rPr>
        <w:t xml:space="preserve"> </w:t>
      </w:r>
      <w:r w:rsidRPr="00774B95">
        <w:rPr>
          <w:rFonts w:asciiTheme="majorBidi" w:hAnsiTheme="majorBidi" w:cstheme="majorBidi"/>
          <w:i/>
          <w:iCs/>
          <w:shd w:val="clear" w:color="auto" w:fill="FFFFFF"/>
        </w:rPr>
        <w:t>Space transportation research institute, Iranian space research center, Tehran, Iran</w:t>
      </w:r>
      <w:r w:rsidRPr="00C964D7">
        <w:rPr>
          <w:rFonts w:asciiTheme="majorBidi" w:hAnsiTheme="majorBidi" w:cstheme="majorBidi"/>
          <w:szCs w:val="24"/>
          <w:shd w:val="clear" w:color="auto" w:fill="FFFFFF"/>
        </w:rPr>
        <w:t>.</w:t>
      </w:r>
    </w:p>
    <w:p w:rsidR="0054286A" w:rsidRPr="00E66600" w:rsidRDefault="0054286A" w:rsidP="00A92F4F">
      <w:pPr>
        <w:ind w:firstLine="0"/>
        <w:jc w:val="center"/>
        <w:rPr>
          <w:rFonts w:asciiTheme="majorBidi" w:hAnsiTheme="majorBidi" w:cstheme="majorBidi"/>
          <w:color w:val="8B8B8B"/>
          <w:sz w:val="21"/>
          <w:szCs w:val="21"/>
        </w:rPr>
      </w:pPr>
    </w:p>
    <w:p w:rsidR="0054286A" w:rsidRDefault="00A92F4F" w:rsidP="0054286A">
      <w:pPr>
        <w:spacing w:line="240" w:lineRule="auto"/>
        <w:ind w:left="360"/>
        <w:jc w:val="center"/>
        <w:rPr>
          <w:rFonts w:asciiTheme="majorBidi" w:hAnsiTheme="majorBidi" w:cstheme="majorBidi"/>
          <w:b/>
          <w:szCs w:val="24"/>
        </w:rPr>
      </w:pPr>
      <w:r w:rsidRPr="0023470D">
        <w:rPr>
          <w:rStyle w:val="Strong"/>
          <w:rFonts w:asciiTheme="majorBidi" w:hAnsiTheme="majorBidi" w:cstheme="majorBidi"/>
          <w:i/>
          <w:iCs/>
          <w:sz w:val="32"/>
          <w:szCs w:val="32"/>
          <w:shd w:val="clear" w:color="auto" w:fill="FFFFFF"/>
          <w:vertAlign w:val="superscript"/>
        </w:rPr>
        <w:t>*</w:t>
      </w:r>
      <w:r w:rsidRPr="0023470D">
        <w:rPr>
          <w:rStyle w:val="Strong"/>
          <w:rFonts w:asciiTheme="majorBidi" w:hAnsiTheme="majorBidi" w:cstheme="majorBidi"/>
          <w:i/>
          <w:iCs/>
          <w:szCs w:val="24"/>
          <w:shd w:val="clear" w:color="auto" w:fill="FFFFFF"/>
        </w:rPr>
        <w:t>Corresponding author</w:t>
      </w:r>
      <w:r w:rsidRPr="0023470D">
        <w:rPr>
          <w:rFonts w:asciiTheme="majorBidi" w:hAnsiTheme="majorBidi" w:cstheme="majorBidi"/>
          <w:b/>
          <w:szCs w:val="24"/>
        </w:rPr>
        <w:t xml:space="preserve">: </w:t>
      </w:r>
      <w:hyperlink r:id="rId10" w:history="1">
        <w:r w:rsidR="0054286A" w:rsidRPr="007D4C09">
          <w:rPr>
            <w:rStyle w:val="Hyperlink"/>
            <w:rFonts w:asciiTheme="majorBidi" w:hAnsiTheme="majorBidi"/>
            <w:szCs w:val="24"/>
          </w:rPr>
          <w:t>azamghavi@ymail.com</w:t>
        </w:r>
      </w:hyperlink>
    </w:p>
    <w:p w:rsidR="0054286A" w:rsidRDefault="0054286A" w:rsidP="0054286A">
      <w:pPr>
        <w:spacing w:line="240" w:lineRule="auto"/>
        <w:ind w:left="360"/>
        <w:jc w:val="center"/>
        <w:rPr>
          <w:rFonts w:asciiTheme="majorBidi" w:hAnsiTheme="majorBidi" w:cstheme="majorBidi"/>
          <w:color w:val="0070C0"/>
          <w:sz w:val="36"/>
          <w:szCs w:val="36"/>
        </w:rPr>
      </w:pPr>
      <w:r w:rsidRPr="0054286A">
        <w:rPr>
          <w:rStyle w:val="Strong"/>
          <w:rFonts w:asciiTheme="majorBidi" w:hAnsiTheme="majorBidi" w:cstheme="majorBidi"/>
          <w:b w:val="0"/>
          <w:bCs w:val="0"/>
          <w:color w:val="0070C0"/>
          <w:szCs w:val="24"/>
          <w:shd w:val="clear" w:color="auto" w:fill="FFFFFF"/>
        </w:rPr>
        <w:t>Research Laboratory of Faculty</w:t>
      </w:r>
      <w:r w:rsidRPr="00985AF8">
        <w:rPr>
          <w:rFonts w:asciiTheme="majorBidi" w:hAnsiTheme="majorBidi" w:cstheme="majorBidi"/>
          <w:color w:val="0070C0"/>
          <w:szCs w:val="24"/>
        </w:rPr>
        <w:t xml:space="preserve"> Chemistry</w:t>
      </w:r>
      <w:r w:rsidRPr="00985AF8">
        <w:rPr>
          <w:rFonts w:asciiTheme="majorBidi" w:hAnsiTheme="majorBidi" w:cstheme="majorBidi"/>
          <w:color w:val="0070C0"/>
          <w:sz w:val="36"/>
          <w:szCs w:val="36"/>
        </w:rPr>
        <w:t xml:space="preserve">, </w:t>
      </w:r>
      <w:proofErr w:type="spellStart"/>
      <w:r w:rsidRPr="00985AF8">
        <w:rPr>
          <w:rFonts w:asciiTheme="majorBidi" w:hAnsiTheme="majorBidi" w:cstheme="majorBidi"/>
          <w:color w:val="0070C0"/>
          <w:szCs w:val="24"/>
        </w:rPr>
        <w:t>Shahrood</w:t>
      </w:r>
      <w:proofErr w:type="spellEnd"/>
      <w:r w:rsidRPr="00985AF8">
        <w:rPr>
          <w:rFonts w:asciiTheme="majorBidi" w:hAnsiTheme="majorBidi" w:cstheme="majorBidi"/>
          <w:color w:val="0070C0"/>
          <w:szCs w:val="24"/>
        </w:rPr>
        <w:t xml:space="preserve"> University of Technology, P.O. Box 316-3619995181, </w:t>
      </w:r>
      <w:proofErr w:type="spellStart"/>
      <w:r w:rsidRPr="00985AF8">
        <w:rPr>
          <w:rFonts w:asciiTheme="majorBidi" w:hAnsiTheme="majorBidi" w:cstheme="majorBidi"/>
          <w:color w:val="0070C0"/>
          <w:szCs w:val="24"/>
        </w:rPr>
        <w:t>Shahrood</w:t>
      </w:r>
      <w:proofErr w:type="spellEnd"/>
      <w:r w:rsidRPr="00985AF8">
        <w:rPr>
          <w:rFonts w:asciiTheme="majorBidi" w:hAnsiTheme="majorBidi" w:cstheme="majorBidi"/>
          <w:color w:val="0070C0"/>
          <w:szCs w:val="24"/>
        </w:rPr>
        <w:t>, Iran</w:t>
      </w:r>
    </w:p>
    <w:p w:rsidR="0054286A" w:rsidRPr="00985AF8" w:rsidRDefault="0054286A" w:rsidP="0054286A">
      <w:pPr>
        <w:spacing w:line="240" w:lineRule="auto"/>
        <w:ind w:left="360"/>
        <w:jc w:val="center"/>
        <w:rPr>
          <w:rFonts w:asciiTheme="majorBidi" w:hAnsiTheme="majorBidi" w:cstheme="majorBidi"/>
          <w:color w:val="0070C0"/>
          <w:sz w:val="36"/>
          <w:szCs w:val="36"/>
        </w:rPr>
      </w:pPr>
    </w:p>
    <w:p w:rsidR="00C0694E" w:rsidRPr="007333F0" w:rsidRDefault="00C0694E" w:rsidP="0054286A">
      <w:pPr>
        <w:spacing w:line="360" w:lineRule="auto"/>
        <w:ind w:left="360" w:firstLine="0"/>
        <w:jc w:val="left"/>
        <w:rPr>
          <w:rFonts w:asciiTheme="majorBidi" w:hAnsiTheme="majorBidi" w:cstheme="majorBidi"/>
          <w:b/>
          <w:bCs/>
          <w:szCs w:val="24"/>
        </w:rPr>
      </w:pPr>
      <w:r w:rsidRPr="007333F0">
        <w:rPr>
          <w:rFonts w:asciiTheme="majorBidi" w:hAnsiTheme="majorBidi" w:cstheme="majorBidi"/>
          <w:b/>
          <w:bCs/>
          <w:szCs w:val="24"/>
        </w:rPr>
        <w:t xml:space="preserve">1. </w:t>
      </w:r>
      <w:proofErr w:type="spellStart"/>
      <w:r w:rsidRPr="007333F0">
        <w:rPr>
          <w:rFonts w:asciiTheme="majorBidi" w:hAnsiTheme="majorBidi" w:cstheme="majorBidi"/>
          <w:b/>
          <w:bCs/>
          <w:szCs w:val="24"/>
        </w:rPr>
        <w:t>Paraquat</w:t>
      </w:r>
      <w:proofErr w:type="spellEnd"/>
    </w:p>
    <w:p w:rsidR="001E483C" w:rsidRDefault="001E483C" w:rsidP="00225435">
      <w:pPr>
        <w:spacing w:after="0"/>
        <w:ind w:firstLine="540"/>
        <w:rPr>
          <w:rFonts w:cs="Times New Roman"/>
          <w:szCs w:val="24"/>
        </w:rPr>
      </w:pPr>
      <w:proofErr w:type="spellStart"/>
      <w:r w:rsidRPr="00C0694E">
        <w:rPr>
          <w:rFonts w:asciiTheme="majorBidi" w:hAnsiTheme="majorBidi" w:cstheme="majorBidi"/>
          <w:szCs w:val="24"/>
        </w:rPr>
        <w:t>Paraquat</w:t>
      </w:r>
      <w:proofErr w:type="spellEnd"/>
      <w:r w:rsidRPr="00C0694E">
        <w:rPr>
          <w:rFonts w:asciiTheme="majorBidi" w:hAnsiTheme="majorBidi" w:cstheme="majorBidi"/>
          <w:szCs w:val="24"/>
        </w:rPr>
        <w:t xml:space="preserve"> discovered in 1882 and has been used as an oxidation-reduction indicator under the name of methyl </w:t>
      </w:r>
      <w:proofErr w:type="spellStart"/>
      <w:r w:rsidRPr="00C0694E">
        <w:rPr>
          <w:rFonts w:asciiTheme="majorBidi" w:hAnsiTheme="majorBidi" w:cstheme="majorBidi"/>
          <w:szCs w:val="24"/>
        </w:rPr>
        <w:t>virologen</w:t>
      </w:r>
      <w:proofErr w:type="spellEnd"/>
      <w:r w:rsidRPr="00C0694E">
        <w:rPr>
          <w:rFonts w:asciiTheme="majorBidi" w:hAnsiTheme="majorBidi" w:cstheme="majorBidi"/>
          <w:szCs w:val="24"/>
        </w:rPr>
        <w:t xml:space="preserve"> since 1932 and was registered in the United States in 1964 for use as a nonselective contact herbicide to control or suppress a broad spectrum of emerged weeds. The solubility of </w:t>
      </w:r>
      <w:proofErr w:type="spellStart"/>
      <w:r w:rsidRPr="00C0694E">
        <w:rPr>
          <w:rFonts w:asciiTheme="majorBidi" w:hAnsiTheme="majorBidi" w:cstheme="majorBidi"/>
          <w:szCs w:val="24"/>
        </w:rPr>
        <w:t>paraquat</w:t>
      </w:r>
      <w:proofErr w:type="spellEnd"/>
      <w:r w:rsidRPr="00C0694E">
        <w:rPr>
          <w:rFonts w:asciiTheme="majorBidi" w:hAnsiTheme="majorBidi" w:cstheme="majorBidi"/>
          <w:szCs w:val="24"/>
        </w:rPr>
        <w:t xml:space="preserve"> in water</w:t>
      </w:r>
      <w:r w:rsidR="00F402F8">
        <w:rPr>
          <w:rFonts w:asciiTheme="majorBidi" w:hAnsiTheme="majorBidi" w:cstheme="majorBidi"/>
          <w:szCs w:val="24"/>
        </w:rPr>
        <w:t xml:space="preserve"> </w:t>
      </w:r>
      <w:r w:rsidRPr="00C0694E">
        <w:rPr>
          <w:rFonts w:asciiTheme="majorBidi" w:hAnsiTheme="majorBidi" w:cstheme="majorBidi"/>
          <w:szCs w:val="24"/>
        </w:rPr>
        <w:t>is 625 g/L at 25</w:t>
      </w:r>
      <w:r w:rsidRPr="00C0694E">
        <w:rPr>
          <w:rFonts w:asciiTheme="majorBidi" w:hAnsiTheme="majorBidi" w:cstheme="majorBidi"/>
          <w:szCs w:val="24"/>
          <w:vertAlign w:val="superscript"/>
        </w:rPr>
        <w:t xml:space="preserve"> °</w:t>
      </w:r>
      <w:r w:rsidRPr="00C0694E">
        <w:rPr>
          <w:rFonts w:asciiTheme="majorBidi" w:hAnsiTheme="majorBidi" w:cstheme="majorBidi"/>
          <w:szCs w:val="24"/>
        </w:rPr>
        <w:t>C</w:t>
      </w:r>
      <w:r w:rsidR="00225435">
        <w:rPr>
          <w:rFonts w:asciiTheme="majorBidi" w:hAnsiTheme="majorBidi" w:cstheme="majorBidi"/>
          <w:szCs w:val="24"/>
        </w:rPr>
        <w:t xml:space="preserve"> </w:t>
      </w:r>
      <w:r w:rsidR="00225435" w:rsidRPr="00225435">
        <w:rPr>
          <w:rFonts w:asciiTheme="majorBidi" w:hAnsiTheme="majorBidi" w:cstheme="majorBidi"/>
          <w:color w:val="FF0000"/>
          <w:szCs w:val="24"/>
        </w:rPr>
        <w:t>(</w:t>
      </w:r>
      <w:proofErr w:type="spellStart"/>
      <w:r w:rsidR="00225435" w:rsidRPr="00225435">
        <w:rPr>
          <w:color w:val="FF0000"/>
        </w:rPr>
        <w:t>Bromilow</w:t>
      </w:r>
      <w:proofErr w:type="spellEnd"/>
      <w:r w:rsidR="00225435" w:rsidRPr="00225435">
        <w:rPr>
          <w:rFonts w:asciiTheme="majorBidi" w:hAnsiTheme="majorBidi" w:cstheme="majorBidi"/>
          <w:color w:val="FF0000"/>
          <w:szCs w:val="24"/>
        </w:rPr>
        <w:t xml:space="preserve"> 2004)</w:t>
      </w:r>
      <w:r w:rsidRPr="00C0694E">
        <w:rPr>
          <w:rFonts w:asciiTheme="majorBidi" w:hAnsiTheme="majorBidi" w:cstheme="majorBidi"/>
          <w:szCs w:val="24"/>
        </w:rPr>
        <w:t>.</w:t>
      </w:r>
      <w:r w:rsidR="00C0694E">
        <w:rPr>
          <w:rFonts w:asciiTheme="majorBidi" w:hAnsiTheme="majorBidi" w:cstheme="majorBidi"/>
          <w:szCs w:val="24"/>
        </w:rPr>
        <w:t xml:space="preserve"> It</w:t>
      </w:r>
      <w:r w:rsidRPr="00C0694E">
        <w:rPr>
          <w:rFonts w:asciiTheme="majorBidi" w:hAnsiTheme="majorBidi" w:cstheme="majorBidi"/>
          <w:szCs w:val="24"/>
        </w:rPr>
        <w:t xml:space="preserve"> has been marketed </w:t>
      </w:r>
      <w:r w:rsidRPr="00C0694E">
        <w:rPr>
          <w:rFonts w:asciiTheme="majorBidi" w:hAnsiTheme="majorBidi" w:cstheme="majorBidi"/>
          <w:szCs w:val="24"/>
        </w:rPr>
        <w:lastRenderedPageBreak/>
        <w:t xml:space="preserve">under the brand name </w:t>
      </w:r>
      <w:proofErr w:type="spellStart"/>
      <w:r w:rsidRPr="00C0694E">
        <w:rPr>
          <w:rFonts w:asciiTheme="majorBidi" w:hAnsiTheme="majorBidi" w:cstheme="majorBidi"/>
          <w:szCs w:val="24"/>
        </w:rPr>
        <w:t>Gramoxone</w:t>
      </w:r>
      <w:proofErr w:type="spellEnd"/>
      <w:r w:rsidRPr="00C0694E">
        <w:rPr>
          <w:rFonts w:asciiTheme="majorBidi" w:hAnsiTheme="majorBidi" w:cstheme="majorBidi"/>
          <w:szCs w:val="24"/>
        </w:rPr>
        <w:t xml:space="preserve"> by different manufacturers sold under different names as well. It is a green liquid with a boiling point 175 – 180˚C and is easily soluble in water and is relatively stable at normal temperature, pressure, and pH, to stay longer in the soil</w:t>
      </w:r>
      <w:r w:rsidR="00DB155D">
        <w:rPr>
          <w:rFonts w:asciiTheme="majorBidi" w:hAnsiTheme="majorBidi" w:cstheme="majorBidi"/>
          <w:szCs w:val="24"/>
        </w:rPr>
        <w:t>.</w:t>
      </w:r>
      <w:r w:rsidRPr="00C0694E">
        <w:rPr>
          <w:rFonts w:asciiTheme="majorBidi" w:hAnsiTheme="majorBidi" w:cstheme="majorBidi"/>
          <w:szCs w:val="24"/>
        </w:rPr>
        <w:t xml:space="preserve"> Its molecular structure is shown in </w:t>
      </w:r>
      <w:r w:rsidR="00DB155D" w:rsidRPr="005F63EB">
        <w:rPr>
          <w:rFonts w:asciiTheme="majorBidi" w:hAnsiTheme="majorBidi" w:cstheme="majorBidi"/>
          <w:color w:val="1F497D" w:themeColor="text2"/>
          <w:szCs w:val="24"/>
        </w:rPr>
        <w:t>F</w:t>
      </w:r>
      <w:r w:rsidRPr="005F63EB">
        <w:rPr>
          <w:rFonts w:asciiTheme="majorBidi" w:hAnsiTheme="majorBidi" w:cstheme="majorBidi"/>
          <w:color w:val="1F497D" w:themeColor="text2"/>
          <w:szCs w:val="24"/>
        </w:rPr>
        <w:t>ig. 1</w:t>
      </w:r>
      <w:r w:rsidR="00225435" w:rsidRPr="00225435">
        <w:rPr>
          <w:rFonts w:cs="Times New Roman"/>
          <w:color w:val="FF0000"/>
          <w:szCs w:val="24"/>
        </w:rPr>
        <w:t>(</w:t>
      </w:r>
      <w:proofErr w:type="spellStart"/>
      <w:r w:rsidR="00225435" w:rsidRPr="00225435">
        <w:rPr>
          <w:color w:val="FF0000"/>
        </w:rPr>
        <w:t>Jafarinejad</w:t>
      </w:r>
      <w:proofErr w:type="spellEnd"/>
      <w:r w:rsidR="00225435" w:rsidRPr="00225435">
        <w:rPr>
          <w:rFonts w:cs="Times New Roman"/>
          <w:color w:val="FF0000"/>
          <w:szCs w:val="24"/>
        </w:rPr>
        <w:t xml:space="preserve"> 2015, </w:t>
      </w:r>
      <w:r w:rsidR="00225435" w:rsidRPr="00225435">
        <w:rPr>
          <w:color w:val="FF0000"/>
        </w:rPr>
        <w:t>U.S.E.P. Agency 1997)</w:t>
      </w:r>
      <w:r w:rsidR="00DB155D">
        <w:rPr>
          <w:rFonts w:cs="Times New Roman"/>
          <w:color w:val="1F497D" w:themeColor="text2"/>
          <w:szCs w:val="24"/>
        </w:rPr>
        <w:t>.</w:t>
      </w:r>
    </w:p>
    <w:p w:rsidR="0030774C" w:rsidRPr="00C0694E" w:rsidRDefault="0030774C" w:rsidP="0030774C">
      <w:pPr>
        <w:spacing w:after="0"/>
        <w:ind w:firstLine="540"/>
        <w:rPr>
          <w:rFonts w:cs="Times New Roman"/>
          <w:szCs w:val="24"/>
        </w:rPr>
      </w:pPr>
    </w:p>
    <w:p w:rsidR="001E483C" w:rsidRDefault="001E483C" w:rsidP="007333F0">
      <w:pPr>
        <w:spacing w:after="0"/>
        <w:ind w:firstLine="0"/>
        <w:rPr>
          <w:rFonts w:cs="Times New Roman"/>
          <w:szCs w:val="24"/>
        </w:rPr>
      </w:pPr>
    </w:p>
    <w:p w:rsidR="00DB155D" w:rsidRDefault="00DB155D" w:rsidP="007333F0">
      <w:pPr>
        <w:spacing w:after="0"/>
        <w:ind w:firstLine="0"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/>
          <w:noProof/>
          <w:lang w:bidi="fa-IR"/>
        </w:rPr>
        <w:drawing>
          <wp:inline distT="0" distB="0" distL="0" distR="0" wp14:anchorId="2623C993" wp14:editId="45F8CC77">
            <wp:extent cx="2419350" cy="1866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83C" w:rsidRPr="00225435" w:rsidRDefault="00C0694E" w:rsidP="00225435">
      <w:pPr>
        <w:spacing w:after="0"/>
        <w:ind w:firstLine="0"/>
        <w:jc w:val="center"/>
        <w:rPr>
          <w:rFonts w:cs="Times New Roman"/>
          <w:color w:val="FF0000"/>
          <w:szCs w:val="24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Fig. 1: </w:t>
      </w:r>
      <w:r>
        <w:rPr>
          <w:rFonts w:asciiTheme="majorBidi" w:hAnsiTheme="majorBidi" w:cstheme="majorBidi"/>
          <w:b/>
          <w:bCs/>
          <w:color w:val="000000"/>
          <w:sz w:val="20"/>
          <w:szCs w:val="20"/>
        </w:rPr>
        <w:t>Molecular</w:t>
      </w:r>
      <w:r>
        <w:rPr>
          <w:rFonts w:asciiTheme="majorBidi" w:hAnsiTheme="majorBidi" w:cstheme="majorBidi"/>
          <w:b/>
          <w:bCs/>
          <w:color w:val="000000"/>
          <w:sz w:val="12"/>
          <w:szCs w:val="12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structure of PQ</w:t>
      </w:r>
      <w:r w:rsidR="00A92F4F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225435" w:rsidRPr="00225435">
        <w:rPr>
          <w:rFonts w:cs="Times New Roman"/>
          <w:color w:val="FF0000"/>
          <w:szCs w:val="24"/>
        </w:rPr>
        <w:t>(</w:t>
      </w:r>
      <w:r w:rsidR="00225435" w:rsidRPr="00225435">
        <w:rPr>
          <w:color w:val="FF0000"/>
        </w:rPr>
        <w:t>Watts</w:t>
      </w:r>
      <w:r w:rsidR="00225435" w:rsidRPr="00225435">
        <w:rPr>
          <w:rFonts w:cs="Times New Roman"/>
          <w:color w:val="FF0000"/>
          <w:szCs w:val="24"/>
        </w:rPr>
        <w:t xml:space="preserve"> 2011)</w:t>
      </w:r>
    </w:p>
    <w:p w:rsidR="001E483C" w:rsidRDefault="001E483C" w:rsidP="007333F0">
      <w:pPr>
        <w:ind w:firstLine="0"/>
        <w:jc w:val="both"/>
        <w:rPr>
          <w:b/>
          <w:bCs/>
        </w:rPr>
      </w:pPr>
    </w:p>
    <w:p w:rsidR="003E3604" w:rsidRPr="007333F0" w:rsidRDefault="003E3604" w:rsidP="007333F0">
      <w:pPr>
        <w:pStyle w:val="Heading2"/>
        <w:numPr>
          <w:ilvl w:val="0"/>
          <w:numId w:val="0"/>
        </w:numPr>
        <w:jc w:val="both"/>
        <w:rPr>
          <w:rFonts w:asciiTheme="majorBidi" w:hAnsiTheme="majorBidi"/>
          <w:color w:val="auto"/>
          <w:sz w:val="24"/>
          <w:szCs w:val="24"/>
        </w:rPr>
      </w:pPr>
      <w:r w:rsidRPr="007333F0">
        <w:rPr>
          <w:rFonts w:asciiTheme="majorBidi" w:hAnsiTheme="majorBidi"/>
          <w:color w:val="auto"/>
          <w:sz w:val="24"/>
          <w:szCs w:val="24"/>
        </w:rPr>
        <w:t>2. Characterization of the TiO</w:t>
      </w:r>
      <w:r w:rsidRPr="007333F0">
        <w:rPr>
          <w:rFonts w:asciiTheme="majorBidi" w:hAnsiTheme="majorBidi"/>
          <w:color w:val="auto"/>
          <w:sz w:val="24"/>
          <w:szCs w:val="24"/>
          <w:vertAlign w:val="subscript"/>
        </w:rPr>
        <w:t>2</w:t>
      </w:r>
      <w:r w:rsidRPr="007333F0">
        <w:rPr>
          <w:rFonts w:asciiTheme="majorBidi" w:hAnsiTheme="majorBidi"/>
          <w:color w:val="auto"/>
          <w:sz w:val="24"/>
          <w:szCs w:val="24"/>
        </w:rPr>
        <w:t xml:space="preserve"> nanoparticles</w:t>
      </w:r>
    </w:p>
    <w:p w:rsidR="003E3604" w:rsidRDefault="003E3604" w:rsidP="005D714F">
      <w:pPr>
        <w:ind w:firstLine="540"/>
        <w:jc w:val="both"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color w:val="000000" w:themeColor="text1"/>
          <w:szCs w:val="24"/>
        </w:rPr>
        <w:t xml:space="preserve">The </w:t>
      </w:r>
      <w:r>
        <w:rPr>
          <w:rFonts w:asciiTheme="majorBidi" w:hAnsiTheme="majorBidi" w:cstheme="majorBidi"/>
          <w:szCs w:val="24"/>
        </w:rPr>
        <w:t>TiO</w:t>
      </w:r>
      <w:r>
        <w:rPr>
          <w:rFonts w:asciiTheme="majorBidi" w:hAnsiTheme="majorBidi" w:cstheme="majorBidi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vertAlign w:val="subscript"/>
        </w:rPr>
        <w:t xml:space="preserve"> </w:t>
      </w:r>
      <w:r>
        <w:rPr>
          <w:rFonts w:asciiTheme="majorBidi" w:hAnsiTheme="majorBidi" w:cstheme="majorBidi"/>
          <w:szCs w:val="24"/>
        </w:rPr>
        <w:t>particles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were characterized using TEM and XRD analyses. TEM analysis was performed that the relevant image has been demonstrated in the </w:t>
      </w:r>
      <w:r w:rsidR="00BE5F3E" w:rsidRPr="005F63EB">
        <w:rPr>
          <w:rFonts w:asciiTheme="majorBidi" w:hAnsiTheme="majorBidi" w:cstheme="majorBidi"/>
          <w:color w:val="1F497D" w:themeColor="text2"/>
          <w:szCs w:val="24"/>
        </w:rPr>
        <w:t>Fig</w:t>
      </w:r>
      <w:r w:rsidRPr="005F63EB">
        <w:rPr>
          <w:rFonts w:asciiTheme="majorBidi" w:hAnsiTheme="majorBidi" w:cstheme="majorBidi"/>
          <w:color w:val="1F497D" w:themeColor="text2"/>
          <w:szCs w:val="24"/>
        </w:rPr>
        <w:t>. 2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. It reveals a widespread size distribution in the range of 10–25 nm. </w:t>
      </w:r>
    </w:p>
    <w:p w:rsidR="00BE5F3E" w:rsidRDefault="00BE5F3E" w:rsidP="007333F0">
      <w:pPr>
        <w:spacing w:line="240" w:lineRule="auto"/>
        <w:ind w:firstLine="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noProof/>
          <w:lang w:bidi="fa-IR"/>
        </w:rPr>
        <w:drawing>
          <wp:inline distT="0" distB="0" distL="0" distR="0" wp14:anchorId="74C8D6AE" wp14:editId="57E0CF2A">
            <wp:extent cx="2152650" cy="1752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94E" w:rsidRDefault="00C0694E" w:rsidP="007333F0">
      <w:pPr>
        <w:spacing w:line="240" w:lineRule="auto"/>
        <w:ind w:firstLine="0"/>
        <w:jc w:val="center"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lastRenderedPageBreak/>
        <w:t>Fig. 2: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TEM image of the TiO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nanoparticles</w:t>
      </w:r>
    </w:p>
    <w:p w:rsidR="00C0694E" w:rsidRDefault="00C0694E" w:rsidP="007333F0">
      <w:pPr>
        <w:ind w:firstLine="0"/>
        <w:jc w:val="center"/>
        <w:rPr>
          <w:rFonts w:asciiTheme="majorBidi" w:hAnsiTheme="majorBidi" w:cstheme="majorBidi"/>
          <w:color w:val="000000" w:themeColor="text1"/>
          <w:szCs w:val="24"/>
        </w:rPr>
      </w:pPr>
    </w:p>
    <w:p w:rsidR="003E3604" w:rsidRDefault="003E3604" w:rsidP="005D714F">
      <w:pPr>
        <w:ind w:firstLine="540"/>
        <w:jc w:val="both"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color w:val="000000" w:themeColor="text1"/>
          <w:szCs w:val="24"/>
        </w:rPr>
        <w:t xml:space="preserve">The crystal phase </w:t>
      </w:r>
      <w:r>
        <w:rPr>
          <w:rFonts w:asciiTheme="majorBidi" w:hAnsiTheme="majorBidi" w:cstheme="majorBidi"/>
          <w:szCs w:val="24"/>
        </w:rPr>
        <w:t>TiO</w:t>
      </w:r>
      <w:r>
        <w:rPr>
          <w:rFonts w:asciiTheme="majorBidi" w:hAnsiTheme="majorBidi" w:cstheme="majorBidi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vertAlign w:val="subscript"/>
        </w:rPr>
        <w:t xml:space="preserve"> </w:t>
      </w:r>
      <w:r>
        <w:rPr>
          <w:rFonts w:asciiTheme="majorBidi" w:hAnsiTheme="majorBidi" w:cstheme="majorBidi"/>
          <w:szCs w:val="24"/>
        </w:rPr>
        <w:t>nanoparticles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were examined by XRD pattern. </w:t>
      </w:r>
      <w:r w:rsidRPr="005F63EB">
        <w:rPr>
          <w:rFonts w:asciiTheme="majorBidi" w:hAnsiTheme="majorBidi" w:cstheme="majorBidi"/>
          <w:color w:val="1F497D" w:themeColor="text2"/>
          <w:szCs w:val="24"/>
        </w:rPr>
        <w:t>Fig. 3</w:t>
      </w:r>
      <w:r>
        <w:rPr>
          <w:rFonts w:asciiTheme="majorBidi" w:hAnsiTheme="majorBidi" w:cstheme="majorBidi"/>
          <w:color w:val="0070C0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shows XRD pattern of the synthesized nanoparticles in comparison with the </w:t>
      </w:r>
      <w:proofErr w:type="spellStart"/>
      <w:r>
        <w:rPr>
          <w:rFonts w:asciiTheme="majorBidi" w:hAnsiTheme="majorBidi" w:cstheme="majorBidi"/>
          <w:color w:val="000000" w:themeColor="text1"/>
          <w:szCs w:val="24"/>
        </w:rPr>
        <w:t>anatase</w:t>
      </w:r>
      <w:proofErr w:type="spellEnd"/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Cs w:val="24"/>
        </w:rPr>
        <w:t>Titania</w:t>
      </w:r>
      <w:proofErr w:type="spellEnd"/>
      <w:r>
        <w:rPr>
          <w:rFonts w:asciiTheme="majorBidi" w:hAnsiTheme="majorBidi" w:cstheme="majorBidi"/>
          <w:color w:val="000000" w:themeColor="text1"/>
          <w:szCs w:val="24"/>
        </w:rPr>
        <w:t xml:space="preserve"> pattern. Formation of the </w:t>
      </w:r>
      <w:r>
        <w:rPr>
          <w:rFonts w:asciiTheme="majorBidi" w:hAnsiTheme="majorBidi" w:cstheme="majorBidi"/>
          <w:szCs w:val="24"/>
        </w:rPr>
        <w:t>TiO</w:t>
      </w:r>
      <w:r>
        <w:rPr>
          <w:rFonts w:asciiTheme="majorBidi" w:hAnsiTheme="majorBidi" w:cstheme="majorBidi"/>
          <w:szCs w:val="24"/>
          <w:vertAlign w:val="subscript"/>
        </w:rPr>
        <w:t>2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is confirmed via good accordance of the XRD pattern with the </w:t>
      </w:r>
      <w:proofErr w:type="spellStart"/>
      <w:r>
        <w:rPr>
          <w:rFonts w:asciiTheme="majorBidi" w:hAnsiTheme="majorBidi" w:cstheme="majorBidi"/>
          <w:color w:val="000000" w:themeColor="text1"/>
          <w:szCs w:val="24"/>
        </w:rPr>
        <w:t>anatase</w:t>
      </w:r>
      <w:proofErr w:type="spellEnd"/>
      <w:r>
        <w:rPr>
          <w:rFonts w:asciiTheme="majorBidi" w:hAnsiTheme="majorBidi" w:cstheme="majorBidi"/>
          <w:color w:val="000000" w:themeColor="text1"/>
          <w:szCs w:val="24"/>
        </w:rPr>
        <w:t xml:space="preserve"> (Reference code: 01-073-1764) cases. </w:t>
      </w:r>
    </w:p>
    <w:p w:rsidR="00007804" w:rsidRDefault="00007804" w:rsidP="007333F0">
      <w:pPr>
        <w:ind w:firstLine="0"/>
        <w:jc w:val="both"/>
        <w:rPr>
          <w:rFonts w:asciiTheme="majorBidi" w:hAnsiTheme="majorBidi" w:cstheme="majorBidi"/>
          <w:color w:val="000000" w:themeColor="text1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6"/>
      </w:tblGrid>
      <w:tr w:rsidR="003E3604" w:rsidTr="00C0694E">
        <w:tc>
          <w:tcPr>
            <w:tcW w:w="9246" w:type="dxa"/>
            <w:hideMark/>
          </w:tcPr>
          <w:p w:rsidR="003E3604" w:rsidRDefault="003E3604" w:rsidP="007333F0">
            <w:pPr>
              <w:ind w:firstLine="0"/>
              <w:jc w:val="center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noProof/>
                <w:lang w:bidi="fa-IR"/>
              </w:rPr>
              <w:drawing>
                <wp:inline distT="0" distB="0" distL="0" distR="0" wp14:anchorId="66786522" wp14:editId="33CCB241">
                  <wp:extent cx="5724525" cy="37147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4525" cy="3714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7804" w:rsidRPr="005D714F" w:rsidRDefault="00C0694E" w:rsidP="007333F0">
      <w:pPr>
        <w:pStyle w:val="Heading1"/>
        <w:numPr>
          <w:ilvl w:val="0"/>
          <w:numId w:val="0"/>
        </w:numPr>
        <w:jc w:val="center"/>
      </w:pPr>
      <w:r w:rsidRPr="005D714F">
        <w:rPr>
          <w:rFonts w:asciiTheme="majorBidi" w:hAnsiTheme="majorBidi"/>
          <w:sz w:val="20"/>
          <w:szCs w:val="20"/>
        </w:rPr>
        <w:t xml:space="preserve">Fig 3: XRD pattern of the nanoparticles </w:t>
      </w:r>
      <w:proofErr w:type="spellStart"/>
      <w:r w:rsidRPr="005D714F">
        <w:rPr>
          <w:rFonts w:asciiTheme="majorBidi" w:hAnsiTheme="majorBidi"/>
          <w:sz w:val="20"/>
          <w:szCs w:val="20"/>
        </w:rPr>
        <w:t>anatase</w:t>
      </w:r>
      <w:proofErr w:type="spellEnd"/>
      <w:r w:rsidRPr="005D714F">
        <w:rPr>
          <w:rFonts w:asciiTheme="majorBidi" w:hAnsiTheme="majorBidi"/>
          <w:sz w:val="20"/>
          <w:szCs w:val="20"/>
        </w:rPr>
        <w:t xml:space="preserve"> TiO</w:t>
      </w:r>
      <w:r w:rsidRPr="005D714F">
        <w:rPr>
          <w:rFonts w:asciiTheme="majorBidi" w:hAnsiTheme="majorBidi"/>
          <w:sz w:val="20"/>
          <w:szCs w:val="20"/>
          <w:vertAlign w:val="subscript"/>
        </w:rPr>
        <w:t>2</w:t>
      </w:r>
    </w:p>
    <w:p w:rsidR="00C0694E" w:rsidRPr="005D714F" w:rsidRDefault="00C0694E" w:rsidP="007333F0">
      <w:pPr>
        <w:ind w:firstLine="0"/>
        <w:rPr>
          <w:b/>
          <w:bCs/>
        </w:rPr>
      </w:pPr>
    </w:p>
    <w:p w:rsidR="00C0694E" w:rsidRPr="00F325C2" w:rsidRDefault="007333F0" w:rsidP="007333F0">
      <w:pPr>
        <w:ind w:firstLine="0"/>
        <w:rPr>
          <w:b/>
          <w:bCs/>
        </w:rPr>
      </w:pPr>
      <w:r w:rsidRPr="007333F0">
        <w:rPr>
          <w:b/>
          <w:bCs/>
        </w:rPr>
        <w:t xml:space="preserve">3. </w:t>
      </w:r>
      <w:r w:rsidR="00F325C2" w:rsidRPr="0052634D">
        <w:rPr>
          <w:b/>
          <w:bCs/>
        </w:rPr>
        <w:t>Mineralization</w:t>
      </w:r>
      <w:r w:rsidR="00F325C2">
        <w:rPr>
          <w:b/>
          <w:bCs/>
        </w:rPr>
        <w:t xml:space="preserve"> </w:t>
      </w:r>
      <w:r w:rsidR="00F325C2" w:rsidRPr="00F325C2">
        <w:rPr>
          <w:rFonts w:asciiTheme="majorBidi" w:hAnsiTheme="majorBidi" w:cstheme="majorBidi"/>
          <w:b/>
          <w:bCs/>
          <w:color w:val="000000"/>
          <w:szCs w:val="24"/>
        </w:rPr>
        <w:t>study</w:t>
      </w:r>
    </w:p>
    <w:p w:rsidR="00BE5F3E" w:rsidRPr="007333F0" w:rsidRDefault="00402503" w:rsidP="005D714F">
      <w:pPr>
        <w:ind w:firstLine="630"/>
        <w:rPr>
          <w:b/>
          <w:bCs/>
        </w:rPr>
      </w:pPr>
      <w:r>
        <w:rPr>
          <w:rFonts w:asciiTheme="majorBidi" w:hAnsiTheme="majorBidi" w:cstheme="majorBidi"/>
          <w:color w:val="000000" w:themeColor="text1"/>
          <w:szCs w:val="24"/>
        </w:rPr>
        <w:lastRenderedPageBreak/>
        <w:t>T</w:t>
      </w:r>
      <w:r w:rsidR="00BE5F3E" w:rsidRPr="0052634D">
        <w:rPr>
          <w:rFonts w:asciiTheme="majorBidi" w:hAnsiTheme="majorBidi" w:cstheme="majorBidi"/>
          <w:color w:val="000000" w:themeColor="text1"/>
          <w:szCs w:val="24"/>
        </w:rPr>
        <w:t xml:space="preserve">o investigate the mineralization, total organic carbon (TOC) test should be </w:t>
      </w:r>
      <w:r w:rsidR="00BE5F3E">
        <w:rPr>
          <w:rFonts w:asciiTheme="majorBidi" w:hAnsiTheme="majorBidi" w:cstheme="majorBidi"/>
          <w:color w:val="000000" w:themeColor="text1"/>
          <w:szCs w:val="24"/>
        </w:rPr>
        <w:t>used</w:t>
      </w:r>
      <w:r w:rsidR="00BE5F3E" w:rsidRPr="0052634D">
        <w:rPr>
          <w:rFonts w:asciiTheme="majorBidi" w:hAnsiTheme="majorBidi" w:cstheme="majorBidi"/>
          <w:color w:val="000000" w:themeColor="text1"/>
          <w:szCs w:val="24"/>
        </w:rPr>
        <w:t>. This test was performed on the treated P</w:t>
      </w:r>
      <w:r w:rsidR="00BE5F3E">
        <w:rPr>
          <w:rFonts w:asciiTheme="majorBidi" w:hAnsiTheme="majorBidi" w:cstheme="majorBidi"/>
          <w:color w:val="000000" w:themeColor="text1"/>
          <w:szCs w:val="24"/>
        </w:rPr>
        <w:t>Q</w:t>
      </w:r>
      <w:r w:rsidR="00BE5F3E" w:rsidRPr="0052634D">
        <w:rPr>
          <w:rFonts w:asciiTheme="majorBidi" w:hAnsiTheme="majorBidi" w:cstheme="majorBidi"/>
          <w:color w:val="000000" w:themeColor="text1"/>
          <w:szCs w:val="24"/>
        </w:rPr>
        <w:t xml:space="preserve"> solution by the </w:t>
      </w:r>
      <w:proofErr w:type="spellStart"/>
      <w:r w:rsidR="00BE5F3E" w:rsidRPr="0052634D">
        <w:rPr>
          <w:rFonts w:asciiTheme="majorBidi" w:hAnsiTheme="majorBidi" w:cstheme="majorBidi"/>
          <w:color w:val="000000" w:themeColor="text1"/>
          <w:szCs w:val="24"/>
        </w:rPr>
        <w:t>photocatalytic</w:t>
      </w:r>
      <w:proofErr w:type="spellEnd"/>
      <w:r>
        <w:rPr>
          <w:rFonts w:asciiTheme="majorBidi" w:hAnsiTheme="majorBidi" w:cstheme="majorBidi"/>
          <w:color w:val="000000" w:themeColor="text1"/>
          <w:szCs w:val="24"/>
        </w:rPr>
        <w:t xml:space="preserve"> processes. </w:t>
      </w:r>
      <w:r w:rsidR="00177525">
        <w:rPr>
          <w:rFonts w:asciiTheme="majorBidi" w:hAnsiTheme="majorBidi" w:cstheme="majorBidi"/>
          <w:color w:val="000000"/>
          <w:szCs w:val="24"/>
        </w:rPr>
        <w:t xml:space="preserve">So, results of </w:t>
      </w:r>
      <w:r w:rsidR="00177525" w:rsidRPr="004C2A73">
        <w:rPr>
          <w:rFonts w:asciiTheme="majorBidi" w:hAnsiTheme="majorBidi" w:cstheme="majorBidi"/>
          <w:color w:val="000000"/>
          <w:szCs w:val="24"/>
        </w:rPr>
        <w:t xml:space="preserve">measuring the TOC </w:t>
      </w:r>
      <w:r w:rsidR="00177525">
        <w:rPr>
          <w:rFonts w:asciiTheme="majorBidi" w:hAnsiTheme="majorBidi" w:cstheme="majorBidi"/>
          <w:color w:val="000000"/>
          <w:szCs w:val="24"/>
        </w:rPr>
        <w:t xml:space="preserve">analysis </w:t>
      </w:r>
      <w:r w:rsidR="00177525" w:rsidRPr="004C2A73">
        <w:rPr>
          <w:rFonts w:asciiTheme="majorBidi" w:hAnsiTheme="majorBidi" w:cstheme="majorBidi"/>
          <w:color w:val="000000"/>
          <w:szCs w:val="24"/>
        </w:rPr>
        <w:t>of the samples</w:t>
      </w:r>
      <w:r w:rsidR="00177525">
        <w:rPr>
          <w:rFonts w:asciiTheme="majorBidi" w:hAnsiTheme="majorBidi" w:cstheme="majorBidi"/>
          <w:color w:val="000000" w:themeColor="text1"/>
          <w:szCs w:val="24"/>
        </w:rPr>
        <w:t xml:space="preserve"> were </w:t>
      </w:r>
      <w:r w:rsidR="00177525" w:rsidRPr="00177525">
        <w:rPr>
          <w:rFonts w:asciiTheme="majorBidi" w:hAnsiTheme="majorBidi" w:cstheme="majorBidi"/>
          <w:szCs w:val="24"/>
        </w:rPr>
        <w:t>compared</w:t>
      </w:r>
      <w:r w:rsidR="00177525" w:rsidRPr="005D714F">
        <w:rPr>
          <w:rFonts w:asciiTheme="majorBidi" w:hAnsiTheme="majorBidi" w:cstheme="majorBidi"/>
          <w:szCs w:val="24"/>
        </w:rPr>
        <w:t xml:space="preserve"> with</w:t>
      </w:r>
      <w:r w:rsidR="00177525" w:rsidRPr="005D714F">
        <w:rPr>
          <w:rFonts w:asciiTheme="majorBidi" w:hAnsiTheme="majorBidi" w:cstheme="majorBidi"/>
          <w:color w:val="000000" w:themeColor="text1"/>
          <w:sz w:val="22"/>
        </w:rPr>
        <w:t xml:space="preserve"> </w:t>
      </w:r>
      <w:r w:rsidR="00177525" w:rsidRPr="004C2A73">
        <w:rPr>
          <w:rFonts w:asciiTheme="majorBidi" w:hAnsiTheme="majorBidi" w:cstheme="majorBidi"/>
          <w:color w:val="000000"/>
          <w:szCs w:val="24"/>
        </w:rPr>
        <w:t>measuring the TOC</w:t>
      </w:r>
      <w:r>
        <w:rPr>
          <w:rFonts w:asciiTheme="majorBidi" w:hAnsiTheme="majorBidi" w:cstheme="majorBidi"/>
          <w:noProof/>
          <w:color w:val="000000" w:themeColor="text1"/>
          <w:szCs w:val="24"/>
        </w:rPr>
        <w:t xml:space="preserve"> </w:t>
      </w:r>
      <w:r w:rsidR="00177525">
        <w:rPr>
          <w:rFonts w:asciiTheme="majorBidi" w:hAnsiTheme="majorBidi" w:cstheme="majorBidi"/>
          <w:noProof/>
          <w:color w:val="000000" w:themeColor="text1"/>
          <w:szCs w:val="24"/>
        </w:rPr>
        <w:t>graph of</w:t>
      </w:r>
      <w:r>
        <w:rPr>
          <w:rFonts w:asciiTheme="majorBidi" w:hAnsiTheme="majorBidi" w:cstheme="majorBidi"/>
          <w:noProof/>
          <w:color w:val="000000" w:themeColor="text1"/>
          <w:szCs w:val="24"/>
        </w:rPr>
        <w:t xml:space="preserve"> </w:t>
      </w:r>
      <w:r w:rsidRPr="005927AF">
        <w:rPr>
          <w:rFonts w:asciiTheme="majorBidi" w:hAnsiTheme="majorBidi" w:cstheme="majorBidi"/>
          <w:noProof/>
          <w:color w:val="000000" w:themeColor="text1"/>
          <w:szCs w:val="24"/>
        </w:rPr>
        <w:t xml:space="preserve">the PQ initial concentration </w:t>
      </w:r>
      <w:proofErr w:type="gramStart"/>
      <w:r w:rsidR="00177525">
        <w:rPr>
          <w:rFonts w:asciiTheme="majorBidi" w:hAnsiTheme="majorBidi" w:cstheme="majorBidi"/>
          <w:noProof/>
          <w:color w:val="000000" w:themeColor="text1"/>
          <w:szCs w:val="24"/>
        </w:rPr>
        <w:t>(</w:t>
      </w:r>
      <w:r w:rsidRPr="005927AF">
        <w:rPr>
          <w:rFonts w:asciiTheme="majorBidi" w:hAnsiTheme="majorBidi" w:cstheme="majorBidi"/>
          <w:noProof/>
          <w:color w:val="000000" w:themeColor="text1"/>
          <w:szCs w:val="24"/>
        </w:rPr>
        <w:t>30 mgL</w:t>
      </w:r>
      <w:r w:rsidRPr="005927AF">
        <w:rPr>
          <w:rFonts w:asciiTheme="majorBidi" w:hAnsiTheme="majorBidi" w:cstheme="majorBidi"/>
          <w:noProof/>
          <w:color w:val="000000" w:themeColor="text1"/>
          <w:szCs w:val="24"/>
          <w:vertAlign w:val="superscript"/>
        </w:rPr>
        <w:t>-1</w:t>
      </w:r>
      <w:r w:rsidR="00177525">
        <w:rPr>
          <w:rFonts w:asciiTheme="majorBidi" w:hAnsiTheme="majorBidi" w:cstheme="majorBidi"/>
          <w:color w:val="000000" w:themeColor="text1"/>
          <w:szCs w:val="24"/>
        </w:rPr>
        <w:t>)</w:t>
      </w:r>
      <w:proofErr w:type="gramEnd"/>
      <w:r w:rsidR="00177525">
        <w:rPr>
          <w:rFonts w:asciiTheme="majorBidi" w:hAnsiTheme="majorBidi" w:cstheme="majorBidi"/>
          <w:color w:val="000000" w:themeColor="text1"/>
          <w:szCs w:val="24"/>
        </w:rPr>
        <w:t xml:space="preserve"> that it</w:t>
      </w:r>
      <w:r w:rsidR="00BE5F3E" w:rsidRPr="0052634D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Cs w:val="24"/>
        </w:rPr>
        <w:t>is shown</w:t>
      </w:r>
      <w:r w:rsidR="00177525">
        <w:rPr>
          <w:rFonts w:asciiTheme="majorBidi" w:hAnsiTheme="majorBidi" w:cstheme="majorBidi"/>
          <w:color w:val="000000" w:themeColor="text1"/>
          <w:szCs w:val="24"/>
        </w:rPr>
        <w:t xml:space="preserve"> in </w:t>
      </w:r>
      <w:r w:rsidR="005D714F">
        <w:rPr>
          <w:rFonts w:asciiTheme="majorBidi" w:hAnsiTheme="majorBidi" w:cstheme="majorBidi"/>
          <w:color w:val="000000" w:themeColor="text1"/>
          <w:szCs w:val="24"/>
        </w:rPr>
        <w:t>Fig. 6.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</w:p>
    <w:p w:rsidR="005D714F" w:rsidRDefault="005D714F" w:rsidP="005D714F">
      <w:pPr>
        <w:spacing w:line="240" w:lineRule="auto"/>
        <w:ind w:firstLine="0"/>
        <w:jc w:val="center"/>
      </w:pPr>
      <w:r>
        <w:rPr>
          <w:noProof/>
          <w:lang w:bidi="fa-IR"/>
        </w:rPr>
        <w:drawing>
          <wp:inline distT="0" distB="0" distL="0" distR="0" wp14:anchorId="4EDF267A" wp14:editId="61D3FF5E">
            <wp:extent cx="3019425" cy="15621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4" t="40758" r="57767" b="36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804" w:rsidRDefault="005D714F" w:rsidP="005D714F">
      <w:pPr>
        <w:spacing w:line="240" w:lineRule="auto"/>
        <w:ind w:firstLine="0"/>
        <w:jc w:val="center"/>
      </w:pPr>
      <w:r>
        <w:rPr>
          <w:rFonts w:asciiTheme="majorBidi" w:hAnsiTheme="majorBidi" w:cstheme="majorBidi"/>
          <w:b/>
          <w:bCs/>
          <w:sz w:val="20"/>
          <w:szCs w:val="20"/>
        </w:rPr>
        <w:t>Fig.6: TOC graph of [PQ</w:t>
      </w:r>
      <w:proofErr w:type="gramStart"/>
      <w:r>
        <w:rPr>
          <w:rFonts w:asciiTheme="majorBidi" w:hAnsiTheme="majorBidi" w:cstheme="majorBidi"/>
          <w:b/>
          <w:bCs/>
          <w:sz w:val="20"/>
          <w:szCs w:val="20"/>
        </w:rPr>
        <w:t>]=</w:t>
      </w:r>
      <w:proofErr w:type="gramEnd"/>
      <w:r>
        <w:rPr>
          <w:rFonts w:asciiTheme="majorBidi" w:hAnsiTheme="majorBidi" w:cstheme="majorBidi"/>
          <w:b/>
          <w:bCs/>
          <w:sz w:val="20"/>
          <w:szCs w:val="20"/>
        </w:rPr>
        <w:t xml:space="preserve"> 30 mgL</w:t>
      </w:r>
      <w:r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-1</w:t>
      </w:r>
    </w:p>
    <w:p w:rsidR="005D714F" w:rsidRDefault="005D714F" w:rsidP="00DB155D">
      <w:pPr>
        <w:ind w:firstLine="0"/>
        <w:rPr>
          <w:b/>
          <w:bCs/>
        </w:rPr>
      </w:pPr>
    </w:p>
    <w:p w:rsidR="007333F0" w:rsidRDefault="007333F0" w:rsidP="00DB155D">
      <w:pPr>
        <w:ind w:firstLine="0"/>
        <w:rPr>
          <w:rFonts w:asciiTheme="majorBidi" w:hAnsiTheme="majorBidi" w:cstheme="majorBidi"/>
          <w:b/>
          <w:bCs/>
          <w:color w:val="000000" w:themeColor="text1"/>
          <w:szCs w:val="24"/>
          <w:rtl/>
        </w:rPr>
      </w:pPr>
      <w:r w:rsidRPr="004E178D">
        <w:rPr>
          <w:b/>
          <w:bCs/>
        </w:rPr>
        <w:t xml:space="preserve">4. </w:t>
      </w:r>
      <w:r w:rsidR="00DB155D">
        <w:rPr>
          <w:b/>
          <w:bCs/>
        </w:rPr>
        <w:t xml:space="preserve">Evaluation of model adequacy by </w:t>
      </w:r>
      <w:r w:rsidR="00DB155D">
        <w:rPr>
          <w:rFonts w:asciiTheme="majorBidi" w:hAnsiTheme="majorBidi" w:cstheme="majorBidi"/>
          <w:b/>
          <w:bCs/>
          <w:color w:val="000000" w:themeColor="text1"/>
          <w:szCs w:val="24"/>
        </w:rPr>
        <w:t>d</w:t>
      </w:r>
      <w:r w:rsidR="004E178D" w:rsidRPr="004E178D">
        <w:rPr>
          <w:rFonts w:asciiTheme="majorBidi" w:hAnsiTheme="majorBidi" w:cstheme="majorBidi"/>
          <w:b/>
          <w:bCs/>
          <w:color w:val="000000" w:themeColor="text1"/>
          <w:szCs w:val="24"/>
        </w:rPr>
        <w:t>iagnostic plots</w:t>
      </w:r>
      <w:r w:rsidR="00DB155D">
        <w:rPr>
          <w:rFonts w:asciiTheme="majorBidi" w:hAnsiTheme="majorBidi" w:cstheme="majorBidi"/>
          <w:b/>
          <w:bCs/>
          <w:color w:val="000000" w:themeColor="text1"/>
          <w:szCs w:val="24"/>
        </w:rPr>
        <w:t xml:space="preserve"> </w:t>
      </w:r>
    </w:p>
    <w:p w:rsidR="00DB155D" w:rsidRDefault="00DB155D" w:rsidP="00CF6960">
      <w:pPr>
        <w:autoSpaceDE w:val="0"/>
        <w:autoSpaceDN w:val="0"/>
        <w:adjustRightInd w:val="0"/>
        <w:spacing w:after="0"/>
        <w:ind w:left="90" w:firstLine="342"/>
      </w:pPr>
      <w:r w:rsidRPr="000624F9">
        <w:rPr>
          <w:rFonts w:eastAsia="Malgun Gothic" w:cs="Times New Roman"/>
          <w:color w:val="000000" w:themeColor="text1"/>
          <w:szCs w:val="24"/>
        </w:rPr>
        <w:t xml:space="preserve">To </w:t>
      </w:r>
      <w:r w:rsidRPr="000624F9">
        <w:rPr>
          <w:rFonts w:eastAsia="Malgun Gothic" w:cs="Times New Roman" w:hint="eastAsia"/>
          <w:color w:val="000000" w:themeColor="text1"/>
          <w:szCs w:val="24"/>
        </w:rPr>
        <w:t>evaluat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e </w:t>
      </w:r>
      <w:r w:rsidRPr="000624F9">
        <w:rPr>
          <w:rFonts w:eastAsia="Malgun Gothic" w:cs="Times New Roman" w:hint="eastAsia"/>
          <w:color w:val="000000" w:themeColor="text1"/>
          <w:szCs w:val="24"/>
        </w:rPr>
        <w:t>the adequacy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 </w:t>
      </w:r>
      <w:r w:rsidRPr="000624F9">
        <w:rPr>
          <w:rFonts w:eastAsia="Malgun Gothic" w:cs="Times New Roman" w:hint="eastAsia"/>
          <w:color w:val="000000" w:themeColor="text1"/>
          <w:szCs w:val="24"/>
        </w:rPr>
        <w:t>o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f </w:t>
      </w:r>
      <w:r w:rsidRPr="000624F9">
        <w:rPr>
          <w:rFonts w:eastAsia="Malgun Gothic" w:cs="Times New Roman" w:hint="eastAsia"/>
          <w:color w:val="000000" w:themeColor="text1"/>
          <w:szCs w:val="24"/>
        </w:rPr>
        <w:t xml:space="preserve">the model graphically, 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diagnostic plots </w:t>
      </w:r>
      <w:r w:rsidRPr="000624F9">
        <w:rPr>
          <w:rFonts w:eastAsia="Malgun Gothic" w:cs="Times New Roman" w:hint="eastAsia"/>
          <w:color w:val="000000" w:themeColor="text1"/>
          <w:szCs w:val="24"/>
        </w:rPr>
        <w:t>could be utilized</w:t>
      </w:r>
      <w:r w:rsidRPr="000624F9">
        <w:rPr>
          <w:rFonts w:eastAsia="Malgun Gothic" w:cs="Times New Roman"/>
          <w:color w:val="000000" w:themeColor="text1"/>
          <w:szCs w:val="24"/>
        </w:rPr>
        <w:t>. Most of the plots display residuals, which show</w:t>
      </w:r>
      <w:r w:rsidRPr="000624F9">
        <w:rPr>
          <w:rFonts w:eastAsia="Malgun Gothic" w:cs="Times New Roman" w:hint="eastAsia"/>
          <w:color w:val="000000" w:themeColor="text1"/>
          <w:szCs w:val="24"/>
        </w:rPr>
        <w:t xml:space="preserve"> the difference between experimental and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 </w:t>
      </w:r>
      <w:r w:rsidRPr="000624F9">
        <w:rPr>
          <w:rFonts w:eastAsia="Malgun Gothic" w:cs="Times New Roman" w:hint="eastAsia"/>
          <w:color w:val="000000" w:themeColor="text1"/>
          <w:szCs w:val="24"/>
        </w:rPr>
        <w:t>predicted responses</w:t>
      </w:r>
      <w:r w:rsidRPr="000624F9">
        <w:rPr>
          <w:rFonts w:eastAsia="Malgun Gothic" w:cs="Times New Roman"/>
          <w:color w:val="000000" w:themeColor="text1"/>
          <w:szCs w:val="24"/>
        </w:rPr>
        <w:t>.</w:t>
      </w:r>
      <w:r>
        <w:rPr>
          <w:rFonts w:eastAsia="Malgun Gothic" w:cs="Times New Roman"/>
          <w:color w:val="000000" w:themeColor="text1"/>
          <w:szCs w:val="24"/>
        </w:rPr>
        <w:t xml:space="preserve"> In the DOE software, </w:t>
      </w:r>
      <w:r w:rsidRPr="00DD6B81">
        <w:rPr>
          <w:rFonts w:eastAsia="Malgun Gothic" w:cs="Times New Roman"/>
          <w:color w:val="000000" w:themeColor="text1"/>
          <w:szCs w:val="24"/>
        </w:rPr>
        <w:t>normal probability</w:t>
      </w:r>
      <w:r>
        <w:rPr>
          <w:rFonts w:eastAsia="Malgun Gothic" w:cs="Times New Roman"/>
          <w:color w:val="000000" w:themeColor="text1"/>
          <w:szCs w:val="24"/>
        </w:rPr>
        <w:t>,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residuals v</w:t>
      </w:r>
      <w:r>
        <w:rPr>
          <w:rFonts w:eastAsia="Malgun Gothic" w:cs="Times New Roman"/>
          <w:color w:val="000000" w:themeColor="text1"/>
          <w:szCs w:val="24"/>
        </w:rPr>
        <w:t>er</w:t>
      </w:r>
      <w:r w:rsidRPr="00DD6B81">
        <w:rPr>
          <w:rFonts w:eastAsia="Malgun Gothic" w:cs="Times New Roman"/>
          <w:color w:val="000000" w:themeColor="text1"/>
          <w:szCs w:val="24"/>
        </w:rPr>
        <w:t>s</w:t>
      </w:r>
      <w:r>
        <w:rPr>
          <w:rFonts w:eastAsia="Malgun Gothic" w:cs="Times New Roman"/>
          <w:color w:val="000000" w:themeColor="text1"/>
          <w:szCs w:val="24"/>
        </w:rPr>
        <w:t>us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predicted</w:t>
      </w:r>
      <w:r>
        <w:rPr>
          <w:rFonts w:eastAsia="Malgun Gothic" w:cs="Times New Roman"/>
          <w:color w:val="000000" w:themeColor="text1"/>
          <w:szCs w:val="24"/>
        </w:rPr>
        <w:t>,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residuals v</w:t>
      </w:r>
      <w:r>
        <w:rPr>
          <w:rFonts w:eastAsia="Malgun Gothic" w:cs="Times New Roman"/>
          <w:color w:val="000000" w:themeColor="text1"/>
          <w:szCs w:val="24"/>
        </w:rPr>
        <w:t>er</w:t>
      </w:r>
      <w:r w:rsidRPr="00DD6B81">
        <w:rPr>
          <w:rFonts w:eastAsia="Malgun Gothic" w:cs="Times New Roman"/>
          <w:color w:val="000000" w:themeColor="text1"/>
          <w:szCs w:val="24"/>
        </w:rPr>
        <w:t>s</w:t>
      </w:r>
      <w:r>
        <w:rPr>
          <w:rFonts w:eastAsia="Malgun Gothic" w:cs="Times New Roman"/>
          <w:color w:val="000000" w:themeColor="text1"/>
          <w:szCs w:val="24"/>
        </w:rPr>
        <w:t>us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run</w:t>
      </w:r>
      <w:r>
        <w:rPr>
          <w:rFonts w:eastAsia="Malgun Gothic" w:cs="Times New Roman"/>
          <w:color w:val="000000" w:themeColor="text1"/>
          <w:szCs w:val="24"/>
        </w:rPr>
        <w:t>, and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actual v</w:t>
      </w:r>
      <w:r>
        <w:rPr>
          <w:rFonts w:eastAsia="Malgun Gothic" w:cs="Times New Roman"/>
          <w:color w:val="000000" w:themeColor="text1"/>
          <w:szCs w:val="24"/>
        </w:rPr>
        <w:t>er</w:t>
      </w:r>
      <w:r w:rsidRPr="00DD6B81">
        <w:rPr>
          <w:rFonts w:eastAsia="Malgun Gothic" w:cs="Times New Roman"/>
          <w:color w:val="000000" w:themeColor="text1"/>
          <w:szCs w:val="24"/>
        </w:rPr>
        <w:t>s</w:t>
      </w:r>
      <w:r>
        <w:rPr>
          <w:rFonts w:eastAsia="Malgun Gothic" w:cs="Times New Roman"/>
          <w:color w:val="000000" w:themeColor="text1"/>
          <w:szCs w:val="24"/>
        </w:rPr>
        <w:t>us</w:t>
      </w:r>
      <w:r w:rsidRPr="00DD6B81">
        <w:rPr>
          <w:rFonts w:eastAsia="Malgun Gothic" w:cs="Times New Roman"/>
          <w:color w:val="000000" w:themeColor="text1"/>
          <w:szCs w:val="24"/>
        </w:rPr>
        <w:t xml:space="preserve"> predicted</w:t>
      </w:r>
      <w:r>
        <w:rPr>
          <w:rFonts w:eastAsia="Malgun Gothic" w:cs="Times New Roman"/>
          <w:color w:val="000000" w:themeColor="text1"/>
          <w:szCs w:val="24"/>
        </w:rPr>
        <w:t xml:space="preserve"> are widely used to </w:t>
      </w:r>
      <w:r w:rsidRPr="000624F9">
        <w:rPr>
          <w:rFonts w:eastAsia="Malgun Gothic" w:cs="Times New Roman" w:hint="eastAsia"/>
          <w:color w:val="000000" w:themeColor="text1"/>
          <w:szCs w:val="24"/>
        </w:rPr>
        <w:t>evaluat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e </w:t>
      </w:r>
      <w:r w:rsidRPr="000624F9">
        <w:rPr>
          <w:rFonts w:eastAsia="Malgun Gothic" w:cs="Times New Roman" w:hint="eastAsia"/>
          <w:color w:val="000000" w:themeColor="text1"/>
          <w:szCs w:val="24"/>
        </w:rPr>
        <w:t>the adequacy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 </w:t>
      </w:r>
      <w:r w:rsidRPr="000624F9">
        <w:rPr>
          <w:rFonts w:eastAsia="Malgun Gothic" w:cs="Times New Roman" w:hint="eastAsia"/>
          <w:color w:val="000000" w:themeColor="text1"/>
          <w:szCs w:val="24"/>
        </w:rPr>
        <w:t>o</w:t>
      </w:r>
      <w:r w:rsidRPr="000624F9">
        <w:rPr>
          <w:rFonts w:eastAsia="Malgun Gothic" w:cs="Times New Roman"/>
          <w:color w:val="000000" w:themeColor="text1"/>
          <w:szCs w:val="24"/>
        </w:rPr>
        <w:t xml:space="preserve">f </w:t>
      </w:r>
      <w:r w:rsidRPr="000624F9">
        <w:rPr>
          <w:rFonts w:eastAsia="Malgun Gothic" w:cs="Times New Roman" w:hint="eastAsia"/>
          <w:color w:val="000000" w:themeColor="text1"/>
          <w:szCs w:val="24"/>
        </w:rPr>
        <w:t>the model</w:t>
      </w:r>
      <w:r>
        <w:rPr>
          <w:rFonts w:eastAsia="Malgun Gothic" w:cs="Times New Roman"/>
          <w:color w:val="000000" w:themeColor="text1"/>
          <w:szCs w:val="24"/>
        </w:rPr>
        <w:t>. The diagnostic plots for P</w:t>
      </w:r>
      <w:r w:rsidR="00177525">
        <w:rPr>
          <w:rFonts w:eastAsia="Malgun Gothic" w:cs="Times New Roman"/>
          <w:color w:val="000000" w:themeColor="text1"/>
          <w:szCs w:val="24"/>
        </w:rPr>
        <w:t>Q</w:t>
      </w:r>
      <w:r>
        <w:rPr>
          <w:rFonts w:eastAsia="Malgun Gothic" w:cs="Times New Roman"/>
          <w:color w:val="000000" w:themeColor="text1"/>
          <w:szCs w:val="24"/>
        </w:rPr>
        <w:t xml:space="preserve"> deg</w:t>
      </w:r>
      <w:r w:rsidRPr="00561DEE">
        <w:rPr>
          <w:rFonts w:eastAsia="Malgun Gothic" w:cs="Times New Roman"/>
          <w:color w:val="000000" w:themeColor="text1"/>
          <w:szCs w:val="24"/>
        </w:rPr>
        <w:t xml:space="preserve">radation model </w:t>
      </w:r>
      <w:bookmarkStart w:id="0" w:name="_GoBack"/>
      <w:bookmarkEnd w:id="0"/>
      <w:r w:rsidRPr="00561DEE">
        <w:rPr>
          <w:rFonts w:eastAsia="Malgun Gothic" w:cs="Times New Roman"/>
          <w:color w:val="000000" w:themeColor="text1"/>
          <w:szCs w:val="24"/>
        </w:rPr>
        <w:t xml:space="preserve">were demonstrated in </w:t>
      </w:r>
      <w:r w:rsidRPr="005F63EB">
        <w:rPr>
          <w:rFonts w:eastAsia="Malgun Gothic" w:cs="Times New Roman"/>
          <w:color w:val="1F497D" w:themeColor="text2"/>
          <w:szCs w:val="24"/>
        </w:rPr>
        <w:t xml:space="preserve">Fig. </w:t>
      </w:r>
      <w:r w:rsidR="00CF6960">
        <w:rPr>
          <w:rFonts w:eastAsia="Malgun Gothic" w:cs="Times New Roman"/>
          <w:color w:val="1F497D" w:themeColor="text2"/>
          <w:szCs w:val="24"/>
        </w:rPr>
        <w:t>7</w:t>
      </w:r>
      <w:r w:rsidRPr="005F63EB">
        <w:rPr>
          <w:rFonts w:eastAsia="Malgun Gothic" w:cs="Times New Roman"/>
          <w:color w:val="1F497D" w:themeColor="text2"/>
          <w:szCs w:val="24"/>
        </w:rPr>
        <w:t xml:space="preserve">. </w:t>
      </w:r>
      <w:r w:rsidRPr="00561DEE">
        <w:rPr>
          <w:rFonts w:eastAsia="Malgun Gothic" w:cs="Times New Roman"/>
          <w:color w:val="000000" w:themeColor="text1"/>
          <w:szCs w:val="24"/>
        </w:rPr>
        <w:t>The normal probability plot indicates whether the residuals follow a normal distribution, in which case the points will follow a straight line. The plot, that it has definite pattern like an "S-shaped" indicates that a transformation of the response may provide a better analysis. Residuals versus predicted is a plot of the residuals versus the ascending predicted response values. It tests the assumption of constant variance. The plot should be a random scatter. The plot of residuals versus run is a plot of the residuals</w:t>
      </w:r>
      <w:r w:rsidRPr="00731C60">
        <w:rPr>
          <w:rFonts w:eastAsia="Malgun Gothic" w:cs="Times New Roman"/>
          <w:color w:val="000000" w:themeColor="text1"/>
          <w:szCs w:val="24"/>
        </w:rPr>
        <w:t xml:space="preserve"> versus the experimental run order. It checks for lurking variables that may have </w:t>
      </w:r>
      <w:r w:rsidRPr="00731C60">
        <w:rPr>
          <w:rFonts w:eastAsia="Malgun Gothic" w:cs="Times New Roman"/>
          <w:color w:val="000000" w:themeColor="text1"/>
          <w:szCs w:val="24"/>
        </w:rPr>
        <w:lastRenderedPageBreak/>
        <w:t>influenced the response during the experiment. The plot should</w:t>
      </w:r>
      <w:r>
        <w:t xml:space="preserve"> show a random scatter. Trends i</w:t>
      </w:r>
      <w:r w:rsidRPr="00561DEE">
        <w:t xml:space="preserve">ndicate a time-related variable lurking in the background. Blocking and randomization provide insurance against trends ruining the analysis. The plot of </w:t>
      </w:r>
      <w:bookmarkStart w:id="1" w:name="OLE_LINK1"/>
      <w:bookmarkStart w:id="2" w:name="OLE_LINK2"/>
      <w:r w:rsidRPr="00561DEE">
        <w:t xml:space="preserve">actual </w:t>
      </w:r>
      <w:bookmarkEnd w:id="1"/>
      <w:bookmarkEnd w:id="2"/>
      <w:r w:rsidRPr="00561DEE">
        <w:t xml:space="preserve">versus predicted detects a value, or group of values, that are not easily predicted by the model. As can be seen from the diagnostic plots approve well adequacy of the </w:t>
      </w:r>
      <w:r w:rsidR="00177525">
        <w:rPr>
          <w:rFonts w:eastAsia="Malgun Gothic" w:cs="Times New Roman"/>
          <w:color w:val="000000" w:themeColor="text1"/>
          <w:szCs w:val="24"/>
        </w:rPr>
        <w:t>PQ</w:t>
      </w:r>
      <w:r w:rsidRPr="00561DEE">
        <w:rPr>
          <w:rFonts w:eastAsia="Malgun Gothic" w:cs="Times New Roman"/>
          <w:color w:val="000000" w:themeColor="text1"/>
          <w:szCs w:val="24"/>
        </w:rPr>
        <w:t xml:space="preserve"> degradation model</w:t>
      </w:r>
      <w:r w:rsidR="00225435">
        <w:rPr>
          <w:rFonts w:eastAsia="Malgun Gothic" w:cs="Times New Roman"/>
          <w:color w:val="000000" w:themeColor="text1"/>
          <w:szCs w:val="24"/>
        </w:rPr>
        <w:t xml:space="preserve"> </w:t>
      </w:r>
      <w:r w:rsidR="00225435" w:rsidRPr="00225435">
        <w:rPr>
          <w:rFonts w:eastAsia="Malgun Gothic" w:cs="Times New Roman"/>
          <w:color w:val="FF0000"/>
          <w:szCs w:val="24"/>
        </w:rPr>
        <w:t>(</w:t>
      </w:r>
      <w:r w:rsidR="00225435" w:rsidRPr="00225435">
        <w:rPr>
          <w:color w:val="FF0000"/>
        </w:rPr>
        <w:t>Montgomery</w:t>
      </w:r>
      <w:r w:rsidR="00225435" w:rsidRPr="00225435">
        <w:rPr>
          <w:rFonts w:eastAsia="Malgun Gothic" w:cs="Times New Roman"/>
          <w:color w:val="FF0000"/>
          <w:szCs w:val="24"/>
        </w:rPr>
        <w:t xml:space="preserve"> 2017)</w:t>
      </w:r>
      <w:r w:rsidRPr="00561DEE">
        <w:rPr>
          <w:rFonts w:eastAsia="Malgun Gothic" w:cs="Times New Roman"/>
          <w:color w:val="000000" w:themeColor="text1"/>
          <w:szCs w:val="24"/>
        </w:rPr>
        <w:t>.</w:t>
      </w:r>
    </w:p>
    <w:p w:rsidR="00DB155D" w:rsidRPr="004E178D" w:rsidRDefault="00DB155D" w:rsidP="004E178D">
      <w:pPr>
        <w:ind w:firstLine="0"/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180"/>
        <w:gridCol w:w="4634"/>
      </w:tblGrid>
      <w:tr w:rsidR="00E36B8C" w:rsidTr="00E36B8C">
        <w:tc>
          <w:tcPr>
            <w:tcW w:w="4608" w:type="dxa"/>
            <w:gridSpan w:val="2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  <w:lang w:bidi="fa-IR"/>
              </w:rPr>
              <w:drawing>
                <wp:inline distT="0" distB="0" distL="0" distR="0" wp14:anchorId="2391E486" wp14:editId="2EF8B40F">
                  <wp:extent cx="2867025" cy="216217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49" t="22919" r="4326" b="99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4" w:type="dxa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  <w:lang w:bidi="fa-IR"/>
              </w:rPr>
              <w:drawing>
                <wp:inline distT="0" distB="0" distL="0" distR="0" wp14:anchorId="162072F3" wp14:editId="75E6A366">
                  <wp:extent cx="2695575" cy="20764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47" t="22513" r="4240" b="98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B8C" w:rsidTr="00E36B8C">
        <w:trPr>
          <w:trHeight w:val="3708"/>
        </w:trPr>
        <w:tc>
          <w:tcPr>
            <w:tcW w:w="4608" w:type="dxa"/>
            <w:gridSpan w:val="2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  <w:lang w:bidi="fa-IR"/>
              </w:rPr>
              <w:drawing>
                <wp:inline distT="0" distB="0" distL="0" distR="0" wp14:anchorId="2C177911" wp14:editId="1B8C4224">
                  <wp:extent cx="2724150" cy="23812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93" t="22720" r="3786" b="88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4" w:type="dxa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  <w:lang w:bidi="fa-IR"/>
              </w:rPr>
              <w:drawing>
                <wp:inline distT="0" distB="0" distL="0" distR="0" wp14:anchorId="6ED2250F" wp14:editId="0EE4A351">
                  <wp:extent cx="2705100" cy="238125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77" t="22502" r="3874" b="96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B8C" w:rsidTr="00E36B8C">
        <w:trPr>
          <w:trHeight w:val="647"/>
        </w:trPr>
        <w:tc>
          <w:tcPr>
            <w:tcW w:w="9242" w:type="dxa"/>
            <w:gridSpan w:val="3"/>
          </w:tcPr>
          <w:p w:rsidR="00E36B8C" w:rsidRDefault="00E36B8C" w:rsidP="007333F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18"/>
              </w:rPr>
              <w:t>PS process</w:t>
            </w:r>
          </w:p>
          <w:p w:rsidR="00E36B8C" w:rsidRDefault="00E36B8C" w:rsidP="007333F0">
            <w:pPr>
              <w:autoSpaceDE w:val="0"/>
              <w:autoSpaceDN w:val="0"/>
              <w:adjustRightInd w:val="0"/>
              <w:spacing w:line="240" w:lineRule="auto"/>
              <w:ind w:left="360" w:firstLine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  <w:p w:rsidR="00E36B8C" w:rsidRDefault="00E36B8C" w:rsidP="007333F0">
            <w:pPr>
              <w:autoSpaceDE w:val="0"/>
              <w:autoSpaceDN w:val="0"/>
              <w:adjustRightInd w:val="0"/>
              <w:spacing w:line="240" w:lineRule="auto"/>
              <w:ind w:left="360" w:firstLine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E36B8C" w:rsidTr="00E36B8C">
        <w:tc>
          <w:tcPr>
            <w:tcW w:w="4428" w:type="dxa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745A1F6F" wp14:editId="4074CA54">
                  <wp:extent cx="2590800" cy="25527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622" t="22862" r="3526" b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  <w:gridSpan w:val="2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B82CCA9" wp14:editId="43F2488F">
                  <wp:extent cx="2800350" cy="24098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429" t="22655" r="4427" b="102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B8C" w:rsidTr="00E36B8C">
        <w:tc>
          <w:tcPr>
            <w:tcW w:w="4428" w:type="dxa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0D675A2" wp14:editId="7E6B9FF7">
                  <wp:extent cx="2647950" cy="2419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10" t="22862" r="5183" b="102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241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  <w:gridSpan w:val="2"/>
            <w:hideMark/>
          </w:tcPr>
          <w:p w:rsidR="00E36B8C" w:rsidRDefault="00E36B8C" w:rsidP="007333F0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1E4B7F4" wp14:editId="3E71AA70">
                  <wp:extent cx="2705100" cy="23431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28" t="22768" r="5139" b="10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B8C" w:rsidTr="00E36B8C">
        <w:trPr>
          <w:trHeight w:val="503"/>
        </w:trPr>
        <w:tc>
          <w:tcPr>
            <w:tcW w:w="9242" w:type="dxa"/>
            <w:gridSpan w:val="3"/>
          </w:tcPr>
          <w:p w:rsidR="00E36B8C" w:rsidRDefault="00E36B8C" w:rsidP="007333F0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bidi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18"/>
              </w:rPr>
              <w:t>PI process</w:t>
            </w:r>
          </w:p>
          <w:p w:rsidR="00E36B8C" w:rsidRDefault="00E36B8C" w:rsidP="007333F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  <w:p w:rsidR="00E36B8C" w:rsidRDefault="00E36B8C" w:rsidP="007333F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36B8C" w:rsidTr="00E36B8C">
        <w:tc>
          <w:tcPr>
            <w:tcW w:w="9242" w:type="dxa"/>
            <w:gridSpan w:val="3"/>
            <w:hideMark/>
          </w:tcPr>
          <w:p w:rsidR="00E36B8C" w:rsidRDefault="00E36B8C" w:rsidP="00CF6960">
            <w:pPr>
              <w:pStyle w:val="body-text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Fig. </w:t>
            </w:r>
            <w:r w:rsidR="00CF6960">
              <w:rPr>
                <w:b/>
                <w:bCs/>
                <w:color w:val="000000" w:themeColor="text1"/>
                <w:sz w:val="20"/>
                <w:szCs w:val="20"/>
              </w:rPr>
              <w:t>7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: Adequacy </w:t>
            </w:r>
            <w:r>
              <w:rPr>
                <w:b/>
                <w:bCs/>
                <w:sz w:val="20"/>
                <w:szCs w:val="20"/>
              </w:rPr>
              <w:t xml:space="preserve">diagnostic plots of </w:t>
            </w:r>
            <w:r>
              <w:rPr>
                <w:rFonts w:eastAsia="Malgun Gothic"/>
                <w:b/>
                <w:bCs/>
                <w:color w:val="000000" w:themeColor="text1"/>
                <w:sz w:val="20"/>
                <w:szCs w:val="20"/>
              </w:rPr>
              <w:t xml:space="preserve">normal probability, Residuals versus predicted, Residuals versus run and </w:t>
            </w:r>
            <w:r>
              <w:rPr>
                <w:b/>
                <w:bCs/>
                <w:sz w:val="20"/>
                <w:szCs w:val="20"/>
              </w:rPr>
              <w:t>A</w:t>
            </w:r>
            <w:r>
              <w:rPr>
                <w:rFonts w:eastAsiaTheme="minorHAnsi" w:cstheme="minorBidi"/>
                <w:b/>
                <w:bCs/>
                <w:sz w:val="20"/>
                <w:szCs w:val="18"/>
              </w:rPr>
              <w:t>ctual v</w:t>
            </w:r>
            <w:r>
              <w:rPr>
                <w:b/>
                <w:bCs/>
                <w:sz w:val="20"/>
                <w:szCs w:val="20"/>
              </w:rPr>
              <w:t>ersus</w:t>
            </w:r>
            <w:r>
              <w:rPr>
                <w:rFonts w:eastAsiaTheme="minorHAnsi" w:cstheme="minorBidi"/>
                <w:b/>
                <w:bCs/>
                <w:sz w:val="20"/>
                <w:szCs w:val="18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</w:t>
            </w:r>
            <w:r>
              <w:rPr>
                <w:rFonts w:eastAsiaTheme="minorHAnsi" w:cstheme="minorBidi"/>
                <w:b/>
                <w:bCs/>
                <w:sz w:val="20"/>
                <w:szCs w:val="18"/>
              </w:rPr>
              <w:t>redicted for (a): PS process and (b) PI process.</w:t>
            </w:r>
          </w:p>
        </w:tc>
      </w:tr>
    </w:tbl>
    <w:p w:rsidR="00E36B8C" w:rsidRDefault="00E36B8C" w:rsidP="007333F0">
      <w:pPr>
        <w:ind w:firstLine="0"/>
      </w:pPr>
    </w:p>
    <w:p w:rsidR="007333F0" w:rsidRPr="00847239" w:rsidRDefault="007333F0" w:rsidP="0083399D">
      <w:pPr>
        <w:ind w:firstLine="0"/>
        <w:rPr>
          <w:b/>
          <w:bCs/>
        </w:rPr>
      </w:pPr>
      <w:r w:rsidRPr="00847239">
        <w:rPr>
          <w:b/>
          <w:bCs/>
        </w:rPr>
        <w:t xml:space="preserve">5. </w:t>
      </w:r>
      <w:r w:rsidR="0083399D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>O</w:t>
      </w:r>
      <w:r w:rsidR="00847239" w:rsidRPr="00847239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 xml:space="preserve">ptimum </w:t>
      </w:r>
      <w:r w:rsidR="0083399D">
        <w:rPr>
          <w:rFonts w:asciiTheme="majorBidi" w:hAnsiTheme="majorBidi" w:cstheme="majorBidi"/>
          <w:b/>
          <w:bCs/>
          <w:noProof/>
          <w:color w:val="000000" w:themeColor="text1"/>
          <w:szCs w:val="28"/>
        </w:rPr>
        <w:t>condition</w:t>
      </w:r>
    </w:p>
    <w:p w:rsidR="007333F0" w:rsidRDefault="007333F0" w:rsidP="00B75968">
      <w:pPr>
        <w:ind w:firstLine="630"/>
        <w:jc w:val="both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The </w:t>
      </w:r>
      <w:r w:rsidR="0083399D">
        <w:rPr>
          <w:rFonts w:asciiTheme="majorBidi" w:hAnsiTheme="majorBidi" w:cstheme="majorBidi"/>
          <w:noProof/>
          <w:color w:val="000000" w:themeColor="text1"/>
          <w:szCs w:val="28"/>
        </w:rPr>
        <w:t>predicted</w:t>
      </w:r>
      <w:r w:rsidR="0083399D"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optimum values were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400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mgL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,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150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mgL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and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6.3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the P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S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dose,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TiO</w:t>
      </w:r>
      <w:r w:rsidRPr="00C23EBE">
        <w:rPr>
          <w:rFonts w:asciiTheme="majorBidi" w:hAnsiTheme="majorBidi" w:cstheme="majorBidi"/>
          <w:noProof/>
          <w:color w:val="000000" w:themeColor="text1"/>
          <w:szCs w:val="28"/>
          <w:vertAlign w:val="subscript"/>
        </w:rPr>
        <w:t>2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NPs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dose and initial pH respectively</w:t>
      </w:r>
      <w:r w:rsidR="00B75968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PS process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. Under the conditions a degradation efficiency equal to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77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% was predicted by the model. To assess 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accuracy of the model prediction, 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lastRenderedPageBreak/>
        <w:t xml:space="preserve">under the supposed values of the parameters, the </w:t>
      </w:r>
      <w:proofErr w:type="spellStart"/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>photocatalytic</w:t>
      </w:r>
      <w:proofErr w:type="spellEnd"/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 degradation efficiency reached to 8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>3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% empirically (i.e. </w:t>
      </w:r>
      <w:r w:rsidR="00847239">
        <w:rPr>
          <w:rFonts w:asciiTheme="majorBidi" w:eastAsia="GulliverRM" w:hAnsiTheme="majorBidi" w:cstheme="majorBidi"/>
          <w:color w:val="000000" w:themeColor="text1"/>
          <w:szCs w:val="24"/>
        </w:rPr>
        <w:t>-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>6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% error). 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 xml:space="preserve">Also,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t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he </w:t>
      </w:r>
      <w:r w:rsidR="00B75968">
        <w:rPr>
          <w:rFonts w:asciiTheme="majorBidi" w:hAnsiTheme="majorBidi" w:cstheme="majorBidi"/>
          <w:noProof/>
          <w:color w:val="000000" w:themeColor="text1"/>
          <w:szCs w:val="28"/>
        </w:rPr>
        <w:t>predicted</w:t>
      </w:r>
      <w:r w:rsidR="00B75968"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optimum values were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88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mgL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,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125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mgL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  <w:vertAlign w:val="superscript"/>
        </w:rPr>
        <w:t>-1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and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7.5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the P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I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dose,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TiO</w:t>
      </w:r>
      <w:r w:rsidRPr="00C23EBE">
        <w:rPr>
          <w:rFonts w:asciiTheme="majorBidi" w:hAnsiTheme="majorBidi" w:cstheme="majorBidi"/>
          <w:noProof/>
          <w:color w:val="000000" w:themeColor="text1"/>
          <w:szCs w:val="28"/>
          <w:vertAlign w:val="subscript"/>
        </w:rPr>
        <w:t>2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NPs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 dose and initial pH respectively</w:t>
      </w:r>
      <w:r w:rsidR="00B75968">
        <w:rPr>
          <w:rFonts w:asciiTheme="majorBidi" w:hAnsiTheme="majorBidi" w:cstheme="majorBidi"/>
          <w:noProof/>
          <w:color w:val="000000" w:themeColor="text1"/>
          <w:szCs w:val="28"/>
        </w:rPr>
        <w:t xml:space="preserve"> for PI process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. Under the conditions a degradation efficiency equal to </w:t>
      </w:r>
      <w:r>
        <w:rPr>
          <w:rFonts w:asciiTheme="majorBidi" w:hAnsiTheme="majorBidi" w:cstheme="majorBidi"/>
          <w:noProof/>
          <w:color w:val="000000" w:themeColor="text1"/>
          <w:szCs w:val="28"/>
        </w:rPr>
        <w:t>87</w:t>
      </w:r>
      <w:r w:rsidRPr="009037EB">
        <w:rPr>
          <w:rFonts w:asciiTheme="majorBidi" w:hAnsiTheme="majorBidi" w:cstheme="majorBidi"/>
          <w:noProof/>
          <w:color w:val="000000" w:themeColor="text1"/>
          <w:szCs w:val="28"/>
        </w:rPr>
        <w:t xml:space="preserve">% was predicted by the model. To assess 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accuracy of the model prediction, under the supposed values of the parameters, the </w:t>
      </w:r>
      <w:proofErr w:type="spellStart"/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>photocatalytic</w:t>
      </w:r>
      <w:proofErr w:type="spellEnd"/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 degradation efficiency reached to 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>90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 xml:space="preserve">% empirically (i.e. </w:t>
      </w:r>
      <w:r w:rsidR="00847239">
        <w:rPr>
          <w:rFonts w:asciiTheme="majorBidi" w:eastAsia="GulliverRM" w:hAnsiTheme="majorBidi" w:cstheme="majorBidi"/>
          <w:color w:val="000000" w:themeColor="text1"/>
          <w:szCs w:val="24"/>
        </w:rPr>
        <w:t>-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>3</w:t>
      </w:r>
      <w:r w:rsidRPr="009037EB">
        <w:rPr>
          <w:rFonts w:asciiTheme="majorBidi" w:eastAsia="GulliverRM" w:hAnsiTheme="majorBidi" w:cstheme="majorBidi"/>
          <w:color w:val="000000" w:themeColor="text1"/>
          <w:szCs w:val="24"/>
        </w:rPr>
        <w:t>% error)</w:t>
      </w:r>
      <w:r w:rsidR="00CF6960">
        <w:rPr>
          <w:rFonts w:asciiTheme="majorBidi" w:eastAsia="GulliverRM" w:hAnsiTheme="majorBidi" w:cstheme="majorBidi"/>
          <w:color w:val="000000" w:themeColor="text1"/>
          <w:szCs w:val="24"/>
        </w:rPr>
        <w:t xml:space="preserve"> (Fig.10, 11)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>.</w:t>
      </w:r>
    </w:p>
    <w:p w:rsidR="0047197D" w:rsidRDefault="0047197D" w:rsidP="0047197D">
      <w:pPr>
        <w:ind w:firstLine="0"/>
        <w:jc w:val="both"/>
        <w:rPr>
          <w:rtl/>
          <w:lang w:bidi="fa-IR"/>
        </w:rPr>
      </w:pPr>
      <w:r>
        <w:object w:dxaOrig="2685" w:dyaOrig="19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25pt;height:90pt" o:ole="">
            <v:imagedata r:id="rId33" o:title=""/>
          </v:shape>
          <o:OLEObject Type="Embed" ProgID="PBrush" ShapeID="_x0000_i1025" DrawAspect="Content" ObjectID="_1673068913" r:id="rId34"/>
        </w:object>
      </w:r>
      <w:r>
        <w:rPr>
          <w:lang w:bidi="fa-IR"/>
        </w:rPr>
        <w:t xml:space="preserve">   </w:t>
      </w:r>
      <w:r>
        <w:object w:dxaOrig="2385" w:dyaOrig="1950">
          <v:shape id="_x0000_i1026" type="#_x0000_t75" style="width:111.75pt;height:87pt" o:ole="">
            <v:imagedata r:id="rId35" o:title=""/>
          </v:shape>
          <o:OLEObject Type="Embed" ProgID="PBrush" ShapeID="_x0000_i1026" DrawAspect="Content" ObjectID="_1673068914" r:id="rId36"/>
        </w:object>
      </w:r>
      <w:r>
        <w:rPr>
          <w:lang w:bidi="fa-IR"/>
        </w:rPr>
        <w:t xml:space="preserve">  </w:t>
      </w:r>
      <w:r>
        <w:object w:dxaOrig="2475" w:dyaOrig="1875">
          <v:shape id="_x0000_i1027" type="#_x0000_t75" style="width:114.75pt;height:87pt" o:ole="">
            <v:imagedata r:id="rId37" o:title=""/>
          </v:shape>
          <o:OLEObject Type="Embed" ProgID="PBrush" ShapeID="_x0000_i1027" DrawAspect="Content" ObjectID="_1673068915" r:id="rId38"/>
        </w:object>
      </w:r>
      <w:r>
        <w:rPr>
          <w:lang w:bidi="fa-IR"/>
        </w:rPr>
        <w:t xml:space="preserve">   </w:t>
      </w:r>
      <w:r>
        <w:object w:dxaOrig="2430" w:dyaOrig="1845">
          <v:shape id="_x0000_i1028" type="#_x0000_t75" style="width:105.75pt;height:87pt" o:ole="">
            <v:imagedata r:id="rId39" o:title=""/>
          </v:shape>
          <o:OLEObject Type="Embed" ProgID="PBrush" ShapeID="_x0000_i1028" DrawAspect="Content" ObjectID="_1673068916" r:id="rId40"/>
        </w:object>
      </w:r>
    </w:p>
    <w:p w:rsidR="00DF07F7" w:rsidRDefault="0047197D" w:rsidP="0047197D">
      <w:pPr>
        <w:ind w:firstLine="450"/>
        <w:jc w:val="both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[PS]=400mgL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 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pH=6.3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[TiO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NP</w:t>
      </w:r>
      <w:proofErr w:type="gramStart"/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]=</w:t>
      </w:r>
      <w:proofErr w:type="gramEnd"/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150 mgL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%DE=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77</w:t>
      </w:r>
    </w:p>
    <w:p w:rsidR="00DF07F7" w:rsidRDefault="0047197D" w:rsidP="00CF6960">
      <w:pPr>
        <w:ind w:firstLine="63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Fig. </w:t>
      </w:r>
      <w:r w:rsidR="00CF6960"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</w:t>
      </w:r>
      <w:r w:rsidR="00CF696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0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: </w:t>
      </w:r>
      <w:r w:rsidRPr="00C175D0">
        <w:rPr>
          <w:rFonts w:asciiTheme="majorBidi" w:hAnsiTheme="majorBidi" w:cstheme="majorBidi"/>
          <w:b/>
          <w:bCs/>
          <w:noProof/>
          <w:sz w:val="20"/>
          <w:szCs w:val="20"/>
        </w:rPr>
        <w:t>Desirability ramp for the numerical optimization for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PS process</w:t>
      </w:r>
    </w:p>
    <w:p w:rsidR="007333F0" w:rsidRDefault="007333F0" w:rsidP="007333F0">
      <w:pPr>
        <w:ind w:firstLine="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</w:p>
    <w:p w:rsidR="00B905CB" w:rsidRDefault="00B905CB" w:rsidP="00B905CB">
      <w:pPr>
        <w:ind w:firstLine="0"/>
        <w:jc w:val="left"/>
        <w:rPr>
          <w:rFonts w:asciiTheme="majorBidi" w:eastAsia="GulliverRM" w:hAnsiTheme="majorBidi" w:cstheme="majorBidi"/>
          <w:color w:val="000000" w:themeColor="text1"/>
          <w:szCs w:val="24"/>
        </w:rPr>
      </w:pPr>
      <w:r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4A000574" wp14:editId="7DDE166B">
            <wp:extent cx="1467293" cy="109498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362" cy="109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4C0EFA8F" wp14:editId="75AF2B2B">
            <wp:extent cx="1456660" cy="99513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228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5C180E0D" wp14:editId="21DFE51D">
            <wp:extent cx="1541721" cy="903768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90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GulliverRM" w:hAnsiTheme="majorBidi" w:cstheme="majorBidi"/>
          <w:noProof/>
          <w:color w:val="000000" w:themeColor="text1"/>
          <w:szCs w:val="24"/>
          <w:lang w:bidi="fa-IR"/>
        </w:rPr>
        <w:drawing>
          <wp:inline distT="0" distB="0" distL="0" distR="0" wp14:anchorId="25653B97" wp14:editId="37ABD038">
            <wp:extent cx="1382233" cy="925068"/>
            <wp:effectExtent l="0" t="0" r="889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23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5CB" w:rsidRDefault="00B905CB" w:rsidP="00995CC0">
      <w:pPr>
        <w:ind w:firstLine="0"/>
        <w:jc w:val="left"/>
        <w:rPr>
          <w:rFonts w:asciiTheme="majorBidi" w:eastAsia="GulliverRM" w:hAnsiTheme="majorBidi" w:cstheme="majorBidi"/>
          <w:color w:val="000000" w:themeColor="text1"/>
          <w:szCs w:val="24"/>
        </w:rPr>
      </w:pP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          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[P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I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]=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88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mgL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 xml:space="preserve">                                           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pH=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7.5</w:t>
      </w:r>
      <w:r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      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[TiO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bscript"/>
        </w:rPr>
        <w:t>2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NP</w:t>
      </w:r>
      <w:proofErr w:type="gramStart"/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]=</w:t>
      </w:r>
      <w:proofErr w:type="gramEnd"/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25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mgL</w:t>
      </w:r>
      <w:r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  <w:vertAlign w:val="superscript"/>
        </w:rPr>
        <w:t>-1</w:t>
      </w:r>
      <w:r w:rsidR="00995CC0">
        <w:rPr>
          <w:rFonts w:asciiTheme="majorBidi" w:eastAsia="GulliverRM" w:hAnsiTheme="majorBidi" w:cstheme="majorBidi"/>
          <w:color w:val="000000" w:themeColor="text1"/>
          <w:szCs w:val="24"/>
        </w:rPr>
        <w:t xml:space="preserve">                </w:t>
      </w:r>
      <w:r w:rsidR="00995CC0" w:rsidRPr="005D0A3D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%DE=</w:t>
      </w:r>
      <w:r w:rsidR="00995CC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86</w:t>
      </w:r>
    </w:p>
    <w:p w:rsidR="00995CC0" w:rsidRDefault="00995CC0" w:rsidP="00CF6960">
      <w:pPr>
        <w:ind w:firstLine="0"/>
        <w:jc w:val="center"/>
        <w:rPr>
          <w:rFonts w:asciiTheme="majorBidi" w:eastAsia="GulliverRM" w:hAnsiTheme="majorBidi" w:cstheme="majorBidi"/>
          <w:color w:val="000000" w:themeColor="text1"/>
          <w:szCs w:val="24"/>
        </w:rPr>
      </w:pP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Fig. </w:t>
      </w:r>
      <w:r w:rsidR="00CF6960"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</w:t>
      </w:r>
      <w:r w:rsidR="00CF696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1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: </w:t>
      </w:r>
      <w:r w:rsidRPr="00C175D0">
        <w:rPr>
          <w:rFonts w:asciiTheme="majorBidi" w:hAnsiTheme="majorBidi" w:cstheme="majorBidi"/>
          <w:b/>
          <w:bCs/>
          <w:noProof/>
          <w:sz w:val="20"/>
          <w:szCs w:val="20"/>
        </w:rPr>
        <w:t>Desirability ramp for the numerical optimization for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P</w:t>
      </w:r>
      <w:r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>I</w:t>
      </w:r>
      <w:r w:rsidRPr="00C175D0">
        <w:rPr>
          <w:rFonts w:asciiTheme="majorBidi" w:eastAsia="GulliverRM" w:hAnsiTheme="majorBidi" w:cstheme="majorBidi"/>
          <w:b/>
          <w:bCs/>
          <w:color w:val="000000" w:themeColor="text1"/>
          <w:sz w:val="20"/>
          <w:szCs w:val="20"/>
        </w:rPr>
        <w:t xml:space="preserve"> process</w:t>
      </w:r>
    </w:p>
    <w:p w:rsidR="007333F0" w:rsidRPr="00007804" w:rsidRDefault="007333F0" w:rsidP="007333F0">
      <w:pPr>
        <w:ind w:left="720" w:firstLine="0"/>
      </w:pPr>
    </w:p>
    <w:p w:rsidR="005B4220" w:rsidRPr="00FB484F" w:rsidRDefault="005B7F22" w:rsidP="007333F0">
      <w:pPr>
        <w:ind w:firstLine="0"/>
        <w:rPr>
          <w:b/>
          <w:bCs/>
          <w:sz w:val="28"/>
          <w:szCs w:val="24"/>
        </w:rPr>
      </w:pPr>
      <w:r w:rsidRPr="00FB484F">
        <w:rPr>
          <w:b/>
          <w:bCs/>
          <w:sz w:val="28"/>
          <w:szCs w:val="24"/>
        </w:rPr>
        <w:t>References</w:t>
      </w:r>
    </w:p>
    <w:p w:rsidR="004B6017" w:rsidRPr="00F402F8" w:rsidRDefault="005B4220" w:rsidP="00225435">
      <w:pPr>
        <w:pStyle w:val="EndNoteBibliography"/>
        <w:spacing w:after="0" w:line="360" w:lineRule="auto"/>
        <w:ind w:left="360" w:hanging="360"/>
        <w:jc w:val="both"/>
        <w:rPr>
          <w:color w:val="000000" w:themeColor="text1"/>
        </w:rPr>
      </w:pPr>
      <w:r w:rsidRPr="00F402F8">
        <w:rPr>
          <w:color w:val="000000" w:themeColor="text1"/>
        </w:rPr>
        <w:lastRenderedPageBreak/>
        <w:fldChar w:fldCharType="begin"/>
      </w:r>
      <w:r w:rsidRPr="00F402F8">
        <w:rPr>
          <w:color w:val="000000" w:themeColor="text1"/>
        </w:rPr>
        <w:instrText xml:space="preserve"> ADDIN EN.REFLIST </w:instrText>
      </w:r>
      <w:r w:rsidRPr="00F402F8">
        <w:rPr>
          <w:color w:val="000000" w:themeColor="text1"/>
        </w:rPr>
        <w:fldChar w:fldCharType="separate"/>
      </w:r>
      <w:bookmarkStart w:id="3" w:name="_ENREF_1"/>
      <w:r w:rsidR="00A92F4F" w:rsidRPr="00F402F8">
        <w:rPr>
          <w:color w:val="000000" w:themeColor="text1"/>
        </w:rPr>
        <w:t>Bromilow</w:t>
      </w:r>
      <w:r w:rsidR="00225435">
        <w:rPr>
          <w:color w:val="000000" w:themeColor="text1"/>
        </w:rPr>
        <w:t xml:space="preserve"> </w:t>
      </w:r>
      <w:r w:rsidR="004B6017" w:rsidRPr="00F402F8">
        <w:rPr>
          <w:color w:val="000000" w:themeColor="text1"/>
        </w:rPr>
        <w:t xml:space="preserve">RH </w:t>
      </w:r>
      <w:r w:rsidR="00225435">
        <w:rPr>
          <w:color w:val="000000" w:themeColor="text1"/>
        </w:rPr>
        <w:t>(</w:t>
      </w:r>
      <w:r w:rsidR="00A92F4F" w:rsidRPr="00F402F8">
        <w:rPr>
          <w:color w:val="000000" w:themeColor="text1"/>
        </w:rPr>
        <w:t>2004</w:t>
      </w:r>
      <w:r w:rsidR="00225435">
        <w:rPr>
          <w:color w:val="000000" w:themeColor="text1"/>
        </w:rPr>
        <w:t xml:space="preserve">) </w:t>
      </w:r>
      <w:r w:rsidR="004B6017" w:rsidRPr="00F402F8">
        <w:rPr>
          <w:color w:val="000000" w:themeColor="text1"/>
        </w:rPr>
        <w:t xml:space="preserve">Paraquat and sustainable agriculture, Pest management science 60 </w:t>
      </w:r>
      <w:r w:rsidR="00225435">
        <w:rPr>
          <w:color w:val="000000" w:themeColor="text1"/>
        </w:rPr>
        <w:t>:</w:t>
      </w:r>
      <w:r w:rsidR="00225435" w:rsidRPr="00F402F8">
        <w:rPr>
          <w:color w:val="000000" w:themeColor="text1"/>
        </w:rPr>
        <w:t xml:space="preserve"> </w:t>
      </w:r>
      <w:r w:rsidR="004B6017" w:rsidRPr="00F402F8">
        <w:rPr>
          <w:color w:val="000000" w:themeColor="text1"/>
        </w:rPr>
        <w:t>340-349.</w:t>
      </w:r>
      <w:bookmarkEnd w:id="3"/>
    </w:p>
    <w:p w:rsidR="004B6017" w:rsidRDefault="00A92F4F" w:rsidP="00225435">
      <w:pPr>
        <w:pStyle w:val="EndNoteBibliography"/>
        <w:spacing w:after="0" w:line="360" w:lineRule="auto"/>
        <w:ind w:left="360" w:hanging="360"/>
        <w:jc w:val="both"/>
        <w:rPr>
          <w:color w:val="000000" w:themeColor="text1"/>
        </w:rPr>
      </w:pPr>
      <w:bookmarkStart w:id="4" w:name="_ENREF_2"/>
      <w:r w:rsidRPr="00F402F8">
        <w:rPr>
          <w:color w:val="000000" w:themeColor="text1"/>
        </w:rPr>
        <w:t xml:space="preserve">Jafarinejad </w:t>
      </w:r>
      <w:r w:rsidR="004B6017" w:rsidRPr="00F402F8">
        <w:rPr>
          <w:color w:val="000000" w:themeColor="text1"/>
        </w:rPr>
        <w:t>S.</w:t>
      </w:r>
      <w:r w:rsidRPr="00F402F8">
        <w:rPr>
          <w:color w:val="000000" w:themeColor="text1"/>
        </w:rPr>
        <w:t xml:space="preserve"> </w:t>
      </w:r>
      <w:r w:rsidR="00225435">
        <w:rPr>
          <w:color w:val="000000" w:themeColor="text1"/>
        </w:rPr>
        <w:t>(</w:t>
      </w:r>
      <w:r w:rsidRPr="00F402F8">
        <w:rPr>
          <w:color w:val="000000" w:themeColor="text1"/>
        </w:rPr>
        <w:t>2015</w:t>
      </w:r>
      <w:r w:rsidR="00225435">
        <w:rPr>
          <w:color w:val="000000" w:themeColor="text1"/>
        </w:rPr>
        <w:t>)</w:t>
      </w:r>
      <w:r w:rsidR="00225435" w:rsidRPr="00F402F8">
        <w:rPr>
          <w:color w:val="000000" w:themeColor="text1"/>
        </w:rPr>
        <w:t xml:space="preserve"> </w:t>
      </w:r>
      <w:r w:rsidR="004B6017" w:rsidRPr="00F402F8">
        <w:rPr>
          <w:color w:val="000000" w:themeColor="text1"/>
        </w:rPr>
        <w:t>Recent advances in determination of herbicide paraquat in environmental waters and its removal from aqueous solutions: A review, Int Res J App Basic Sci 9</w:t>
      </w:r>
      <w:r w:rsidR="00225435">
        <w:rPr>
          <w:color w:val="000000" w:themeColor="text1"/>
        </w:rPr>
        <w:t>:</w:t>
      </w:r>
      <w:r w:rsidR="00225435" w:rsidRPr="00F402F8">
        <w:rPr>
          <w:color w:val="000000" w:themeColor="text1"/>
        </w:rPr>
        <w:t xml:space="preserve"> </w:t>
      </w:r>
      <w:r w:rsidR="004B6017" w:rsidRPr="00F402F8">
        <w:rPr>
          <w:color w:val="000000" w:themeColor="text1"/>
        </w:rPr>
        <w:t>1758-1774.</w:t>
      </w:r>
      <w:bookmarkEnd w:id="4"/>
    </w:p>
    <w:p w:rsidR="00EE0DDC" w:rsidRPr="00F402F8" w:rsidRDefault="00EE0DDC" w:rsidP="00EE0DDC">
      <w:pPr>
        <w:pStyle w:val="EndNoteBibliography"/>
        <w:spacing w:line="360" w:lineRule="auto"/>
        <w:ind w:left="360" w:hanging="360"/>
        <w:jc w:val="both"/>
        <w:rPr>
          <w:color w:val="000000" w:themeColor="text1"/>
        </w:rPr>
      </w:pPr>
      <w:r w:rsidRPr="00F402F8">
        <w:rPr>
          <w:color w:val="000000" w:themeColor="text1"/>
        </w:rPr>
        <w:t xml:space="preserve">Montgomery DC </w:t>
      </w:r>
      <w:r>
        <w:rPr>
          <w:color w:val="000000" w:themeColor="text1"/>
        </w:rPr>
        <w:t>(</w:t>
      </w:r>
      <w:r w:rsidRPr="00F402F8">
        <w:rPr>
          <w:color w:val="000000" w:themeColor="text1"/>
        </w:rPr>
        <w:t>2017</w:t>
      </w:r>
      <w:r>
        <w:rPr>
          <w:color w:val="000000" w:themeColor="text1"/>
        </w:rPr>
        <w:t>)</w:t>
      </w:r>
      <w:r w:rsidRPr="00F402F8">
        <w:rPr>
          <w:color w:val="000000" w:themeColor="text1"/>
        </w:rPr>
        <w:t xml:space="preserve"> Design and Analysis of Experiments, 9 ed., Wiley Arizona State University.</w:t>
      </w:r>
    </w:p>
    <w:p w:rsidR="004B6017" w:rsidRPr="00F402F8" w:rsidRDefault="004B6017" w:rsidP="00225435">
      <w:pPr>
        <w:pStyle w:val="EndNoteBibliography"/>
        <w:spacing w:after="0" w:line="360" w:lineRule="auto"/>
        <w:ind w:left="360" w:hanging="360"/>
        <w:jc w:val="both"/>
        <w:rPr>
          <w:color w:val="000000" w:themeColor="text1"/>
        </w:rPr>
      </w:pPr>
      <w:bookmarkStart w:id="5" w:name="_ENREF_3"/>
      <w:r w:rsidRPr="00F402F8">
        <w:rPr>
          <w:color w:val="000000" w:themeColor="text1"/>
        </w:rPr>
        <w:t xml:space="preserve">U.S.E.P. Agency </w:t>
      </w:r>
      <w:r w:rsidR="00225435">
        <w:rPr>
          <w:color w:val="000000" w:themeColor="text1"/>
        </w:rPr>
        <w:t>(</w:t>
      </w:r>
      <w:r w:rsidR="00A92F4F" w:rsidRPr="00F402F8">
        <w:rPr>
          <w:color w:val="000000" w:themeColor="text1"/>
        </w:rPr>
        <w:t>1997</w:t>
      </w:r>
      <w:r w:rsidR="00225435">
        <w:rPr>
          <w:color w:val="000000" w:themeColor="text1"/>
        </w:rPr>
        <w:t>)</w:t>
      </w:r>
      <w:r w:rsidR="00225435" w:rsidRPr="00F402F8">
        <w:rPr>
          <w:color w:val="000000" w:themeColor="text1"/>
        </w:rPr>
        <w:t xml:space="preserve"> </w:t>
      </w:r>
      <w:r w:rsidRPr="00F402F8">
        <w:rPr>
          <w:color w:val="000000" w:themeColor="text1"/>
        </w:rPr>
        <w:t>Paraquat Dichloride, in:  Reregistration Eligibility Decision(RED), Washington, D.C. 20460.</w:t>
      </w:r>
      <w:bookmarkEnd w:id="5"/>
    </w:p>
    <w:p w:rsidR="004B6017" w:rsidRPr="00F402F8" w:rsidRDefault="00A92F4F" w:rsidP="00225435">
      <w:pPr>
        <w:pStyle w:val="EndNoteBibliography"/>
        <w:spacing w:after="0" w:line="360" w:lineRule="auto"/>
        <w:ind w:left="360" w:hanging="360"/>
        <w:jc w:val="both"/>
        <w:rPr>
          <w:color w:val="000000" w:themeColor="text1"/>
        </w:rPr>
      </w:pPr>
      <w:bookmarkStart w:id="6" w:name="_ENREF_4"/>
      <w:r w:rsidRPr="00F402F8">
        <w:rPr>
          <w:color w:val="000000" w:themeColor="text1"/>
        </w:rPr>
        <w:t xml:space="preserve">Watts </w:t>
      </w:r>
      <w:r w:rsidR="004B6017" w:rsidRPr="00F402F8">
        <w:rPr>
          <w:color w:val="000000" w:themeColor="text1"/>
        </w:rPr>
        <w:t xml:space="preserve">M </w:t>
      </w:r>
      <w:r w:rsidR="00225435">
        <w:rPr>
          <w:color w:val="000000" w:themeColor="text1"/>
        </w:rPr>
        <w:t>(</w:t>
      </w:r>
      <w:r w:rsidRPr="00F402F8">
        <w:rPr>
          <w:color w:val="000000" w:themeColor="text1"/>
        </w:rPr>
        <w:t>2011</w:t>
      </w:r>
      <w:r w:rsidR="00225435">
        <w:rPr>
          <w:color w:val="000000" w:themeColor="text1"/>
        </w:rPr>
        <w:t>)</w:t>
      </w:r>
      <w:r w:rsidR="00225435" w:rsidRPr="00F402F8">
        <w:rPr>
          <w:color w:val="000000" w:themeColor="text1"/>
        </w:rPr>
        <w:t xml:space="preserve"> </w:t>
      </w:r>
      <w:r w:rsidR="004B6017" w:rsidRPr="00F402F8">
        <w:rPr>
          <w:color w:val="000000" w:themeColor="text1"/>
        </w:rPr>
        <w:t>Paraquat, in: P.A.N.A.a.t. Pacifi (Ed.), Malaysia.</w:t>
      </w:r>
      <w:bookmarkEnd w:id="6"/>
    </w:p>
    <w:p w:rsidR="002A1EAC" w:rsidRDefault="005B4220" w:rsidP="00FB484F">
      <w:pPr>
        <w:spacing w:line="360" w:lineRule="auto"/>
        <w:ind w:firstLine="0"/>
      </w:pPr>
      <w:r w:rsidRPr="00F402F8">
        <w:rPr>
          <w:color w:val="000000" w:themeColor="text1"/>
        </w:rPr>
        <w:fldChar w:fldCharType="end"/>
      </w:r>
    </w:p>
    <w:sectPr w:rsidR="002A1EAC" w:rsidSect="00EE0DDC">
      <w:footerReference w:type="default" r:id="rId4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910" w:rsidRDefault="00697910" w:rsidP="0036403A">
      <w:pPr>
        <w:spacing w:after="0" w:line="240" w:lineRule="auto"/>
      </w:pPr>
      <w:r>
        <w:separator/>
      </w:r>
    </w:p>
  </w:endnote>
  <w:endnote w:type="continuationSeparator" w:id="0">
    <w:p w:rsidR="00697910" w:rsidRDefault="00697910" w:rsidP="00364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GulliverRM">
    <w:altName w:val="MS Mincho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23422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902D1" w:rsidRDefault="008902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696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8902D1" w:rsidRDefault="008902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910" w:rsidRDefault="00697910" w:rsidP="0036403A">
      <w:pPr>
        <w:spacing w:after="0" w:line="240" w:lineRule="auto"/>
      </w:pPr>
      <w:r>
        <w:separator/>
      </w:r>
    </w:p>
  </w:footnote>
  <w:footnote w:type="continuationSeparator" w:id="0">
    <w:p w:rsidR="00697910" w:rsidRDefault="00697910" w:rsidP="00364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D54"/>
    <w:multiLevelType w:val="multilevel"/>
    <w:tmpl w:val="6874859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31596AD5"/>
    <w:multiLevelType w:val="hybridMultilevel"/>
    <w:tmpl w:val="3B102ED6"/>
    <w:lvl w:ilvl="0" w:tplc="31E8179C">
      <w:start w:val="1"/>
      <w:numFmt w:val="lowerLetter"/>
      <w:lvlText w:val="(%1)"/>
      <w:lvlJc w:val="left"/>
      <w:pPr>
        <w:ind w:left="720" w:hanging="360"/>
      </w:pPr>
      <w:rPr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945ED"/>
    <w:multiLevelType w:val="multilevel"/>
    <w:tmpl w:val="F1C48600"/>
    <w:styleLink w:val="Styl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675D1849"/>
    <w:multiLevelType w:val="multilevel"/>
    <w:tmpl w:val="BA062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J Hazardous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z000f52ea9tp2qevxwlvzpfl5ez5v0zwvpsd&quot;&gt;My EndNote Library&lt;record-ids&gt;&lt;item&gt;1&lt;/item&gt;&lt;item&gt;2&lt;/item&gt;&lt;item&gt;3&lt;/item&gt;&lt;item&gt;23&lt;/item&gt;&lt;item&gt;45&lt;/item&gt;&lt;/record-ids&gt;&lt;/item&gt;&lt;/Libraries&gt;"/>
  </w:docVars>
  <w:rsids>
    <w:rsidRoot w:val="00600DEE"/>
    <w:rsid w:val="00000F13"/>
    <w:rsid w:val="00001AF1"/>
    <w:rsid w:val="0000288A"/>
    <w:rsid w:val="00007804"/>
    <w:rsid w:val="00015022"/>
    <w:rsid w:val="000153E7"/>
    <w:rsid w:val="000218E4"/>
    <w:rsid w:val="00023D46"/>
    <w:rsid w:val="00033525"/>
    <w:rsid w:val="0004454D"/>
    <w:rsid w:val="0005085A"/>
    <w:rsid w:val="000624F9"/>
    <w:rsid w:val="000635A9"/>
    <w:rsid w:val="000678C8"/>
    <w:rsid w:val="000722A7"/>
    <w:rsid w:val="00076457"/>
    <w:rsid w:val="000805DC"/>
    <w:rsid w:val="00082B78"/>
    <w:rsid w:val="00096569"/>
    <w:rsid w:val="000968BD"/>
    <w:rsid w:val="000A6B81"/>
    <w:rsid w:val="000B05B2"/>
    <w:rsid w:val="000B3493"/>
    <w:rsid w:val="000B71D0"/>
    <w:rsid w:val="000C1600"/>
    <w:rsid w:val="000C59E1"/>
    <w:rsid w:val="000C7E7C"/>
    <w:rsid w:val="000D04A6"/>
    <w:rsid w:val="000D1467"/>
    <w:rsid w:val="000D45C5"/>
    <w:rsid w:val="000E0150"/>
    <w:rsid w:val="000E47F7"/>
    <w:rsid w:val="000E51AD"/>
    <w:rsid w:val="000F2DFD"/>
    <w:rsid w:val="000F4195"/>
    <w:rsid w:val="000F4688"/>
    <w:rsid w:val="000F721A"/>
    <w:rsid w:val="00102380"/>
    <w:rsid w:val="00104FBF"/>
    <w:rsid w:val="00110590"/>
    <w:rsid w:val="00114BDD"/>
    <w:rsid w:val="001159FE"/>
    <w:rsid w:val="00115E14"/>
    <w:rsid w:val="00124E84"/>
    <w:rsid w:val="00130217"/>
    <w:rsid w:val="001337B6"/>
    <w:rsid w:val="00133ACF"/>
    <w:rsid w:val="0014026E"/>
    <w:rsid w:val="00141A64"/>
    <w:rsid w:val="00144023"/>
    <w:rsid w:val="001443D7"/>
    <w:rsid w:val="001448BF"/>
    <w:rsid w:val="001475AF"/>
    <w:rsid w:val="00155793"/>
    <w:rsid w:val="00155DA1"/>
    <w:rsid w:val="00156324"/>
    <w:rsid w:val="00160B4D"/>
    <w:rsid w:val="00167729"/>
    <w:rsid w:val="00176059"/>
    <w:rsid w:val="00177525"/>
    <w:rsid w:val="00183484"/>
    <w:rsid w:val="001857F2"/>
    <w:rsid w:val="00195DCF"/>
    <w:rsid w:val="001A3EFD"/>
    <w:rsid w:val="001C3326"/>
    <w:rsid w:val="001C4BA9"/>
    <w:rsid w:val="001D2AF2"/>
    <w:rsid w:val="001E1CE4"/>
    <w:rsid w:val="001E46C2"/>
    <w:rsid w:val="001E483C"/>
    <w:rsid w:val="001F0667"/>
    <w:rsid w:val="001F17CF"/>
    <w:rsid w:val="001F22FF"/>
    <w:rsid w:val="001F36B1"/>
    <w:rsid w:val="001F6572"/>
    <w:rsid w:val="001F6EDD"/>
    <w:rsid w:val="002014B9"/>
    <w:rsid w:val="00215591"/>
    <w:rsid w:val="00215948"/>
    <w:rsid w:val="00216B19"/>
    <w:rsid w:val="002225E3"/>
    <w:rsid w:val="002240B9"/>
    <w:rsid w:val="00225435"/>
    <w:rsid w:val="00231FB5"/>
    <w:rsid w:val="00234D5D"/>
    <w:rsid w:val="00237177"/>
    <w:rsid w:val="00243BFC"/>
    <w:rsid w:val="00250D21"/>
    <w:rsid w:val="002569B3"/>
    <w:rsid w:val="00265943"/>
    <w:rsid w:val="00267691"/>
    <w:rsid w:val="00273BC2"/>
    <w:rsid w:val="00280D68"/>
    <w:rsid w:val="0028395F"/>
    <w:rsid w:val="0029136E"/>
    <w:rsid w:val="0029347D"/>
    <w:rsid w:val="0029668B"/>
    <w:rsid w:val="002A1EAC"/>
    <w:rsid w:val="002A2916"/>
    <w:rsid w:val="002A5A62"/>
    <w:rsid w:val="002B687F"/>
    <w:rsid w:val="002C0008"/>
    <w:rsid w:val="002C5EB2"/>
    <w:rsid w:val="002D18D5"/>
    <w:rsid w:val="002D4425"/>
    <w:rsid w:val="002D6D34"/>
    <w:rsid w:val="002D79FB"/>
    <w:rsid w:val="002E5B34"/>
    <w:rsid w:val="002E750D"/>
    <w:rsid w:val="002E7D86"/>
    <w:rsid w:val="002F54B6"/>
    <w:rsid w:val="00303D2F"/>
    <w:rsid w:val="00305885"/>
    <w:rsid w:val="0030774C"/>
    <w:rsid w:val="00312D70"/>
    <w:rsid w:val="00313212"/>
    <w:rsid w:val="00320B23"/>
    <w:rsid w:val="003257A1"/>
    <w:rsid w:val="00326E62"/>
    <w:rsid w:val="00327504"/>
    <w:rsid w:val="0033032F"/>
    <w:rsid w:val="003431BB"/>
    <w:rsid w:val="0036125C"/>
    <w:rsid w:val="0036403A"/>
    <w:rsid w:val="00375ED6"/>
    <w:rsid w:val="00377992"/>
    <w:rsid w:val="00390071"/>
    <w:rsid w:val="00392979"/>
    <w:rsid w:val="003942FB"/>
    <w:rsid w:val="0039460C"/>
    <w:rsid w:val="00397950"/>
    <w:rsid w:val="003A71A8"/>
    <w:rsid w:val="003B04A8"/>
    <w:rsid w:val="003B27B3"/>
    <w:rsid w:val="003B7AD0"/>
    <w:rsid w:val="003C28CF"/>
    <w:rsid w:val="003C6AB6"/>
    <w:rsid w:val="003D0E2E"/>
    <w:rsid w:val="003D224B"/>
    <w:rsid w:val="003D2EC8"/>
    <w:rsid w:val="003D4B0E"/>
    <w:rsid w:val="003E3604"/>
    <w:rsid w:val="003E5A7E"/>
    <w:rsid w:val="003E748E"/>
    <w:rsid w:val="003F283A"/>
    <w:rsid w:val="003F7B90"/>
    <w:rsid w:val="00401E87"/>
    <w:rsid w:val="00402503"/>
    <w:rsid w:val="004028CF"/>
    <w:rsid w:val="00402AD9"/>
    <w:rsid w:val="00402DDD"/>
    <w:rsid w:val="00403DF9"/>
    <w:rsid w:val="00407715"/>
    <w:rsid w:val="004128E9"/>
    <w:rsid w:val="00412C67"/>
    <w:rsid w:val="00425C17"/>
    <w:rsid w:val="004268D7"/>
    <w:rsid w:val="0042793E"/>
    <w:rsid w:val="0043329F"/>
    <w:rsid w:val="00435A48"/>
    <w:rsid w:val="00440B7C"/>
    <w:rsid w:val="00442042"/>
    <w:rsid w:val="004426C2"/>
    <w:rsid w:val="00446BC1"/>
    <w:rsid w:val="00447BCD"/>
    <w:rsid w:val="00460740"/>
    <w:rsid w:val="004612EE"/>
    <w:rsid w:val="00463879"/>
    <w:rsid w:val="00465CE6"/>
    <w:rsid w:val="0047197D"/>
    <w:rsid w:val="004726D6"/>
    <w:rsid w:val="00473E8E"/>
    <w:rsid w:val="004830BF"/>
    <w:rsid w:val="00487863"/>
    <w:rsid w:val="00494526"/>
    <w:rsid w:val="004A54B7"/>
    <w:rsid w:val="004B07AE"/>
    <w:rsid w:val="004B3725"/>
    <w:rsid w:val="004B6017"/>
    <w:rsid w:val="004C70AD"/>
    <w:rsid w:val="004D030E"/>
    <w:rsid w:val="004D1A71"/>
    <w:rsid w:val="004D5653"/>
    <w:rsid w:val="004D57A9"/>
    <w:rsid w:val="004D57FC"/>
    <w:rsid w:val="004E178D"/>
    <w:rsid w:val="004E3575"/>
    <w:rsid w:val="004E55B3"/>
    <w:rsid w:val="004E6D80"/>
    <w:rsid w:val="004F0168"/>
    <w:rsid w:val="004F2BFE"/>
    <w:rsid w:val="00502A2A"/>
    <w:rsid w:val="00506EE8"/>
    <w:rsid w:val="00506FD6"/>
    <w:rsid w:val="005121EA"/>
    <w:rsid w:val="00513455"/>
    <w:rsid w:val="00514B38"/>
    <w:rsid w:val="00514CFC"/>
    <w:rsid w:val="00515036"/>
    <w:rsid w:val="0051546D"/>
    <w:rsid w:val="00525E56"/>
    <w:rsid w:val="0053134B"/>
    <w:rsid w:val="00542377"/>
    <w:rsid w:val="0054286A"/>
    <w:rsid w:val="005461C0"/>
    <w:rsid w:val="00553508"/>
    <w:rsid w:val="005604CE"/>
    <w:rsid w:val="00561DEE"/>
    <w:rsid w:val="00561F15"/>
    <w:rsid w:val="00562A88"/>
    <w:rsid w:val="005635FB"/>
    <w:rsid w:val="00564083"/>
    <w:rsid w:val="00565C2A"/>
    <w:rsid w:val="0056702D"/>
    <w:rsid w:val="005765F2"/>
    <w:rsid w:val="0057799A"/>
    <w:rsid w:val="0058065A"/>
    <w:rsid w:val="00582B93"/>
    <w:rsid w:val="0058390C"/>
    <w:rsid w:val="00586CEE"/>
    <w:rsid w:val="005A18FA"/>
    <w:rsid w:val="005A3CD8"/>
    <w:rsid w:val="005B0D45"/>
    <w:rsid w:val="005B1F80"/>
    <w:rsid w:val="005B4220"/>
    <w:rsid w:val="005B6E2D"/>
    <w:rsid w:val="005B7C3F"/>
    <w:rsid w:val="005B7F22"/>
    <w:rsid w:val="005C470C"/>
    <w:rsid w:val="005C49E0"/>
    <w:rsid w:val="005C6DC5"/>
    <w:rsid w:val="005D0353"/>
    <w:rsid w:val="005D0AFB"/>
    <w:rsid w:val="005D1306"/>
    <w:rsid w:val="005D2F3A"/>
    <w:rsid w:val="005D33DB"/>
    <w:rsid w:val="005D4F30"/>
    <w:rsid w:val="005D714F"/>
    <w:rsid w:val="005E0B43"/>
    <w:rsid w:val="005E0BBA"/>
    <w:rsid w:val="005E2B13"/>
    <w:rsid w:val="005E6869"/>
    <w:rsid w:val="005F3965"/>
    <w:rsid w:val="005F4807"/>
    <w:rsid w:val="005F63EB"/>
    <w:rsid w:val="005F7D23"/>
    <w:rsid w:val="006007A5"/>
    <w:rsid w:val="00600DEE"/>
    <w:rsid w:val="0060420B"/>
    <w:rsid w:val="00611D23"/>
    <w:rsid w:val="00622649"/>
    <w:rsid w:val="00624F3E"/>
    <w:rsid w:val="006300A3"/>
    <w:rsid w:val="00630A98"/>
    <w:rsid w:val="00637C77"/>
    <w:rsid w:val="00642CEE"/>
    <w:rsid w:val="0065029E"/>
    <w:rsid w:val="00654D6B"/>
    <w:rsid w:val="00655757"/>
    <w:rsid w:val="00655DC8"/>
    <w:rsid w:val="006615E0"/>
    <w:rsid w:val="00661E69"/>
    <w:rsid w:val="00665A61"/>
    <w:rsid w:val="00666F13"/>
    <w:rsid w:val="00672B20"/>
    <w:rsid w:val="006747F3"/>
    <w:rsid w:val="0067535A"/>
    <w:rsid w:val="00680E55"/>
    <w:rsid w:val="00683C78"/>
    <w:rsid w:val="00697910"/>
    <w:rsid w:val="006A061C"/>
    <w:rsid w:val="006A37D1"/>
    <w:rsid w:val="006A5417"/>
    <w:rsid w:val="006B1694"/>
    <w:rsid w:val="006D1C3A"/>
    <w:rsid w:val="006D2225"/>
    <w:rsid w:val="006D5491"/>
    <w:rsid w:val="006E7659"/>
    <w:rsid w:val="006E768F"/>
    <w:rsid w:val="006F07E6"/>
    <w:rsid w:val="006F10FB"/>
    <w:rsid w:val="006F2CF2"/>
    <w:rsid w:val="00701ABD"/>
    <w:rsid w:val="00702FB5"/>
    <w:rsid w:val="00705FED"/>
    <w:rsid w:val="007079E7"/>
    <w:rsid w:val="0071440C"/>
    <w:rsid w:val="00725280"/>
    <w:rsid w:val="00727D17"/>
    <w:rsid w:val="00727FD1"/>
    <w:rsid w:val="00730D88"/>
    <w:rsid w:val="00731C60"/>
    <w:rsid w:val="007333F0"/>
    <w:rsid w:val="00737EF5"/>
    <w:rsid w:val="00742AA9"/>
    <w:rsid w:val="007454ED"/>
    <w:rsid w:val="00746BC7"/>
    <w:rsid w:val="007507E8"/>
    <w:rsid w:val="00763A21"/>
    <w:rsid w:val="00770914"/>
    <w:rsid w:val="00771CAD"/>
    <w:rsid w:val="00772F02"/>
    <w:rsid w:val="007813E8"/>
    <w:rsid w:val="00781C77"/>
    <w:rsid w:val="00785C96"/>
    <w:rsid w:val="0078752D"/>
    <w:rsid w:val="00790488"/>
    <w:rsid w:val="007937F9"/>
    <w:rsid w:val="00796D55"/>
    <w:rsid w:val="007A64A3"/>
    <w:rsid w:val="007B4A3D"/>
    <w:rsid w:val="007B6F91"/>
    <w:rsid w:val="007C30C5"/>
    <w:rsid w:val="007C5E89"/>
    <w:rsid w:val="007E16D1"/>
    <w:rsid w:val="007E2DB8"/>
    <w:rsid w:val="007E6626"/>
    <w:rsid w:val="007E70C5"/>
    <w:rsid w:val="007F15C5"/>
    <w:rsid w:val="007F16A5"/>
    <w:rsid w:val="007F3387"/>
    <w:rsid w:val="007F757A"/>
    <w:rsid w:val="0080138C"/>
    <w:rsid w:val="0080555A"/>
    <w:rsid w:val="0081331C"/>
    <w:rsid w:val="00817658"/>
    <w:rsid w:val="00820AA5"/>
    <w:rsid w:val="00824218"/>
    <w:rsid w:val="00826118"/>
    <w:rsid w:val="0083399D"/>
    <w:rsid w:val="00834048"/>
    <w:rsid w:val="008358CE"/>
    <w:rsid w:val="00840141"/>
    <w:rsid w:val="00843019"/>
    <w:rsid w:val="00847239"/>
    <w:rsid w:val="00851BD7"/>
    <w:rsid w:val="0085236D"/>
    <w:rsid w:val="00856699"/>
    <w:rsid w:val="00856E33"/>
    <w:rsid w:val="008641B0"/>
    <w:rsid w:val="0086528A"/>
    <w:rsid w:val="00875B1A"/>
    <w:rsid w:val="008814CC"/>
    <w:rsid w:val="00882B5B"/>
    <w:rsid w:val="008838B9"/>
    <w:rsid w:val="008902D1"/>
    <w:rsid w:val="00890766"/>
    <w:rsid w:val="00894BF3"/>
    <w:rsid w:val="008A1790"/>
    <w:rsid w:val="008A5AC4"/>
    <w:rsid w:val="008B0107"/>
    <w:rsid w:val="008B78A2"/>
    <w:rsid w:val="008C05F3"/>
    <w:rsid w:val="008C36F5"/>
    <w:rsid w:val="008C59F3"/>
    <w:rsid w:val="008D09FA"/>
    <w:rsid w:val="008D227A"/>
    <w:rsid w:val="008D63AD"/>
    <w:rsid w:val="008D6CF9"/>
    <w:rsid w:val="008E2466"/>
    <w:rsid w:val="008F064F"/>
    <w:rsid w:val="009016D1"/>
    <w:rsid w:val="00906EB2"/>
    <w:rsid w:val="00912989"/>
    <w:rsid w:val="00914865"/>
    <w:rsid w:val="00914E5D"/>
    <w:rsid w:val="009176D7"/>
    <w:rsid w:val="00921234"/>
    <w:rsid w:val="00923069"/>
    <w:rsid w:val="00927492"/>
    <w:rsid w:val="00931DA2"/>
    <w:rsid w:val="00936B80"/>
    <w:rsid w:val="009414E0"/>
    <w:rsid w:val="00943E7B"/>
    <w:rsid w:val="00945BE6"/>
    <w:rsid w:val="00946910"/>
    <w:rsid w:val="00951BA4"/>
    <w:rsid w:val="00955885"/>
    <w:rsid w:val="00966496"/>
    <w:rsid w:val="00972057"/>
    <w:rsid w:val="00973C64"/>
    <w:rsid w:val="009748AD"/>
    <w:rsid w:val="00984AC5"/>
    <w:rsid w:val="00985032"/>
    <w:rsid w:val="009871F7"/>
    <w:rsid w:val="00987F95"/>
    <w:rsid w:val="009906BB"/>
    <w:rsid w:val="00995CC0"/>
    <w:rsid w:val="009A08BC"/>
    <w:rsid w:val="009A0C42"/>
    <w:rsid w:val="009A4882"/>
    <w:rsid w:val="009A5E7D"/>
    <w:rsid w:val="009B0F26"/>
    <w:rsid w:val="009B183B"/>
    <w:rsid w:val="009B7D11"/>
    <w:rsid w:val="009C128A"/>
    <w:rsid w:val="009C1429"/>
    <w:rsid w:val="009C55FF"/>
    <w:rsid w:val="009C7040"/>
    <w:rsid w:val="009D37AF"/>
    <w:rsid w:val="009D3A4F"/>
    <w:rsid w:val="009D547F"/>
    <w:rsid w:val="009E30F4"/>
    <w:rsid w:val="009E4013"/>
    <w:rsid w:val="009E4437"/>
    <w:rsid w:val="009F004A"/>
    <w:rsid w:val="009F39CC"/>
    <w:rsid w:val="00A0052A"/>
    <w:rsid w:val="00A01CCF"/>
    <w:rsid w:val="00A15080"/>
    <w:rsid w:val="00A21EE2"/>
    <w:rsid w:val="00A25B5D"/>
    <w:rsid w:val="00A33555"/>
    <w:rsid w:val="00A43062"/>
    <w:rsid w:val="00A45E82"/>
    <w:rsid w:val="00A47B33"/>
    <w:rsid w:val="00A47B50"/>
    <w:rsid w:val="00A5355A"/>
    <w:rsid w:val="00A53ADA"/>
    <w:rsid w:val="00A60CD9"/>
    <w:rsid w:val="00A71C1D"/>
    <w:rsid w:val="00A75D72"/>
    <w:rsid w:val="00A76F5F"/>
    <w:rsid w:val="00A825ED"/>
    <w:rsid w:val="00A85100"/>
    <w:rsid w:val="00A8592E"/>
    <w:rsid w:val="00A92DCB"/>
    <w:rsid w:val="00A92F4F"/>
    <w:rsid w:val="00A94025"/>
    <w:rsid w:val="00AB1992"/>
    <w:rsid w:val="00AB47B8"/>
    <w:rsid w:val="00AD488D"/>
    <w:rsid w:val="00AD62A5"/>
    <w:rsid w:val="00AD7DAE"/>
    <w:rsid w:val="00AE42D3"/>
    <w:rsid w:val="00AE4BDF"/>
    <w:rsid w:val="00AE4C86"/>
    <w:rsid w:val="00B00F71"/>
    <w:rsid w:val="00B030F8"/>
    <w:rsid w:val="00B10F58"/>
    <w:rsid w:val="00B14F51"/>
    <w:rsid w:val="00B206AF"/>
    <w:rsid w:val="00B2170C"/>
    <w:rsid w:val="00B2440F"/>
    <w:rsid w:val="00B33726"/>
    <w:rsid w:val="00B34860"/>
    <w:rsid w:val="00B34DF5"/>
    <w:rsid w:val="00B40C35"/>
    <w:rsid w:val="00B45527"/>
    <w:rsid w:val="00B512D0"/>
    <w:rsid w:val="00B5204C"/>
    <w:rsid w:val="00B55D5A"/>
    <w:rsid w:val="00B5649C"/>
    <w:rsid w:val="00B62F96"/>
    <w:rsid w:val="00B67B23"/>
    <w:rsid w:val="00B73326"/>
    <w:rsid w:val="00B75968"/>
    <w:rsid w:val="00B760BE"/>
    <w:rsid w:val="00B828F7"/>
    <w:rsid w:val="00B87124"/>
    <w:rsid w:val="00B905CB"/>
    <w:rsid w:val="00B91C48"/>
    <w:rsid w:val="00B958AA"/>
    <w:rsid w:val="00BA5B81"/>
    <w:rsid w:val="00BA5CD2"/>
    <w:rsid w:val="00BB404B"/>
    <w:rsid w:val="00BB5DC5"/>
    <w:rsid w:val="00BC19F9"/>
    <w:rsid w:val="00BC6741"/>
    <w:rsid w:val="00BD5018"/>
    <w:rsid w:val="00BD6C31"/>
    <w:rsid w:val="00BD6F01"/>
    <w:rsid w:val="00BE5F3E"/>
    <w:rsid w:val="00BF0E1C"/>
    <w:rsid w:val="00BF1F60"/>
    <w:rsid w:val="00BF1FCC"/>
    <w:rsid w:val="00BF20E2"/>
    <w:rsid w:val="00BF6078"/>
    <w:rsid w:val="00C00324"/>
    <w:rsid w:val="00C0694E"/>
    <w:rsid w:val="00C1368E"/>
    <w:rsid w:val="00C16CE1"/>
    <w:rsid w:val="00C23CC0"/>
    <w:rsid w:val="00C27E9C"/>
    <w:rsid w:val="00C316F4"/>
    <w:rsid w:val="00C31A71"/>
    <w:rsid w:val="00C34D5C"/>
    <w:rsid w:val="00C358E1"/>
    <w:rsid w:val="00C42861"/>
    <w:rsid w:val="00C44D2A"/>
    <w:rsid w:val="00C45F53"/>
    <w:rsid w:val="00C466BE"/>
    <w:rsid w:val="00C46D40"/>
    <w:rsid w:val="00C46DC9"/>
    <w:rsid w:val="00C51165"/>
    <w:rsid w:val="00C517B8"/>
    <w:rsid w:val="00C529B9"/>
    <w:rsid w:val="00C556F9"/>
    <w:rsid w:val="00C56F58"/>
    <w:rsid w:val="00C57958"/>
    <w:rsid w:val="00C67333"/>
    <w:rsid w:val="00C72F0E"/>
    <w:rsid w:val="00C76140"/>
    <w:rsid w:val="00C774BB"/>
    <w:rsid w:val="00C82DA3"/>
    <w:rsid w:val="00C86024"/>
    <w:rsid w:val="00C86784"/>
    <w:rsid w:val="00C924CD"/>
    <w:rsid w:val="00C96128"/>
    <w:rsid w:val="00CA2BA6"/>
    <w:rsid w:val="00CA38EB"/>
    <w:rsid w:val="00CA79F0"/>
    <w:rsid w:val="00CB2C03"/>
    <w:rsid w:val="00CB3B67"/>
    <w:rsid w:val="00CB3BC4"/>
    <w:rsid w:val="00CB6F2B"/>
    <w:rsid w:val="00CC0ECC"/>
    <w:rsid w:val="00CC105B"/>
    <w:rsid w:val="00CC4433"/>
    <w:rsid w:val="00CD322A"/>
    <w:rsid w:val="00CF12D8"/>
    <w:rsid w:val="00CF33C4"/>
    <w:rsid w:val="00CF3D23"/>
    <w:rsid w:val="00CF6898"/>
    <w:rsid w:val="00CF6960"/>
    <w:rsid w:val="00D000B1"/>
    <w:rsid w:val="00D04295"/>
    <w:rsid w:val="00D04926"/>
    <w:rsid w:val="00D05BB2"/>
    <w:rsid w:val="00D12AD3"/>
    <w:rsid w:val="00D21734"/>
    <w:rsid w:val="00D21902"/>
    <w:rsid w:val="00D348CA"/>
    <w:rsid w:val="00D36CAD"/>
    <w:rsid w:val="00D45DDC"/>
    <w:rsid w:val="00D53D17"/>
    <w:rsid w:val="00D570A2"/>
    <w:rsid w:val="00D60EDF"/>
    <w:rsid w:val="00D722BD"/>
    <w:rsid w:val="00D751F0"/>
    <w:rsid w:val="00D76EB0"/>
    <w:rsid w:val="00D83934"/>
    <w:rsid w:val="00D83F14"/>
    <w:rsid w:val="00D86F41"/>
    <w:rsid w:val="00D94648"/>
    <w:rsid w:val="00D96EC6"/>
    <w:rsid w:val="00DA0BEF"/>
    <w:rsid w:val="00DB155D"/>
    <w:rsid w:val="00DB3F1D"/>
    <w:rsid w:val="00DC36D7"/>
    <w:rsid w:val="00DC3892"/>
    <w:rsid w:val="00DC4144"/>
    <w:rsid w:val="00DC76E7"/>
    <w:rsid w:val="00DD173F"/>
    <w:rsid w:val="00DD2847"/>
    <w:rsid w:val="00DD59D2"/>
    <w:rsid w:val="00DD6B81"/>
    <w:rsid w:val="00DE1392"/>
    <w:rsid w:val="00DE38F7"/>
    <w:rsid w:val="00DE69EB"/>
    <w:rsid w:val="00DF07F7"/>
    <w:rsid w:val="00DF29B4"/>
    <w:rsid w:val="00DF3136"/>
    <w:rsid w:val="00DF3830"/>
    <w:rsid w:val="00DF3975"/>
    <w:rsid w:val="00E00E8C"/>
    <w:rsid w:val="00E124EA"/>
    <w:rsid w:val="00E15890"/>
    <w:rsid w:val="00E165BD"/>
    <w:rsid w:val="00E1702F"/>
    <w:rsid w:val="00E17E89"/>
    <w:rsid w:val="00E318FF"/>
    <w:rsid w:val="00E31B5F"/>
    <w:rsid w:val="00E338A2"/>
    <w:rsid w:val="00E3685E"/>
    <w:rsid w:val="00E36B8C"/>
    <w:rsid w:val="00E37A9E"/>
    <w:rsid w:val="00E40F2F"/>
    <w:rsid w:val="00E42267"/>
    <w:rsid w:val="00E45C4B"/>
    <w:rsid w:val="00E51099"/>
    <w:rsid w:val="00E55206"/>
    <w:rsid w:val="00E61E3B"/>
    <w:rsid w:val="00E62447"/>
    <w:rsid w:val="00E62999"/>
    <w:rsid w:val="00E659C2"/>
    <w:rsid w:val="00E67200"/>
    <w:rsid w:val="00E679D7"/>
    <w:rsid w:val="00E8396A"/>
    <w:rsid w:val="00E863D7"/>
    <w:rsid w:val="00E86452"/>
    <w:rsid w:val="00E87FE0"/>
    <w:rsid w:val="00E9012E"/>
    <w:rsid w:val="00E94E9D"/>
    <w:rsid w:val="00EA6A71"/>
    <w:rsid w:val="00EB0B33"/>
    <w:rsid w:val="00EB0E15"/>
    <w:rsid w:val="00EB5852"/>
    <w:rsid w:val="00EB7A48"/>
    <w:rsid w:val="00EB7E46"/>
    <w:rsid w:val="00ED393A"/>
    <w:rsid w:val="00ED5DF7"/>
    <w:rsid w:val="00EE0DDC"/>
    <w:rsid w:val="00EE1A0F"/>
    <w:rsid w:val="00EE3E0D"/>
    <w:rsid w:val="00EE3EE1"/>
    <w:rsid w:val="00EF0D35"/>
    <w:rsid w:val="00EF19B4"/>
    <w:rsid w:val="00EF6126"/>
    <w:rsid w:val="00F00119"/>
    <w:rsid w:val="00F05086"/>
    <w:rsid w:val="00F07B5C"/>
    <w:rsid w:val="00F07E7F"/>
    <w:rsid w:val="00F13BBE"/>
    <w:rsid w:val="00F14C5C"/>
    <w:rsid w:val="00F20B62"/>
    <w:rsid w:val="00F24347"/>
    <w:rsid w:val="00F30E15"/>
    <w:rsid w:val="00F325C2"/>
    <w:rsid w:val="00F32CAD"/>
    <w:rsid w:val="00F353CC"/>
    <w:rsid w:val="00F37BC0"/>
    <w:rsid w:val="00F402F8"/>
    <w:rsid w:val="00F415DE"/>
    <w:rsid w:val="00F423BB"/>
    <w:rsid w:val="00F45823"/>
    <w:rsid w:val="00F51A10"/>
    <w:rsid w:val="00F56620"/>
    <w:rsid w:val="00F56858"/>
    <w:rsid w:val="00F618AE"/>
    <w:rsid w:val="00F646A1"/>
    <w:rsid w:val="00F7223F"/>
    <w:rsid w:val="00F73D9B"/>
    <w:rsid w:val="00F82DF7"/>
    <w:rsid w:val="00F86628"/>
    <w:rsid w:val="00F918F4"/>
    <w:rsid w:val="00F94687"/>
    <w:rsid w:val="00FA1A29"/>
    <w:rsid w:val="00FA1FE6"/>
    <w:rsid w:val="00FB484F"/>
    <w:rsid w:val="00FB660E"/>
    <w:rsid w:val="00FC53F1"/>
    <w:rsid w:val="00FC7E11"/>
    <w:rsid w:val="00FE0098"/>
    <w:rsid w:val="00FE0768"/>
    <w:rsid w:val="00FE6BEB"/>
    <w:rsid w:val="00FE7581"/>
    <w:rsid w:val="00FF16B4"/>
    <w:rsid w:val="00FF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EAC"/>
    <w:pPr>
      <w:spacing w:line="480" w:lineRule="auto"/>
      <w:ind w:firstLine="720"/>
      <w:jc w:val="lowKashida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F2B"/>
    <w:pPr>
      <w:keepNext/>
      <w:keepLines/>
      <w:numPr>
        <w:numId w:val="2"/>
      </w:numPr>
      <w:spacing w:before="480" w:after="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6F2B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F2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F2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F2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F2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F2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F2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F2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4">
    <w:name w:val="Style4"/>
    <w:uiPriority w:val="99"/>
    <w:rsid w:val="003D224B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E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4BF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B6F2B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B6F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F2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F2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2B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2B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cp2">
    <w:name w:val="hcp2"/>
    <w:basedOn w:val="DefaultParagraphFont"/>
    <w:rsid w:val="00195DCF"/>
    <w:rPr>
      <w:b/>
      <w:bCs/>
    </w:rPr>
  </w:style>
  <w:style w:type="paragraph" w:customStyle="1" w:styleId="body-text">
    <w:name w:val="body-text"/>
    <w:basedOn w:val="Normal"/>
    <w:rsid w:val="00195DC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931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03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03A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4028CF"/>
  </w:style>
  <w:style w:type="character" w:styleId="CommentReference">
    <w:name w:val="annotation reference"/>
    <w:basedOn w:val="DefaultParagraphFont"/>
    <w:uiPriority w:val="99"/>
    <w:semiHidden/>
    <w:unhideWhenUsed/>
    <w:rsid w:val="009C5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5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55FF"/>
    <w:rPr>
      <w:rFonts w:ascii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6B8C"/>
    <w:pPr>
      <w:bidi/>
      <w:spacing w:line="276" w:lineRule="auto"/>
      <w:ind w:left="720" w:firstLine="0"/>
      <w:contextualSpacing/>
      <w:jc w:val="left"/>
    </w:pPr>
    <w:rPr>
      <w:rFonts w:asciiTheme="minorHAnsi" w:hAnsiTheme="minorHAnsi"/>
      <w:sz w:val="22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5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55D"/>
    <w:rPr>
      <w:rFonts w:ascii="Times New Roman" w:hAnsi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B422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4220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B422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B4220"/>
    <w:rPr>
      <w:rFonts w:ascii="Times New Roman" w:hAnsi="Times New Roman" w:cs="Times New Roman"/>
      <w:noProof/>
      <w:sz w:val="24"/>
    </w:rPr>
  </w:style>
  <w:style w:type="character" w:styleId="Strong">
    <w:name w:val="Strong"/>
    <w:basedOn w:val="DefaultParagraphFont"/>
    <w:uiPriority w:val="22"/>
    <w:qFormat/>
    <w:rsid w:val="00A92F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EAC"/>
    <w:pPr>
      <w:spacing w:line="480" w:lineRule="auto"/>
      <w:ind w:firstLine="720"/>
      <w:jc w:val="lowKashida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F2B"/>
    <w:pPr>
      <w:keepNext/>
      <w:keepLines/>
      <w:numPr>
        <w:numId w:val="2"/>
      </w:numPr>
      <w:spacing w:before="480" w:after="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6F2B"/>
    <w:pPr>
      <w:keepNext/>
      <w:keepLines/>
      <w:numPr>
        <w:ilvl w:val="1"/>
        <w:numId w:val="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F2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F2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F2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F2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F2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F2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F2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4">
    <w:name w:val="Style4"/>
    <w:uiPriority w:val="99"/>
    <w:rsid w:val="003D224B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E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4BF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B6F2B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B6F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F2B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F2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2B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2B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2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2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cp2">
    <w:name w:val="hcp2"/>
    <w:basedOn w:val="DefaultParagraphFont"/>
    <w:rsid w:val="00195DCF"/>
    <w:rPr>
      <w:b/>
      <w:bCs/>
    </w:rPr>
  </w:style>
  <w:style w:type="paragraph" w:customStyle="1" w:styleId="body-text">
    <w:name w:val="body-text"/>
    <w:basedOn w:val="Normal"/>
    <w:rsid w:val="00195DC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931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03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64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03A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4028CF"/>
  </w:style>
  <w:style w:type="character" w:styleId="CommentReference">
    <w:name w:val="annotation reference"/>
    <w:basedOn w:val="DefaultParagraphFont"/>
    <w:uiPriority w:val="99"/>
    <w:semiHidden/>
    <w:unhideWhenUsed/>
    <w:rsid w:val="009C55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55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55FF"/>
    <w:rPr>
      <w:rFonts w:ascii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36B8C"/>
    <w:pPr>
      <w:bidi/>
      <w:spacing w:line="276" w:lineRule="auto"/>
      <w:ind w:left="720" w:firstLine="0"/>
      <w:contextualSpacing/>
      <w:jc w:val="left"/>
    </w:pPr>
    <w:rPr>
      <w:rFonts w:asciiTheme="minorHAnsi" w:hAnsiTheme="minorHAnsi"/>
      <w:sz w:val="22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5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55D"/>
    <w:rPr>
      <w:rFonts w:ascii="Times New Roman" w:hAnsi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B422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4220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B422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B4220"/>
    <w:rPr>
      <w:rFonts w:ascii="Times New Roman" w:hAnsi="Times New Roman" w:cs="Times New Roman"/>
      <w:noProof/>
      <w:sz w:val="24"/>
    </w:rPr>
  </w:style>
  <w:style w:type="character" w:styleId="Strong">
    <w:name w:val="Strong"/>
    <w:basedOn w:val="DefaultParagraphFont"/>
    <w:uiPriority w:val="22"/>
    <w:qFormat/>
    <w:rsid w:val="00A92F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microsoft.com/office/2007/relationships/hdphoto" Target="media/hdphoto3.wdp"/><Relationship Id="rId26" Type="http://schemas.microsoft.com/office/2007/relationships/hdphoto" Target="media/hdphoto7.wdp"/><Relationship Id="rId39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oleObject" Target="embeddings/oleObject1.bin"/><Relationship Id="rId42" Type="http://schemas.openxmlformats.org/officeDocument/2006/relationships/image" Target="media/image18.png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38" Type="http://schemas.openxmlformats.org/officeDocument/2006/relationships/oleObject" Target="embeddings/oleObject3.bin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microsoft.com/office/2007/relationships/hdphoto" Target="media/hdphoto4.wdp"/><Relationship Id="rId29" Type="http://schemas.openxmlformats.org/officeDocument/2006/relationships/image" Target="media/image11.png"/><Relationship Id="rId41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microsoft.com/office/2007/relationships/hdphoto" Target="media/hdphoto6.wdp"/><Relationship Id="rId32" Type="http://schemas.microsoft.com/office/2007/relationships/hdphoto" Target="media/hdphoto10.wdp"/><Relationship Id="rId37" Type="http://schemas.openxmlformats.org/officeDocument/2006/relationships/image" Target="media/image15.png"/><Relationship Id="rId40" Type="http://schemas.openxmlformats.org/officeDocument/2006/relationships/oleObject" Target="embeddings/oleObject4.bin"/><Relationship Id="rId45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microsoft.com/office/2007/relationships/hdphoto" Target="media/hdphoto8.wdp"/><Relationship Id="rId36" Type="http://schemas.openxmlformats.org/officeDocument/2006/relationships/oleObject" Target="embeddings/oleObject2.bin"/><Relationship Id="rId10" Type="http://schemas.openxmlformats.org/officeDocument/2006/relationships/hyperlink" Target="mailto:azamghavi@ymail.com" TargetMode="External"/><Relationship Id="rId19" Type="http://schemas.openxmlformats.org/officeDocument/2006/relationships/image" Target="media/image6.png"/><Relationship Id="rId31" Type="http://schemas.openxmlformats.org/officeDocument/2006/relationships/image" Target="media/image12.png"/><Relationship Id="rId44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hyperlink" Target="https://onlinelibrary.wiley.com/action/doSearch?ContribAuthorStored=Bagherian%2C+Ghadam+Ali" TargetMode="External"/><Relationship Id="rId14" Type="http://schemas.microsoft.com/office/2007/relationships/hdphoto" Target="media/hdphoto1.wdp"/><Relationship Id="rId22" Type="http://schemas.microsoft.com/office/2007/relationships/hdphoto" Target="media/hdphoto5.wdp"/><Relationship Id="rId27" Type="http://schemas.openxmlformats.org/officeDocument/2006/relationships/image" Target="media/image10.png"/><Relationship Id="rId30" Type="http://schemas.microsoft.com/office/2007/relationships/hdphoto" Target="media/hdphoto9.wdp"/><Relationship Id="rId35" Type="http://schemas.openxmlformats.org/officeDocument/2006/relationships/image" Target="media/image14.png"/><Relationship Id="rId43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CC795-F6EB-4406-8177-A96BDDA46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813</TotalTime>
  <Pages>8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kian</dc:creator>
  <cp:keywords/>
  <dc:description/>
  <cp:lastModifiedBy>ghavi</cp:lastModifiedBy>
  <cp:revision>19</cp:revision>
  <dcterms:created xsi:type="dcterms:W3CDTF">2019-05-22T12:24:00Z</dcterms:created>
  <dcterms:modified xsi:type="dcterms:W3CDTF">2021-01-25T05:05:00Z</dcterms:modified>
</cp:coreProperties>
</file>