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FA0" w:rsidRPr="0062151F" w:rsidRDefault="00D36FA0" w:rsidP="00D36FA0">
      <w:pPr>
        <w:jc w:val="both"/>
        <w:rPr>
          <w:rFonts w:ascii="Times New Roman" w:hAnsi="Times New Roman" w:cs="Times New Roman"/>
        </w:rPr>
      </w:pPr>
      <w:r w:rsidRPr="0062151F">
        <w:rPr>
          <w:rFonts w:ascii="Times New Roman" w:hAnsi="Times New Roman" w:cs="Times New Roman"/>
          <w:b/>
        </w:rPr>
        <w:t>Supplementary Table 1.</w:t>
      </w:r>
      <w:r w:rsidRPr="0062151F">
        <w:rPr>
          <w:rFonts w:ascii="Times New Roman" w:hAnsi="Times New Roman" w:cs="Times New Roman"/>
        </w:rPr>
        <w:t xml:space="preserve"> Characteristics of TEMPO cohort participants according to longitudinal ADHD trajectory </w:t>
      </w:r>
      <w:r w:rsidRPr="0062151F">
        <w:rPr>
          <w:rFonts w:ascii="Times New Roman" w:hAnsi="Times New Roman" w:cs="Times New Roman"/>
          <w:b/>
          <w:bCs/>
        </w:rPr>
        <w:t>(TEMPO cohort study, France, 1991-2021)</w:t>
      </w:r>
    </w:p>
    <w:p w:rsidR="00D36FA0" w:rsidRPr="0062151F" w:rsidRDefault="00D36FA0" w:rsidP="00D36FA0">
      <w:pPr>
        <w:rPr>
          <w:rFonts w:ascii="Times New Roman" w:hAnsi="Times New Roman" w:cs="Times New Roman"/>
        </w:rPr>
      </w:pPr>
    </w:p>
    <w:tbl>
      <w:tblPr>
        <w:tblW w:w="930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65"/>
        <w:gridCol w:w="1347"/>
        <w:gridCol w:w="1560"/>
        <w:gridCol w:w="2021"/>
        <w:gridCol w:w="915"/>
      </w:tblGrid>
      <w:tr w:rsidR="00D36FA0" w:rsidRPr="0062151F" w:rsidTr="00C25FBD">
        <w:trPr>
          <w:cantSplit/>
          <w:trHeight w:hRule="exact" w:val="944"/>
          <w:tblHeader/>
        </w:trPr>
        <w:tc>
          <w:tcPr>
            <w:tcW w:w="3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36FA0" w:rsidRPr="0062151F" w:rsidRDefault="00D36FA0" w:rsidP="00C25FBD">
            <w:pPr>
              <w:keepNext/>
              <w:widowControl w:val="0"/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Variable, n (%)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36FA0" w:rsidRPr="0062151F" w:rsidRDefault="00D36FA0" w:rsidP="00C25FBD">
            <w:pPr>
              <w:keepNext/>
              <w:widowControl w:val="0"/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Overall</w:t>
            </w:r>
          </w:p>
          <w:p w:rsidR="00D36FA0" w:rsidRPr="0062151F" w:rsidRDefault="00D36FA0" w:rsidP="00C25FBD">
            <w:pPr>
              <w:keepNext/>
              <w:widowControl w:val="0"/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hAnsi="Times New Roman" w:cs="Times New Roman"/>
              </w:rPr>
              <w:t>(n = 1,082</w:t>
            </w:r>
            <w:r w:rsidRPr="006215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6215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36FA0" w:rsidRPr="0062151F" w:rsidRDefault="00D36FA0" w:rsidP="00C25FBD">
            <w:pPr>
              <w:widowControl w:val="0"/>
              <w:spacing w:before="40" w:after="4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ADHD low trajectory</w:t>
            </w:r>
          </w:p>
          <w:p w:rsidR="00D36FA0" w:rsidRPr="0062151F" w:rsidRDefault="00D36FA0" w:rsidP="00C25FBD">
            <w:pPr>
              <w:widowControl w:val="0"/>
              <w:spacing w:before="40" w:after="4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(n = 871)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36FA0" w:rsidRPr="0062151F" w:rsidRDefault="00D36FA0" w:rsidP="00C25FBD">
            <w:pPr>
              <w:widowControl w:val="0"/>
              <w:spacing w:before="40" w:after="4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 xml:space="preserve">Persistent symptoms of ADHD </w:t>
            </w:r>
          </w:p>
          <w:p w:rsidR="00D36FA0" w:rsidRPr="0062151F" w:rsidRDefault="00D36FA0" w:rsidP="00C25FBD">
            <w:pPr>
              <w:widowControl w:val="0"/>
              <w:spacing w:before="40" w:after="4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(n = 211)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36FA0" w:rsidRPr="0062151F" w:rsidRDefault="00D36FA0" w:rsidP="00C25FBD">
            <w:pPr>
              <w:widowControl w:val="0"/>
              <w:spacing w:before="40" w:after="4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p-value</w:t>
            </w:r>
            <w:r w:rsidRPr="0062151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auto immune disease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341 (31.5%)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257 (29.5%)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84 (39.8%)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0.004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Premature birth (before 37 weeks)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313 (28.9%)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248 (28.5%)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65 (30.8%)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0.503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auto immune disease and prematurity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0.002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Neither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517 (47.8%)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438 (50.3%)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79 (37.4%)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Only prematurity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224 (20.7%)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176 (20.2%)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48 (22.7%)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Only auto immune disease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252 (23.3%)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185 (21.2%)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67 (31.8%)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Both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89 (8.2%)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72 (8.3%)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17 (8.1%)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Child’s gender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tabs>
                <w:tab w:val="center" w:pos="351"/>
              </w:tabs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  <w:b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0.146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 xml:space="preserve">Male 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536 (49.5%)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422 (48.5%)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114 (54.0%)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Female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546 (50.5%)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449 (51.5%)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97 (46.0%)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gender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0.013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 xml:space="preserve">Male 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710 (65.6%)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587 (67.4%)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123 (58.3%)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Female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372 (34.4%)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284 (32.6%)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88 (41.7%)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age at birth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0.006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38 years old or less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900 (83.2%)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738 (84.7%)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162 (76.8%)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After 38 years old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182 (16.8%)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133 (15.3%)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49 (23.2%)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occupational grade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0.887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Executives, craftsmen, shopkeepers and company managers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594 (54.9%)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475 (54.5%)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119 (56.4%)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Farmers and intermediate professions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413 (38.2%)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335 (38.5%)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78 (37.0%)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Employees and manual workers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75 (6.9%)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61 (7.0%)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14 (6.6%)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tobacco status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  <w:b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0.074</w:t>
            </w: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Non-smoker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454 (42.0%)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368 (42.3%)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86 (40.8%)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Former-smoker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287 (26.5%)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241 (27.7%)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46 (21.8%)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Smoker</w:t>
            </w:r>
          </w:p>
        </w:tc>
        <w:tc>
          <w:tcPr>
            <w:tcW w:w="1347" w:type="dxa"/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341 (31.5%)</w:t>
            </w:r>
          </w:p>
        </w:tc>
        <w:tc>
          <w:tcPr>
            <w:tcW w:w="1560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262 (30.1%)</w:t>
            </w:r>
          </w:p>
        </w:tc>
        <w:tc>
          <w:tcPr>
            <w:tcW w:w="2021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79 (37.4%)</w:t>
            </w:r>
          </w:p>
        </w:tc>
        <w:tc>
          <w:tcPr>
            <w:tcW w:w="915" w:type="dxa"/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FA0" w:rsidRPr="0062151F" w:rsidTr="00C25FBD">
        <w:trPr>
          <w:cantSplit/>
          <w:trHeight w:hRule="exact" w:val="312"/>
        </w:trPr>
        <w:tc>
          <w:tcPr>
            <w:tcW w:w="3465" w:type="dxa"/>
            <w:tcBorders>
              <w:bottom w:val="single" w:sz="4" w:space="0" w:color="000000"/>
            </w:tcBorders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b/>
                <w:color w:val="000000"/>
              </w:rPr>
              <w:t>Parental alcohol abuse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  <w:shd w:val="clear" w:color="auto" w:fill="FFFFFF"/>
          </w:tcPr>
          <w:p w:rsidR="00D36FA0" w:rsidRPr="0062151F" w:rsidRDefault="00D36FA0" w:rsidP="00C25FBD">
            <w:pPr>
              <w:keepNext/>
              <w:widowControl w:val="0"/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318 (29.4%)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252 (28.9%)</w:t>
            </w:r>
          </w:p>
        </w:tc>
        <w:tc>
          <w:tcPr>
            <w:tcW w:w="2021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66 (31.3%)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36FA0" w:rsidRPr="0062151F" w:rsidRDefault="00D36FA0" w:rsidP="00C25FBD">
            <w:pPr>
              <w:widowControl w:val="0"/>
              <w:spacing w:before="100" w:after="100"/>
              <w:ind w:left="100" w:right="102"/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eastAsia="Arial" w:hAnsi="Times New Roman" w:cs="Times New Roman"/>
                <w:color w:val="000000"/>
              </w:rPr>
              <w:t>0.502</w:t>
            </w:r>
          </w:p>
        </w:tc>
      </w:tr>
    </w:tbl>
    <w:p w:rsidR="00D36FA0" w:rsidRPr="0062151F" w:rsidRDefault="00D36FA0" w:rsidP="00D36FA0">
      <w:pPr>
        <w:rPr>
          <w:rFonts w:ascii="Times New Roman" w:hAnsi="Times New Roman" w:cs="Times New Roman"/>
        </w:rPr>
      </w:pPr>
      <w:proofErr w:type="gramStart"/>
      <w:r w:rsidRPr="0062151F">
        <w:rPr>
          <w:rFonts w:ascii="Times New Roman" w:hAnsi="Times New Roman" w:cs="Times New Roman"/>
          <w:vertAlign w:val="superscript"/>
        </w:rPr>
        <w:t>1</w:t>
      </w:r>
      <w:proofErr w:type="gramEnd"/>
      <w:r w:rsidRPr="0062151F">
        <w:rPr>
          <w:rFonts w:ascii="Times New Roman" w:hAnsi="Times New Roman" w:cs="Times New Roman"/>
          <w:vertAlign w:val="superscript"/>
        </w:rPr>
        <w:t xml:space="preserve"> </w:t>
      </w:r>
      <w:r w:rsidRPr="0062151F">
        <w:rPr>
          <w:rFonts w:ascii="Times New Roman" w:hAnsi="Times New Roman" w:cs="Times New Roman"/>
        </w:rPr>
        <w:t>Individuals with information on child ADHD, child prematurity and parental autoimmune disease</w:t>
      </w:r>
    </w:p>
    <w:p w:rsidR="00D36FA0" w:rsidRPr="0062151F" w:rsidRDefault="00D36FA0" w:rsidP="00D36FA0">
      <w:pPr>
        <w:rPr>
          <w:rFonts w:ascii="Times New Roman" w:hAnsi="Times New Roman" w:cs="Times New Roman"/>
        </w:rPr>
      </w:pPr>
      <w:proofErr w:type="gramStart"/>
      <w:r w:rsidRPr="0062151F">
        <w:rPr>
          <w:rFonts w:ascii="Times New Roman" w:eastAsia="Arial" w:hAnsi="Times New Roman" w:cs="Times New Roman"/>
          <w:color w:val="000000"/>
          <w:vertAlign w:val="superscript"/>
        </w:rPr>
        <w:t>2</w:t>
      </w:r>
      <w:proofErr w:type="gramEnd"/>
      <w:r w:rsidRPr="0062151F">
        <w:rPr>
          <w:rFonts w:ascii="Times New Roman" w:eastAsia="Arial" w:hAnsi="Times New Roman" w:cs="Times New Roman"/>
          <w:color w:val="000000"/>
          <w:vertAlign w:val="superscript"/>
        </w:rPr>
        <w:t xml:space="preserve"> </w:t>
      </w:r>
      <w:r w:rsidRPr="0062151F">
        <w:rPr>
          <w:rFonts w:ascii="Times New Roman" w:eastAsia="Arial" w:hAnsi="Times New Roman" w:cs="Times New Roman"/>
          <w:color w:val="000000"/>
        </w:rPr>
        <w:t>Pearson's Chi-squared test</w:t>
      </w:r>
    </w:p>
    <w:p w:rsidR="00D36FA0" w:rsidRPr="0062151F" w:rsidRDefault="00D36FA0" w:rsidP="00D36FA0">
      <w:pPr>
        <w:rPr>
          <w:rFonts w:ascii="Times New Roman" w:hAnsi="Times New Roman" w:cs="Times New Roman"/>
          <w:b/>
          <w:bCs/>
        </w:rPr>
      </w:pPr>
      <w:r w:rsidRPr="0062151F">
        <w:rPr>
          <w:rFonts w:ascii="Times New Roman" w:hAnsi="Times New Roman" w:cs="Times New Roman"/>
        </w:rPr>
        <w:br w:type="page"/>
      </w:r>
    </w:p>
    <w:p w:rsidR="00D36FA0" w:rsidRPr="0062151F" w:rsidRDefault="00D36FA0" w:rsidP="00D36FA0">
      <w:pPr>
        <w:jc w:val="both"/>
        <w:rPr>
          <w:rFonts w:ascii="Times New Roman" w:hAnsi="Times New Roman" w:cs="Times New Roman"/>
          <w:b/>
          <w:bCs/>
        </w:rPr>
      </w:pPr>
      <w:r w:rsidRPr="0062151F">
        <w:rPr>
          <w:rFonts w:ascii="Times New Roman" w:hAnsi="Times New Roman" w:cs="Times New Roman"/>
          <w:b/>
        </w:rPr>
        <w:lastRenderedPageBreak/>
        <w:t>Supplementary Table 2.</w:t>
      </w:r>
      <w:r w:rsidRPr="0062151F">
        <w:rPr>
          <w:rFonts w:ascii="Times New Roman" w:hAnsi="Times New Roman" w:cs="Times New Roman"/>
        </w:rPr>
        <w:t xml:space="preserve"> Estimation of the mean ADHD trajectories and associated 95% confidence intervals </w:t>
      </w:r>
      <w:r w:rsidRPr="0062151F">
        <w:rPr>
          <w:rFonts w:ascii="Times New Roman" w:hAnsi="Times New Roman" w:cs="Times New Roman"/>
          <w:b/>
          <w:bCs/>
        </w:rPr>
        <w:t>(TEMPO cohort study, France, 1991-2021)</w:t>
      </w:r>
    </w:p>
    <w:p w:rsidR="00D36FA0" w:rsidRPr="0062151F" w:rsidRDefault="00D36FA0" w:rsidP="00D36FA0">
      <w:pPr>
        <w:jc w:val="both"/>
        <w:rPr>
          <w:rFonts w:ascii="Times New Roman" w:hAnsi="Times New Roman" w:cs="Times New Roman"/>
          <w:bCs/>
        </w:rPr>
      </w:pPr>
    </w:p>
    <w:p w:rsidR="00D36FA0" w:rsidRPr="0062151F" w:rsidRDefault="00D36FA0" w:rsidP="00D36FA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2151F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0D439043" wp14:editId="74020ABE">
            <wp:extent cx="5909310" cy="3848100"/>
            <wp:effectExtent l="0" t="0" r="15240" b="0"/>
            <wp:docPr id="1" name="Objet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64DB7" w:rsidRDefault="00864DB7">
      <w:bookmarkStart w:id="0" w:name="_GoBack"/>
      <w:bookmarkEnd w:id="0"/>
    </w:p>
    <w:sectPr w:rsidR="0086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A0"/>
    <w:rsid w:val="00864DB7"/>
    <w:rsid w:val="00D3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CF768-89F6-41C5-8E6E-5A133D9B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FA0"/>
    <w:pPr>
      <w:suppressAutoHyphens/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312499999999993E-2"/>
          <c:y val="2.31111111111111E-2"/>
          <c:w val="0.87793750000000004"/>
          <c:h val="0.81677777777777805"/>
        </c:manualLayout>
      </c:layout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Persistent symptoms of ADHD </c:v>
                </c:pt>
              </c:strCache>
            </c:strRef>
          </c:tx>
          <c:spPr>
            <a:ln w="19080" cap="rnd">
              <a:solidFill>
                <a:srgbClr val="B4C7E7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9"/>
                <c:pt idx="0">
                  <c:v>60.182070484910803</c:v>
                </c:pt>
                <c:pt idx="1">
                  <c:v>60.460589276516799</c:v>
                </c:pt>
                <c:pt idx="2">
                  <c:v>61.4389069363381</c:v>
                </c:pt>
                <c:pt idx="3">
                  <c:v>61.440486584098402</c:v>
                </c:pt>
                <c:pt idx="4">
                  <c:v>61.655736379671303</c:v>
                </c:pt>
                <c:pt idx="5">
                  <c:v>61.719129070641998</c:v>
                </c:pt>
                <c:pt idx="6">
                  <c:v>59.419689584066099</c:v>
                </c:pt>
                <c:pt idx="7">
                  <c:v>61.931799799436597</c:v>
                </c:pt>
                <c:pt idx="8">
                  <c:v>60.927852092351401</c:v>
                </c:pt>
                <c:pt idx="9">
                  <c:v>60.917849239789199</c:v>
                </c:pt>
                <c:pt idx="10">
                  <c:v>61.470944042571602</c:v>
                </c:pt>
                <c:pt idx="11">
                  <c:v>60.350958509987301</c:v>
                </c:pt>
                <c:pt idx="12">
                  <c:v>61.628283254248103</c:v>
                </c:pt>
                <c:pt idx="13">
                  <c:v>62.3243299526737</c:v>
                </c:pt>
                <c:pt idx="14">
                  <c:v>62.593824319224098</c:v>
                </c:pt>
                <c:pt idx="15">
                  <c:v>62.7463394150856</c:v>
                </c:pt>
                <c:pt idx="16">
                  <c:v>59.393352207893997</c:v>
                </c:pt>
                <c:pt idx="17">
                  <c:v>61.833893889851801</c:v>
                </c:pt>
                <c:pt idx="18">
                  <c:v>64.471593494827502</c:v>
                </c:pt>
                <c:pt idx="19">
                  <c:v>61.188381208571499</c:v>
                </c:pt>
                <c:pt idx="20">
                  <c:v>60.388668621612901</c:v>
                </c:pt>
                <c:pt idx="21">
                  <c:v>59.313783807399098</c:v>
                </c:pt>
                <c:pt idx="22">
                  <c:v>61.094093574459301</c:v>
                </c:pt>
                <c:pt idx="23">
                  <c:v>62.241638371276302</c:v>
                </c:pt>
                <c:pt idx="24">
                  <c:v>59.942960878709997</c:v>
                </c:pt>
                <c:pt idx="25">
                  <c:v>61.312960546668798</c:v>
                </c:pt>
                <c:pt idx="26">
                  <c:v>61.208962759412401</c:v>
                </c:pt>
                <c:pt idx="27">
                  <c:v>59.9355775751702</c:v>
                </c:pt>
                <c:pt idx="28">
                  <c:v>60.352416534637499</c:v>
                </c:pt>
                <c:pt idx="29">
                  <c:v>59.224998874474302</c:v>
                </c:pt>
                <c:pt idx="30">
                  <c:v>60.053182383730103</c:v>
                </c:pt>
                <c:pt idx="31">
                  <c:v>58.414858859841303</c:v>
                </c:pt>
                <c:pt idx="32">
                  <c:v>60.857330595450797</c:v>
                </c:pt>
                <c:pt idx="33">
                  <c:v>62.316776739728098</c:v>
                </c:pt>
                <c:pt idx="34">
                  <c:v>62.702033815991797</c:v>
                </c:pt>
                <c:pt idx="35">
                  <c:v>62.368978194022397</c:v>
                </c:pt>
                <c:pt idx="36">
                  <c:v>62.788651364438998</c:v>
                </c:pt>
                <c:pt idx="37">
                  <c:v>62.582289524556302</c:v>
                </c:pt>
                <c:pt idx="38">
                  <c:v>61.469402083044798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CE6-432C-9A6E-81067CDC8A6C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Observed averages</c:v>
                </c:pt>
              </c:strCache>
            </c:strRef>
          </c:tx>
          <c:spPr>
            <a:ln w="19080" cap="rnd">
              <a:solidFill>
                <a:srgbClr val="4472C4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9"/>
                <c:pt idx="0">
                  <c:v>47.583378323032001</c:v>
                </c:pt>
                <c:pt idx="1">
                  <c:v>48.184230059646701</c:v>
                </c:pt>
                <c:pt idx="2">
                  <c:v>47.1727234853022</c:v>
                </c:pt>
                <c:pt idx="3">
                  <c:v>47.673349246629698</c:v>
                </c:pt>
                <c:pt idx="4">
                  <c:v>48.440298082091402</c:v>
                </c:pt>
                <c:pt idx="5">
                  <c:v>46.823485658798802</c:v>
                </c:pt>
                <c:pt idx="6">
                  <c:v>46.291288493024702</c:v>
                </c:pt>
                <c:pt idx="7">
                  <c:v>47.277823686989898</c:v>
                </c:pt>
                <c:pt idx="8">
                  <c:v>47.393550468633698</c:v>
                </c:pt>
                <c:pt idx="9">
                  <c:v>47.657552892627002</c:v>
                </c:pt>
                <c:pt idx="10">
                  <c:v>46.848379910903198</c:v>
                </c:pt>
                <c:pt idx="11">
                  <c:v>46.847093315724997</c:v>
                </c:pt>
                <c:pt idx="12">
                  <c:v>46.407227322741498</c:v>
                </c:pt>
                <c:pt idx="13">
                  <c:v>46.659535654736899</c:v>
                </c:pt>
                <c:pt idx="14">
                  <c:v>46.721684867422297</c:v>
                </c:pt>
                <c:pt idx="15">
                  <c:v>46.501338669123697</c:v>
                </c:pt>
                <c:pt idx="16">
                  <c:v>45.511317532858698</c:v>
                </c:pt>
                <c:pt idx="17">
                  <c:v>46.741012968022503</c:v>
                </c:pt>
                <c:pt idx="18">
                  <c:v>46.463099480100801</c:v>
                </c:pt>
                <c:pt idx="19">
                  <c:v>46.7095494570735</c:v>
                </c:pt>
                <c:pt idx="20">
                  <c:v>47.734061300065399</c:v>
                </c:pt>
                <c:pt idx="21">
                  <c:v>47.580712678630299</c:v>
                </c:pt>
                <c:pt idx="22">
                  <c:v>48.425001193631999</c:v>
                </c:pt>
                <c:pt idx="23">
                  <c:v>47.667675844664501</c:v>
                </c:pt>
                <c:pt idx="24">
                  <c:v>47.507344841286297</c:v>
                </c:pt>
                <c:pt idx="25">
                  <c:v>46.884275604614601</c:v>
                </c:pt>
                <c:pt idx="26">
                  <c:v>46.765654613666896</c:v>
                </c:pt>
                <c:pt idx="27">
                  <c:v>47.701672093324099</c:v>
                </c:pt>
                <c:pt idx="28">
                  <c:v>46.142085148652399</c:v>
                </c:pt>
                <c:pt idx="29">
                  <c:v>46.146983702309001</c:v>
                </c:pt>
                <c:pt idx="30">
                  <c:v>46.743210098414799</c:v>
                </c:pt>
                <c:pt idx="31">
                  <c:v>46.937569442016802</c:v>
                </c:pt>
                <c:pt idx="32">
                  <c:v>48.578429312100802</c:v>
                </c:pt>
                <c:pt idx="33">
                  <c:v>46.945820076917002</c:v>
                </c:pt>
                <c:pt idx="34">
                  <c:v>48.096775421041599</c:v>
                </c:pt>
                <c:pt idx="35">
                  <c:v>47.288374502676497</c:v>
                </c:pt>
                <c:pt idx="36">
                  <c:v>46.326148281065102</c:v>
                </c:pt>
                <c:pt idx="37">
                  <c:v>47.126328207512202</c:v>
                </c:pt>
                <c:pt idx="38">
                  <c:v>47.313484192972403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E6-432C-9A6E-81067CDC8A6C}"/>
            </c:ext>
          </c:extLst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Modeled trajectories</c:v>
                </c:pt>
              </c:strCache>
            </c:strRef>
          </c:tx>
          <c:spPr>
            <a:ln w="19080" cap="rnd">
              <a:solidFill>
                <a:srgbClr val="4472C4"/>
              </a:solidFill>
              <a:prstDash val="sysDash"/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9"/>
                <c:pt idx="0">
                  <c:v>47.090669979796701</c:v>
                </c:pt>
                <c:pt idx="1">
                  <c:v>47.090669979796701</c:v>
                </c:pt>
                <c:pt idx="2">
                  <c:v>47.090669979796701</c:v>
                </c:pt>
                <c:pt idx="3">
                  <c:v>47.090669979796701</c:v>
                </c:pt>
                <c:pt idx="4">
                  <c:v>47.090669979796701</c:v>
                </c:pt>
                <c:pt idx="5">
                  <c:v>47.090669979796701</c:v>
                </c:pt>
                <c:pt idx="6">
                  <c:v>47.090669979796701</c:v>
                </c:pt>
                <c:pt idx="7">
                  <c:v>47.090669979796701</c:v>
                </c:pt>
                <c:pt idx="8">
                  <c:v>47.090669979796701</c:v>
                </c:pt>
                <c:pt idx="9">
                  <c:v>47.090669979796701</c:v>
                </c:pt>
                <c:pt idx="10">
                  <c:v>47.090669979796701</c:v>
                </c:pt>
                <c:pt idx="11">
                  <c:v>47.090669979796701</c:v>
                </c:pt>
                <c:pt idx="12">
                  <c:v>47.090669979796701</c:v>
                </c:pt>
                <c:pt idx="13">
                  <c:v>47.090669979796701</c:v>
                </c:pt>
                <c:pt idx="14">
                  <c:v>47.090669979796701</c:v>
                </c:pt>
                <c:pt idx="15">
                  <c:v>47.090669979796701</c:v>
                </c:pt>
                <c:pt idx="16">
                  <c:v>47.090669979796701</c:v>
                </c:pt>
                <c:pt idx="17">
                  <c:v>47.090669979796701</c:v>
                </c:pt>
                <c:pt idx="18">
                  <c:v>47.090669979796701</c:v>
                </c:pt>
                <c:pt idx="19">
                  <c:v>47.090669979796701</c:v>
                </c:pt>
                <c:pt idx="20">
                  <c:v>47.090669979796701</c:v>
                </c:pt>
                <c:pt idx="21">
                  <c:v>47.090669979796701</c:v>
                </c:pt>
                <c:pt idx="22">
                  <c:v>47.090669979796701</c:v>
                </c:pt>
                <c:pt idx="23">
                  <c:v>47.090669979796701</c:v>
                </c:pt>
                <c:pt idx="24">
                  <c:v>47.090669979796701</c:v>
                </c:pt>
                <c:pt idx="25">
                  <c:v>47.090669979796701</c:v>
                </c:pt>
                <c:pt idx="26">
                  <c:v>47.090669979796701</c:v>
                </c:pt>
                <c:pt idx="27">
                  <c:v>47.090669979796701</c:v>
                </c:pt>
                <c:pt idx="28">
                  <c:v>47.090669979796701</c:v>
                </c:pt>
                <c:pt idx="29">
                  <c:v>47.090669979796701</c:v>
                </c:pt>
                <c:pt idx="30">
                  <c:v>47.090669979796701</c:v>
                </c:pt>
                <c:pt idx="31">
                  <c:v>47.090669979796701</c:v>
                </c:pt>
                <c:pt idx="32">
                  <c:v>47.090669979796701</c:v>
                </c:pt>
                <c:pt idx="33">
                  <c:v>47.090669979796701</c:v>
                </c:pt>
                <c:pt idx="34">
                  <c:v>47.090669979796701</c:v>
                </c:pt>
                <c:pt idx="35">
                  <c:v>47.090669979796701</c:v>
                </c:pt>
                <c:pt idx="36">
                  <c:v>47.090669979796701</c:v>
                </c:pt>
                <c:pt idx="37">
                  <c:v>47.090669979796701</c:v>
                </c:pt>
                <c:pt idx="38">
                  <c:v>47.090669979796701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CE6-432C-9A6E-81067CDC8A6C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PRED2</c:v>
                </c:pt>
              </c:strCache>
            </c:strRef>
          </c:tx>
          <c:spPr>
            <a:ln w="19080" cap="rnd">
              <a:solidFill>
                <a:srgbClr val="B4C7E7"/>
              </a:solidFill>
              <a:prstDash val="sysDash"/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39"/>
                <c:pt idx="0">
                  <c:v>61.1066914576109</c:v>
                </c:pt>
                <c:pt idx="1">
                  <c:v>61.1066914576109</c:v>
                </c:pt>
                <c:pt idx="2">
                  <c:v>61.1066914576109</c:v>
                </c:pt>
                <c:pt idx="3">
                  <c:v>61.1066914576109</c:v>
                </c:pt>
                <c:pt idx="4">
                  <c:v>61.1066914576109</c:v>
                </c:pt>
                <c:pt idx="5">
                  <c:v>61.1066914576109</c:v>
                </c:pt>
                <c:pt idx="6">
                  <c:v>61.1066914576109</c:v>
                </c:pt>
                <c:pt idx="7">
                  <c:v>61.1066914576109</c:v>
                </c:pt>
                <c:pt idx="8">
                  <c:v>61.1066914576109</c:v>
                </c:pt>
                <c:pt idx="9">
                  <c:v>61.1066914576109</c:v>
                </c:pt>
                <c:pt idx="10">
                  <c:v>61.1066914576109</c:v>
                </c:pt>
                <c:pt idx="11">
                  <c:v>61.1066914576109</c:v>
                </c:pt>
                <c:pt idx="12">
                  <c:v>61.1066914576109</c:v>
                </c:pt>
                <c:pt idx="13">
                  <c:v>61.1066914576109</c:v>
                </c:pt>
                <c:pt idx="14">
                  <c:v>61.1066914576109</c:v>
                </c:pt>
                <c:pt idx="15">
                  <c:v>61.1066914576109</c:v>
                </c:pt>
                <c:pt idx="16">
                  <c:v>61.1066914576109</c:v>
                </c:pt>
                <c:pt idx="17">
                  <c:v>61.1066914576109</c:v>
                </c:pt>
                <c:pt idx="18">
                  <c:v>61.1066914576109</c:v>
                </c:pt>
                <c:pt idx="19">
                  <c:v>61.1066914576109</c:v>
                </c:pt>
                <c:pt idx="20">
                  <c:v>61.1066914576109</c:v>
                </c:pt>
                <c:pt idx="21">
                  <c:v>61.1066914576109</c:v>
                </c:pt>
                <c:pt idx="22">
                  <c:v>61.1066914576109</c:v>
                </c:pt>
                <c:pt idx="23">
                  <c:v>61.1066914576109</c:v>
                </c:pt>
                <c:pt idx="24">
                  <c:v>61.1066914576109</c:v>
                </c:pt>
                <c:pt idx="25">
                  <c:v>61.1066914576109</c:v>
                </c:pt>
                <c:pt idx="26">
                  <c:v>61.1066914576109</c:v>
                </c:pt>
                <c:pt idx="27">
                  <c:v>61.1066914576109</c:v>
                </c:pt>
                <c:pt idx="28">
                  <c:v>61.1066914576109</c:v>
                </c:pt>
                <c:pt idx="29">
                  <c:v>61.1066914576109</c:v>
                </c:pt>
                <c:pt idx="30">
                  <c:v>61.1066914576109</c:v>
                </c:pt>
                <c:pt idx="31">
                  <c:v>61.1066914576109</c:v>
                </c:pt>
                <c:pt idx="32">
                  <c:v>61.1066914576109</c:v>
                </c:pt>
                <c:pt idx="33">
                  <c:v>61.1066914576109</c:v>
                </c:pt>
                <c:pt idx="34">
                  <c:v>61.1066914576109</c:v>
                </c:pt>
                <c:pt idx="35">
                  <c:v>61.1066914576109</c:v>
                </c:pt>
                <c:pt idx="36">
                  <c:v>61.1066914576109</c:v>
                </c:pt>
                <c:pt idx="37">
                  <c:v>61.1066914576109</c:v>
                </c:pt>
                <c:pt idx="38">
                  <c:v>61.1066914576109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CE6-432C-9A6E-81067CDC8A6C}"/>
            </c:ext>
          </c:extLst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95% Confidence intervals</c:v>
                </c:pt>
              </c:strCache>
            </c:strRef>
          </c:tx>
          <c:spPr>
            <a:ln w="12600" cap="rnd">
              <a:solidFill>
                <a:srgbClr val="4472C4"/>
              </a:solidFill>
              <a:prstDash val="sysDot"/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4</c:f>
              <c:numCache>
                <c:formatCode>General</c:formatCode>
                <c:ptCount val="39"/>
                <c:pt idx="0">
                  <c:v>46.767153740824902</c:v>
                </c:pt>
                <c:pt idx="1">
                  <c:v>46.767153740824902</c:v>
                </c:pt>
                <c:pt idx="2">
                  <c:v>46.767153740824902</c:v>
                </c:pt>
                <c:pt idx="3">
                  <c:v>46.767153740824902</c:v>
                </c:pt>
                <c:pt idx="4">
                  <c:v>46.767153740824902</c:v>
                </c:pt>
                <c:pt idx="5">
                  <c:v>46.767153740824902</c:v>
                </c:pt>
                <c:pt idx="6">
                  <c:v>46.767153740824902</c:v>
                </c:pt>
                <c:pt idx="7">
                  <c:v>46.767153740824902</c:v>
                </c:pt>
                <c:pt idx="8">
                  <c:v>46.767153740824902</c:v>
                </c:pt>
                <c:pt idx="9">
                  <c:v>46.767153740824902</c:v>
                </c:pt>
                <c:pt idx="10">
                  <c:v>46.767153740824902</c:v>
                </c:pt>
                <c:pt idx="11">
                  <c:v>46.767153740824902</c:v>
                </c:pt>
                <c:pt idx="12">
                  <c:v>46.767153740824902</c:v>
                </c:pt>
                <c:pt idx="13">
                  <c:v>46.767153740824902</c:v>
                </c:pt>
                <c:pt idx="14">
                  <c:v>46.767153740824902</c:v>
                </c:pt>
                <c:pt idx="15">
                  <c:v>46.767153740824902</c:v>
                </c:pt>
                <c:pt idx="16">
                  <c:v>46.767153740824902</c:v>
                </c:pt>
                <c:pt idx="17">
                  <c:v>46.767153740824902</c:v>
                </c:pt>
                <c:pt idx="18">
                  <c:v>46.767153740824902</c:v>
                </c:pt>
                <c:pt idx="19">
                  <c:v>46.767153740824902</c:v>
                </c:pt>
                <c:pt idx="20">
                  <c:v>46.767153740824902</c:v>
                </c:pt>
                <c:pt idx="21">
                  <c:v>46.767153740824902</c:v>
                </c:pt>
                <c:pt idx="22">
                  <c:v>46.767153740824902</c:v>
                </c:pt>
                <c:pt idx="23">
                  <c:v>46.767153740824902</c:v>
                </c:pt>
                <c:pt idx="24">
                  <c:v>46.767153740824902</c:v>
                </c:pt>
                <c:pt idx="25">
                  <c:v>46.767153740824902</c:v>
                </c:pt>
                <c:pt idx="26">
                  <c:v>46.767153740824902</c:v>
                </c:pt>
                <c:pt idx="27">
                  <c:v>46.767153740824902</c:v>
                </c:pt>
                <c:pt idx="28">
                  <c:v>46.767153740824902</c:v>
                </c:pt>
                <c:pt idx="29">
                  <c:v>46.767153740824902</c:v>
                </c:pt>
                <c:pt idx="30">
                  <c:v>46.767153740824902</c:v>
                </c:pt>
                <c:pt idx="31">
                  <c:v>46.767153740824902</c:v>
                </c:pt>
                <c:pt idx="32">
                  <c:v>46.767153740824902</c:v>
                </c:pt>
                <c:pt idx="33">
                  <c:v>46.767153740824902</c:v>
                </c:pt>
                <c:pt idx="34">
                  <c:v>46.767153740824902</c:v>
                </c:pt>
                <c:pt idx="35">
                  <c:v>46.767153740824902</c:v>
                </c:pt>
                <c:pt idx="36">
                  <c:v>46.767153740824902</c:v>
                </c:pt>
                <c:pt idx="37">
                  <c:v>46.767153740824902</c:v>
                </c:pt>
                <c:pt idx="38">
                  <c:v>46.767153740824902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CE6-432C-9A6E-81067CDC8A6C}"/>
            </c:ext>
          </c:extLst>
        </c:ser>
        <c:ser>
          <c:idx val="5"/>
          <c:order val="5"/>
          <c:tx>
            <c:strRef>
              <c:f>label 5</c:f>
              <c:strCache>
                <c:ptCount val="1"/>
                <c:pt idx="0">
                  <c:v>U95M1</c:v>
                </c:pt>
              </c:strCache>
            </c:strRef>
          </c:tx>
          <c:spPr>
            <a:ln w="12600" cap="rnd">
              <a:solidFill>
                <a:srgbClr val="4472C4"/>
              </a:solidFill>
              <a:prstDash val="sysDot"/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5</c:f>
              <c:numCache>
                <c:formatCode>General</c:formatCode>
                <c:ptCount val="39"/>
                <c:pt idx="0">
                  <c:v>47.414186218768499</c:v>
                </c:pt>
                <c:pt idx="1">
                  <c:v>47.414186218768499</c:v>
                </c:pt>
                <c:pt idx="2">
                  <c:v>47.414186218768499</c:v>
                </c:pt>
                <c:pt idx="3">
                  <c:v>47.414186218768499</c:v>
                </c:pt>
                <c:pt idx="4">
                  <c:v>47.414186218768499</c:v>
                </c:pt>
                <c:pt idx="5">
                  <c:v>47.414186218768499</c:v>
                </c:pt>
                <c:pt idx="6">
                  <c:v>47.414186218768499</c:v>
                </c:pt>
                <c:pt idx="7">
                  <c:v>47.414186218768499</c:v>
                </c:pt>
                <c:pt idx="8">
                  <c:v>47.414186218768499</c:v>
                </c:pt>
                <c:pt idx="9">
                  <c:v>47.414186218768499</c:v>
                </c:pt>
                <c:pt idx="10">
                  <c:v>47.414186218768499</c:v>
                </c:pt>
                <c:pt idx="11">
                  <c:v>47.414186218768499</c:v>
                </c:pt>
                <c:pt idx="12">
                  <c:v>47.414186218768499</c:v>
                </c:pt>
                <c:pt idx="13">
                  <c:v>47.414186218768499</c:v>
                </c:pt>
                <c:pt idx="14">
                  <c:v>47.414186218768499</c:v>
                </c:pt>
                <c:pt idx="15">
                  <c:v>47.414186218768499</c:v>
                </c:pt>
                <c:pt idx="16">
                  <c:v>47.414186218768499</c:v>
                </c:pt>
                <c:pt idx="17">
                  <c:v>47.414186218768499</c:v>
                </c:pt>
                <c:pt idx="18">
                  <c:v>47.414186218768499</c:v>
                </c:pt>
                <c:pt idx="19">
                  <c:v>47.414186218768499</c:v>
                </c:pt>
                <c:pt idx="20">
                  <c:v>47.414186218768499</c:v>
                </c:pt>
                <c:pt idx="21">
                  <c:v>47.414186218768499</c:v>
                </c:pt>
                <c:pt idx="22">
                  <c:v>47.414186218768499</c:v>
                </c:pt>
                <c:pt idx="23">
                  <c:v>47.414186218768499</c:v>
                </c:pt>
                <c:pt idx="24">
                  <c:v>47.414186218768499</c:v>
                </c:pt>
                <c:pt idx="25">
                  <c:v>47.414186218768499</c:v>
                </c:pt>
                <c:pt idx="26">
                  <c:v>47.414186218768499</c:v>
                </c:pt>
                <c:pt idx="27">
                  <c:v>47.414186218768499</c:v>
                </c:pt>
                <c:pt idx="28">
                  <c:v>47.414186218768499</c:v>
                </c:pt>
                <c:pt idx="29">
                  <c:v>47.414186218768499</c:v>
                </c:pt>
                <c:pt idx="30">
                  <c:v>47.414186218768499</c:v>
                </c:pt>
                <c:pt idx="31">
                  <c:v>47.414186218768499</c:v>
                </c:pt>
                <c:pt idx="32">
                  <c:v>47.414186218768499</c:v>
                </c:pt>
                <c:pt idx="33">
                  <c:v>47.414186218768499</c:v>
                </c:pt>
                <c:pt idx="34">
                  <c:v>47.414186218768499</c:v>
                </c:pt>
                <c:pt idx="35">
                  <c:v>47.414186218768499</c:v>
                </c:pt>
                <c:pt idx="36">
                  <c:v>47.414186218768499</c:v>
                </c:pt>
                <c:pt idx="37">
                  <c:v>47.414186218768499</c:v>
                </c:pt>
                <c:pt idx="38">
                  <c:v>47.414186218768499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CE6-432C-9A6E-81067CDC8A6C}"/>
            </c:ext>
          </c:extLst>
        </c:ser>
        <c:ser>
          <c:idx val="6"/>
          <c:order val="6"/>
          <c:tx>
            <c:strRef>
              <c:f>label 6</c:f>
              <c:strCache>
                <c:ptCount val="1"/>
                <c:pt idx="0">
                  <c:v>L95M2</c:v>
                </c:pt>
              </c:strCache>
            </c:strRef>
          </c:tx>
          <c:spPr>
            <a:ln w="12600" cap="rnd">
              <a:solidFill>
                <a:srgbClr val="B4C7E7"/>
              </a:solidFill>
              <a:prstDash val="sysDot"/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6</c:f>
              <c:numCache>
                <c:formatCode>General</c:formatCode>
                <c:ptCount val="39"/>
                <c:pt idx="0">
                  <c:v>60.301705638868299</c:v>
                </c:pt>
                <c:pt idx="1">
                  <c:v>60.301705638868299</c:v>
                </c:pt>
                <c:pt idx="2">
                  <c:v>60.301705638868299</c:v>
                </c:pt>
                <c:pt idx="3">
                  <c:v>60.301705638868299</c:v>
                </c:pt>
                <c:pt idx="4">
                  <c:v>60.301705638868299</c:v>
                </c:pt>
                <c:pt idx="5">
                  <c:v>60.301705638868299</c:v>
                </c:pt>
                <c:pt idx="6">
                  <c:v>60.301705638868299</c:v>
                </c:pt>
                <c:pt idx="7">
                  <c:v>60.301705638868299</c:v>
                </c:pt>
                <c:pt idx="8">
                  <c:v>60.301705638868299</c:v>
                </c:pt>
                <c:pt idx="9">
                  <c:v>60.301705638868299</c:v>
                </c:pt>
                <c:pt idx="10">
                  <c:v>60.301705638868299</c:v>
                </c:pt>
                <c:pt idx="11">
                  <c:v>60.301705638868299</c:v>
                </c:pt>
                <c:pt idx="12">
                  <c:v>60.301705638868299</c:v>
                </c:pt>
                <c:pt idx="13">
                  <c:v>60.301705638868299</c:v>
                </c:pt>
                <c:pt idx="14">
                  <c:v>60.301705638868299</c:v>
                </c:pt>
                <c:pt idx="15">
                  <c:v>60.301705638868299</c:v>
                </c:pt>
                <c:pt idx="16">
                  <c:v>60.301705638868299</c:v>
                </c:pt>
                <c:pt idx="17">
                  <c:v>60.301705638868299</c:v>
                </c:pt>
                <c:pt idx="18">
                  <c:v>60.301705638868299</c:v>
                </c:pt>
                <c:pt idx="19">
                  <c:v>60.301705638868299</c:v>
                </c:pt>
                <c:pt idx="20">
                  <c:v>60.301705638868299</c:v>
                </c:pt>
                <c:pt idx="21">
                  <c:v>60.301705638868299</c:v>
                </c:pt>
                <c:pt idx="22">
                  <c:v>60.301705638868299</c:v>
                </c:pt>
                <c:pt idx="23">
                  <c:v>60.301705638868299</c:v>
                </c:pt>
                <c:pt idx="24">
                  <c:v>60.301705638868299</c:v>
                </c:pt>
                <c:pt idx="25">
                  <c:v>60.301705638868299</c:v>
                </c:pt>
                <c:pt idx="26">
                  <c:v>60.301705638868299</c:v>
                </c:pt>
                <c:pt idx="27">
                  <c:v>60.301705638868299</c:v>
                </c:pt>
                <c:pt idx="28">
                  <c:v>60.301705638868299</c:v>
                </c:pt>
                <c:pt idx="29">
                  <c:v>60.301705638868299</c:v>
                </c:pt>
                <c:pt idx="30">
                  <c:v>60.301705638868299</c:v>
                </c:pt>
                <c:pt idx="31">
                  <c:v>60.301705638868299</c:v>
                </c:pt>
                <c:pt idx="32">
                  <c:v>60.301705638868299</c:v>
                </c:pt>
                <c:pt idx="33">
                  <c:v>60.301705638868299</c:v>
                </c:pt>
                <c:pt idx="34">
                  <c:v>60.301705638868299</c:v>
                </c:pt>
                <c:pt idx="35">
                  <c:v>60.301705638868299</c:v>
                </c:pt>
                <c:pt idx="36">
                  <c:v>60.301705638868299</c:v>
                </c:pt>
                <c:pt idx="37">
                  <c:v>60.301705638868299</c:v>
                </c:pt>
                <c:pt idx="38">
                  <c:v>60.301705638868299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CE6-432C-9A6E-81067CDC8A6C}"/>
            </c:ext>
          </c:extLst>
        </c:ser>
        <c:ser>
          <c:idx val="7"/>
          <c:order val="7"/>
          <c:tx>
            <c:strRef>
              <c:f>label 7</c:f>
              <c:strCache>
                <c:ptCount val="1"/>
                <c:pt idx="0">
                  <c:v>U95M2</c:v>
                </c:pt>
              </c:strCache>
            </c:strRef>
          </c:tx>
          <c:spPr>
            <a:ln w="12600" cap="rnd">
              <a:solidFill>
                <a:srgbClr val="B4C7E7"/>
              </a:solidFill>
              <a:prstDash val="sysDot"/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 (Corps)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9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</c:strCache>
            </c:strRef>
          </c:cat>
          <c:val>
            <c:numRef>
              <c:f>7</c:f>
              <c:numCache>
                <c:formatCode>General</c:formatCode>
                <c:ptCount val="39"/>
                <c:pt idx="0">
                  <c:v>61.911677276353501</c:v>
                </c:pt>
                <c:pt idx="1">
                  <c:v>61.911677276353501</c:v>
                </c:pt>
                <c:pt idx="2">
                  <c:v>61.911677276353501</c:v>
                </c:pt>
                <c:pt idx="3">
                  <c:v>61.911677276353501</c:v>
                </c:pt>
                <c:pt idx="4">
                  <c:v>61.911677276353501</c:v>
                </c:pt>
                <c:pt idx="5">
                  <c:v>61.911677276353501</c:v>
                </c:pt>
                <c:pt idx="6">
                  <c:v>61.911677276353501</c:v>
                </c:pt>
                <c:pt idx="7">
                  <c:v>61.911677276353501</c:v>
                </c:pt>
                <c:pt idx="8">
                  <c:v>61.911677276353501</c:v>
                </c:pt>
                <c:pt idx="9">
                  <c:v>61.911677276353501</c:v>
                </c:pt>
                <c:pt idx="10">
                  <c:v>61.911677276353501</c:v>
                </c:pt>
                <c:pt idx="11">
                  <c:v>61.911677276353501</c:v>
                </c:pt>
                <c:pt idx="12">
                  <c:v>61.911677276353501</c:v>
                </c:pt>
                <c:pt idx="13">
                  <c:v>61.911677276353501</c:v>
                </c:pt>
                <c:pt idx="14">
                  <c:v>61.911677276353501</c:v>
                </c:pt>
                <c:pt idx="15">
                  <c:v>61.911677276353501</c:v>
                </c:pt>
                <c:pt idx="16">
                  <c:v>61.911677276353501</c:v>
                </c:pt>
                <c:pt idx="17">
                  <c:v>61.911677276353501</c:v>
                </c:pt>
                <c:pt idx="18">
                  <c:v>61.911677276353501</c:v>
                </c:pt>
                <c:pt idx="19">
                  <c:v>61.911677276353501</c:v>
                </c:pt>
                <c:pt idx="20">
                  <c:v>61.911677276353501</c:v>
                </c:pt>
                <c:pt idx="21">
                  <c:v>61.911677276353501</c:v>
                </c:pt>
                <c:pt idx="22">
                  <c:v>61.911677276353501</c:v>
                </c:pt>
                <c:pt idx="23">
                  <c:v>61.911677276353501</c:v>
                </c:pt>
                <c:pt idx="24">
                  <c:v>61.911677276353501</c:v>
                </c:pt>
                <c:pt idx="25">
                  <c:v>61.911677276353501</c:v>
                </c:pt>
                <c:pt idx="26">
                  <c:v>61.911677276353501</c:v>
                </c:pt>
                <c:pt idx="27">
                  <c:v>61.911677276353501</c:v>
                </c:pt>
                <c:pt idx="28">
                  <c:v>61.911677276353501</c:v>
                </c:pt>
                <c:pt idx="29">
                  <c:v>61.911677276353501</c:v>
                </c:pt>
                <c:pt idx="30">
                  <c:v>61.911677276353501</c:v>
                </c:pt>
                <c:pt idx="31">
                  <c:v>61.911677276353501</c:v>
                </c:pt>
                <c:pt idx="32">
                  <c:v>61.911677276353501</c:v>
                </c:pt>
                <c:pt idx="33">
                  <c:v>61.911677276353501</c:v>
                </c:pt>
                <c:pt idx="34">
                  <c:v>61.911677276353501</c:v>
                </c:pt>
                <c:pt idx="35">
                  <c:v>61.911677276353501</c:v>
                </c:pt>
                <c:pt idx="36">
                  <c:v>61.911677276353501</c:v>
                </c:pt>
                <c:pt idx="37">
                  <c:v>61.911677276353501</c:v>
                </c:pt>
                <c:pt idx="38">
                  <c:v>61.911677276353501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CE6-432C-9A6E-81067CDC8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smooth val="0"/>
        <c:axId val="46308194"/>
        <c:axId val="27592536"/>
      </c:lineChart>
      <c:catAx>
        <c:axId val="46308194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lang="fr-FR" sz="1000" b="0" strike="noStrike" spc="-1">
                    <a:solidFill>
                      <a:srgbClr val="595959"/>
                    </a:solidFill>
                    <a:latin typeface="Calibri (Corps)"/>
                  </a:defRPr>
                </a:pPr>
                <a:r>
                  <a:rPr lang="fr-FR" sz="1000" b="0" strike="noStrike" spc="-1">
                    <a:solidFill>
                      <a:srgbClr val="595959"/>
                    </a:solidFill>
                    <a:latin typeface="Calibri (Corps)"/>
                  </a:rPr>
                  <a:t>Age</a:t>
                </a:r>
              </a:p>
            </c:rich>
          </c:tx>
          <c:layout>
            <c:manualLayout>
              <c:xMode val="edge"/>
              <c:yMode val="edge"/>
              <c:x val="0.49174929052630501"/>
              <c:y val="0.89611574543281092"/>
            </c:manualLayout>
          </c:layout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595959"/>
                </a:solidFill>
                <a:latin typeface="Calibri (Corps)"/>
              </a:defRPr>
            </a:pPr>
            <a:endParaRPr lang="fr-FR"/>
          </a:p>
        </c:txPr>
        <c:crossAx val="27592536"/>
        <c:crosses val="autoZero"/>
        <c:auto val="1"/>
        <c:lblAlgn val="ctr"/>
        <c:lblOffset val="100"/>
        <c:noMultiLvlLbl val="0"/>
      </c:catAx>
      <c:valAx>
        <c:axId val="27592536"/>
        <c:scaling>
          <c:orientation val="minMax"/>
          <c:max val="66"/>
          <c:min val="44"/>
        </c:scaling>
        <c:delete val="0"/>
        <c:axPos val="l"/>
        <c:title>
          <c:tx>
            <c:rich>
              <a:bodyPr rot="-5400000"/>
              <a:lstStyle/>
              <a:p>
                <a:pPr>
                  <a:defRPr lang="en-US" sz="1000" b="0" strike="noStrike" spc="-1">
                    <a:solidFill>
                      <a:srgbClr val="595959"/>
                    </a:solidFill>
                    <a:latin typeface="Calibri (Corps)"/>
                  </a:defRPr>
                </a:pPr>
                <a:r>
                  <a:rPr lang="en-US" sz="1000" b="0" strike="noStrike" spc="-1">
                    <a:solidFill>
                      <a:srgbClr val="595959"/>
                    </a:solidFill>
                    <a:latin typeface="Calibri (Corps)"/>
                  </a:rPr>
                  <a:t>ADHD score (CBCL and ASR scales)</a:t>
                </a:r>
              </a:p>
            </c:rich>
          </c:tx>
          <c:layout/>
          <c:overlay val="0"/>
          <c:spPr>
            <a:noFill/>
            <a:ln w="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1000" b="0" strike="noStrike" spc="-1">
                <a:solidFill>
                  <a:srgbClr val="595959"/>
                </a:solidFill>
                <a:latin typeface="Calibri (Corps)"/>
              </a:defRPr>
            </a:pPr>
            <a:endParaRPr lang="fr-FR"/>
          </a:p>
        </c:txPr>
        <c:crossAx val="46308194"/>
        <c:crosses val="autoZero"/>
        <c:crossBetween val="between"/>
      </c:valAx>
      <c:spPr>
        <a:noFill/>
        <a:ln w="0">
          <a:solidFill>
            <a:srgbClr val="D9D9D9"/>
          </a:solidFill>
        </a:ln>
      </c:spPr>
    </c:plotArea>
    <c:legend>
      <c:legendPos val="b"/>
      <c:legendEntry>
        <c:idx val="0"/>
        <c:delete val="1"/>
      </c:legendEntry>
      <c:legendEntry>
        <c:idx val="3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7.1249942886732975E-2"/>
          <c:y val="0.94672383773810453"/>
          <c:w val="0.88799299956247302"/>
          <c:h val="3.5781753528169799E-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595959"/>
              </a:solidFill>
              <a:latin typeface="Calibri (Corps)"/>
            </a:defRPr>
          </a:pPr>
          <a:endParaRPr lang="fr-FR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0.72377</cdr:x>
      <cdr:y>0.3023</cdr:y>
    </cdr:from>
    <cdr:to>
      <cdr:x>0.96247</cdr:x>
      <cdr:y>0.4404</cdr:y>
    </cdr:to>
    <cdr:sp macro="" textlink="">
      <cdr:nvSpPr>
        <cdr:cNvPr id="2" name="ZoneTexte 1"/>
        <cdr:cNvSpPr/>
      </cdr:nvSpPr>
      <cdr:spPr>
        <a:xfrm xmlns:a="http://schemas.openxmlformats.org/drawingml/2006/main">
          <a:off x="0" y="0"/>
          <a:ext cx="1410480" cy="5313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0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  <cdr:txBody>
        <a:bodyPr xmlns:a="http://schemas.openxmlformats.org/drawingml/2006/main" lIns="90000" tIns="45000" rIns="90000" bIns="45000" anchor="t">
          <a:noAutofit/>
        </a:bodyPr>
        <a:lstStyle xmlns:a="http://schemas.openxmlformats.org/drawingml/2006/main"/>
        <a:p xmlns:a="http://schemas.openxmlformats.org/drawingml/2006/main">
          <a:pPr>
            <a:lnSpc>
              <a:spcPct val="100000"/>
            </a:lnSpc>
          </a:pPr>
          <a:r>
            <a:rPr lang="fr-FR" sz="1000" b="1" strike="noStrike" spc="-1">
              <a:solidFill>
                <a:schemeClr val="accent5">
                  <a:lumMod val="40000"/>
                  <a:lumOff val="60000"/>
                </a:schemeClr>
              </a:solidFill>
              <a:latin typeface="Calibri (Corps)"/>
            </a:rPr>
            <a:t>Persistent symptoms of ADHD</a:t>
          </a:r>
          <a:endParaRPr sz="1000" b="0" strike="noStrike" spc="-1">
            <a:latin typeface="Times New Roman"/>
          </a:endParaRPr>
        </a:p>
        <a:p xmlns:a="http://schemas.openxmlformats.org/drawingml/2006/main">
          <a:pPr>
            <a:lnSpc>
              <a:spcPct val="100000"/>
            </a:lnSpc>
          </a:pPr>
          <a:r>
            <a:rPr lang="fr-FR" sz="1000" b="1" strike="noStrike" spc="-1">
              <a:solidFill>
                <a:schemeClr val="accent5">
                  <a:lumMod val="40000"/>
                  <a:lumOff val="60000"/>
                </a:schemeClr>
              </a:solidFill>
              <a:latin typeface="Calibri (Corps)"/>
            </a:rPr>
            <a:t>(19,5%; n=211)</a:t>
          </a:r>
          <a:endParaRPr sz="1000" b="0" strike="noStrike" spc="-1">
            <a:latin typeface="Times New Roman"/>
          </a:endParaRPr>
        </a:p>
      </cdr:txBody>
    </cdr:sp>
  </cdr:relSizeAnchor>
  <cdr:relSizeAnchor xmlns:cdr="http://schemas.openxmlformats.org/drawingml/2006/chartDrawing">
    <cdr:from>
      <cdr:x>0.77696</cdr:x>
      <cdr:y>0.52994</cdr:y>
    </cdr:from>
    <cdr:to>
      <cdr:x>0.95967</cdr:x>
      <cdr:y>0.67805</cdr:y>
    </cdr:to>
    <cdr:sp macro="" textlink="">
      <cdr:nvSpPr>
        <cdr:cNvPr id="3" name="ZoneTexte 1"/>
        <cdr:cNvSpPr/>
      </cdr:nvSpPr>
      <cdr:spPr>
        <a:xfrm xmlns:a="http://schemas.openxmlformats.org/drawingml/2006/main">
          <a:off x="0" y="0"/>
          <a:ext cx="1079640" cy="5698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0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  <cdr:txBody>
        <a:bodyPr xmlns:a="http://schemas.openxmlformats.org/drawingml/2006/main" lIns="90000" tIns="45000" rIns="90000" bIns="45000" anchor="t">
          <a:noAutofit/>
        </a:bodyPr>
        <a:lstStyle xmlns:a="http://schemas.openxmlformats.org/drawingml/2006/main"/>
        <a:p xmlns:a="http://schemas.openxmlformats.org/drawingml/2006/main">
          <a:pPr>
            <a:lnSpc>
              <a:spcPct val="100000"/>
            </a:lnSpc>
            <a:tabLst>
              <a:tab pos="0" algn="l"/>
            </a:tabLst>
          </a:pPr>
          <a:r>
            <a:rPr lang="fr-FR" sz="1000" b="1" strike="noStrike" spc="-1">
              <a:solidFill>
                <a:schemeClr val="accent5"/>
              </a:solidFill>
              <a:latin typeface="Calibri (Corps)"/>
            </a:rPr>
            <a:t>ADHD low trajectory (80,5%; n=871)</a:t>
          </a:r>
          <a:endParaRPr sz="1000" b="0" strike="noStrike" spc="-1">
            <a:latin typeface="Times New Roman"/>
          </a:endParaRP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Ellul</dc:creator>
  <cp:keywords/>
  <dc:description/>
  <cp:lastModifiedBy>Pierre Ellul</cp:lastModifiedBy>
  <cp:revision>1</cp:revision>
  <dcterms:created xsi:type="dcterms:W3CDTF">2023-04-04T13:53:00Z</dcterms:created>
  <dcterms:modified xsi:type="dcterms:W3CDTF">2023-04-04T13:53:00Z</dcterms:modified>
</cp:coreProperties>
</file>