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86AD4" w14:textId="40826F36" w:rsidR="00D711BA" w:rsidRPr="00C72BC9" w:rsidRDefault="00D711BA" w:rsidP="00D711BA">
      <w:pPr>
        <w:pStyle w:val="Descripcin"/>
        <w:rPr>
          <w:b w:val="0"/>
          <w:bCs w:val="0"/>
          <w:color w:val="auto"/>
          <w:lang w:val="en-GB"/>
        </w:rPr>
      </w:pPr>
      <w:bookmarkStart w:id="0" w:name="_Ref77592760"/>
      <w:r w:rsidRPr="00012B9E">
        <w:rPr>
          <w:color w:val="auto"/>
          <w:lang w:val="en-GB"/>
        </w:rPr>
        <w:t>Table</w:t>
      </w:r>
      <w:bookmarkEnd w:id="0"/>
      <w:r w:rsidR="00D929E3">
        <w:rPr>
          <w:color w:val="auto"/>
          <w:lang w:val="en-GB"/>
        </w:rPr>
        <w:t xml:space="preserve"> 2</w:t>
      </w:r>
      <w:r w:rsidRPr="00012B9E">
        <w:rPr>
          <w:color w:val="auto"/>
          <w:lang w:val="en-GB"/>
        </w:rPr>
        <w:t xml:space="preserve">. </w:t>
      </w:r>
      <w:r w:rsidRPr="00C72BC9">
        <w:rPr>
          <w:b w:val="0"/>
          <w:bCs w:val="0"/>
          <w:color w:val="auto"/>
          <w:lang w:val="en-GB"/>
        </w:rPr>
        <w:t xml:space="preserve">Example of a possible combination of attributes and levels </w:t>
      </w:r>
      <w:r w:rsidR="00AF7609">
        <w:rPr>
          <w:b w:val="0"/>
          <w:bCs w:val="0"/>
          <w:color w:val="auto"/>
          <w:lang w:val="en-GB"/>
        </w:rPr>
        <w:t>shown</w:t>
      </w:r>
      <w:r w:rsidR="00AF7609" w:rsidRPr="00C72BC9">
        <w:rPr>
          <w:b w:val="0"/>
          <w:bCs w:val="0"/>
          <w:color w:val="auto"/>
          <w:lang w:val="en-GB"/>
        </w:rPr>
        <w:t xml:space="preserve"> </w:t>
      </w:r>
      <w:r w:rsidRPr="00C72BC9">
        <w:rPr>
          <w:b w:val="0"/>
          <w:bCs w:val="0"/>
          <w:color w:val="auto"/>
          <w:lang w:val="en-GB"/>
        </w:rPr>
        <w:t>in the DCE</w:t>
      </w:r>
    </w:p>
    <w:tbl>
      <w:tblPr>
        <w:tblStyle w:val="Tablaconcuadrcula"/>
        <w:tblW w:w="84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2923"/>
        <w:gridCol w:w="2969"/>
      </w:tblGrid>
      <w:tr w:rsidR="00D711BA" w:rsidRPr="00012B9E" w14:paraId="087CA956" w14:textId="77777777" w:rsidTr="00CD45A4">
        <w:trPr>
          <w:trHeight w:val="672"/>
        </w:trPr>
        <w:tc>
          <w:tcPr>
            <w:tcW w:w="2605" w:type="dxa"/>
            <w:vAlign w:val="center"/>
          </w:tcPr>
          <w:p w14:paraId="21972D38" w14:textId="77777777" w:rsidR="00D711BA" w:rsidRPr="00012B9E" w:rsidRDefault="00D711BA" w:rsidP="00CD45A4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012B9E">
              <w:rPr>
                <w:b/>
                <w:bCs/>
                <w:color w:val="auto"/>
                <w:szCs w:val="22"/>
                <w:lang w:val="en-GB"/>
              </w:rPr>
              <w:t>IGF-I level control</w:t>
            </w:r>
          </w:p>
        </w:tc>
        <w:tc>
          <w:tcPr>
            <w:tcW w:w="2923" w:type="dxa"/>
            <w:vAlign w:val="center"/>
          </w:tcPr>
          <w:p w14:paraId="3FAE8DE4" w14:textId="77777777" w:rsidR="00D711BA" w:rsidRPr="00012B9E" w:rsidRDefault="00D711BA" w:rsidP="00CD45A4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012B9E">
              <w:rPr>
                <w:color w:val="auto"/>
                <w:szCs w:val="22"/>
                <w:lang w:val="en-GB"/>
              </w:rPr>
              <w:t>IGF-I level control in 3 out of 10 patients</w:t>
            </w:r>
          </w:p>
        </w:tc>
        <w:tc>
          <w:tcPr>
            <w:tcW w:w="2969" w:type="dxa"/>
            <w:vAlign w:val="center"/>
          </w:tcPr>
          <w:p w14:paraId="268647C9" w14:textId="77777777" w:rsidR="00D711BA" w:rsidRPr="00012B9E" w:rsidRDefault="00D711BA" w:rsidP="00CD45A4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012B9E">
              <w:rPr>
                <w:color w:val="auto"/>
                <w:szCs w:val="22"/>
                <w:lang w:val="en-GB"/>
              </w:rPr>
              <w:t>IGF-I level control in 9 out of 10 patients</w:t>
            </w:r>
          </w:p>
        </w:tc>
      </w:tr>
      <w:tr w:rsidR="00D711BA" w:rsidRPr="00012B9E" w14:paraId="2013E8AF" w14:textId="77777777" w:rsidTr="00CD45A4">
        <w:trPr>
          <w:trHeight w:val="672"/>
        </w:trPr>
        <w:tc>
          <w:tcPr>
            <w:tcW w:w="2605" w:type="dxa"/>
            <w:vAlign w:val="center"/>
          </w:tcPr>
          <w:p w14:paraId="31790E60" w14:textId="77777777" w:rsidR="00D711BA" w:rsidRPr="00012B9E" w:rsidRDefault="00D711BA" w:rsidP="00CD45A4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012B9E">
              <w:rPr>
                <w:b/>
                <w:bCs/>
                <w:color w:val="auto"/>
                <w:szCs w:val="22"/>
                <w:lang w:val="en-GB"/>
              </w:rPr>
              <w:t>Tumour control</w:t>
            </w:r>
          </w:p>
        </w:tc>
        <w:tc>
          <w:tcPr>
            <w:tcW w:w="2923" w:type="dxa"/>
            <w:vAlign w:val="center"/>
          </w:tcPr>
          <w:p w14:paraId="0C295351" w14:textId="3BD313B0" w:rsidR="00D711BA" w:rsidRPr="00012B9E" w:rsidRDefault="00AF7609" w:rsidP="00CD45A4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>
              <w:rPr>
                <w:color w:val="auto"/>
                <w:szCs w:val="22"/>
                <w:lang w:val="en-GB"/>
              </w:rPr>
              <w:t>Reduces</w:t>
            </w:r>
            <w:r w:rsidR="00D711BA" w:rsidRPr="00012B9E">
              <w:rPr>
                <w:color w:val="auto"/>
                <w:szCs w:val="22"/>
                <w:lang w:val="en-GB"/>
              </w:rPr>
              <w:t xml:space="preserve"> tumour size</w:t>
            </w:r>
          </w:p>
        </w:tc>
        <w:tc>
          <w:tcPr>
            <w:tcW w:w="2969" w:type="dxa"/>
            <w:vAlign w:val="center"/>
          </w:tcPr>
          <w:p w14:paraId="286E071F" w14:textId="42936724" w:rsidR="00D711BA" w:rsidRPr="00012B9E" w:rsidRDefault="00AF7609" w:rsidP="00CD45A4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>
              <w:rPr>
                <w:color w:val="auto"/>
                <w:szCs w:val="22"/>
                <w:lang w:val="en-GB"/>
              </w:rPr>
              <w:t>Does not reduce t</w:t>
            </w:r>
            <w:r w:rsidR="00D711BA" w:rsidRPr="00012B9E">
              <w:rPr>
                <w:color w:val="auto"/>
                <w:szCs w:val="22"/>
                <w:lang w:val="en-GB"/>
              </w:rPr>
              <w:t xml:space="preserve">umour size </w:t>
            </w:r>
          </w:p>
        </w:tc>
      </w:tr>
      <w:tr w:rsidR="00D711BA" w:rsidRPr="00012B9E" w14:paraId="14C9CD5B" w14:textId="77777777" w:rsidTr="00CD45A4">
        <w:trPr>
          <w:trHeight w:val="1198"/>
        </w:trPr>
        <w:tc>
          <w:tcPr>
            <w:tcW w:w="2605" w:type="dxa"/>
            <w:vAlign w:val="center"/>
          </w:tcPr>
          <w:p w14:paraId="36D252CC" w14:textId="77777777" w:rsidR="00D711BA" w:rsidRPr="00012B9E" w:rsidRDefault="00D711BA" w:rsidP="00CD45A4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012B9E">
              <w:rPr>
                <w:b/>
                <w:bCs/>
                <w:color w:val="auto"/>
                <w:szCs w:val="22"/>
                <w:lang w:val="en-GB"/>
              </w:rPr>
              <w:t>Administration methods</w:t>
            </w:r>
          </w:p>
        </w:tc>
        <w:tc>
          <w:tcPr>
            <w:tcW w:w="2923" w:type="dxa"/>
            <w:vAlign w:val="center"/>
          </w:tcPr>
          <w:p w14:paraId="3DBF320D" w14:textId="0F91726A" w:rsidR="00D711BA" w:rsidRPr="00012B9E" w:rsidRDefault="00D711BA" w:rsidP="00CD45A4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012B9E">
              <w:rPr>
                <w:color w:val="auto"/>
                <w:szCs w:val="22"/>
                <w:lang w:val="en-GB"/>
              </w:rPr>
              <w:t>Daily</w:t>
            </w:r>
            <w:r w:rsidR="004146CB">
              <w:rPr>
                <w:color w:val="auto"/>
                <w:szCs w:val="22"/>
                <w:lang w:val="en-GB"/>
              </w:rPr>
              <w:t xml:space="preserve"> </w:t>
            </w:r>
            <w:r w:rsidRPr="00012B9E">
              <w:rPr>
                <w:color w:val="auto"/>
                <w:szCs w:val="22"/>
                <w:lang w:val="en-GB"/>
              </w:rPr>
              <w:t>self-administered injection</w:t>
            </w:r>
            <w:r w:rsidR="00442D38">
              <w:rPr>
                <w:color w:val="auto"/>
                <w:szCs w:val="22"/>
                <w:lang w:val="en-GB"/>
              </w:rPr>
              <w:t xml:space="preserve"> at home</w:t>
            </w:r>
          </w:p>
        </w:tc>
        <w:tc>
          <w:tcPr>
            <w:tcW w:w="2969" w:type="dxa"/>
            <w:vAlign w:val="center"/>
          </w:tcPr>
          <w:p w14:paraId="6AF003AC" w14:textId="2BE8B1DC" w:rsidR="00D711BA" w:rsidRPr="00012B9E" w:rsidRDefault="00D711BA" w:rsidP="00CD45A4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012B9E">
              <w:rPr>
                <w:color w:val="auto"/>
                <w:szCs w:val="22"/>
                <w:lang w:val="en-GB"/>
              </w:rPr>
              <w:t xml:space="preserve">Monthly self-administered or </w:t>
            </w:r>
            <w:r w:rsidR="00AF7609" w:rsidRPr="00012B9E">
              <w:rPr>
                <w:color w:val="auto"/>
                <w:szCs w:val="22"/>
                <w:lang w:val="en-GB"/>
              </w:rPr>
              <w:t xml:space="preserve">nurse-administered </w:t>
            </w:r>
            <w:r w:rsidRPr="00012B9E">
              <w:rPr>
                <w:color w:val="auto"/>
                <w:szCs w:val="22"/>
                <w:lang w:val="en-GB"/>
              </w:rPr>
              <w:t xml:space="preserve">in primary care/hospital </w:t>
            </w:r>
          </w:p>
        </w:tc>
      </w:tr>
      <w:tr w:rsidR="00D711BA" w:rsidRPr="00012B9E" w14:paraId="3DA90526" w14:textId="77777777" w:rsidTr="00CD45A4">
        <w:trPr>
          <w:trHeight w:val="928"/>
        </w:trPr>
        <w:tc>
          <w:tcPr>
            <w:tcW w:w="2605" w:type="dxa"/>
            <w:vAlign w:val="center"/>
          </w:tcPr>
          <w:p w14:paraId="1CD7D6E1" w14:textId="18FC2056" w:rsidR="00D711BA" w:rsidRPr="00012B9E" w:rsidRDefault="00D711BA" w:rsidP="00CD45A4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012B9E">
              <w:rPr>
                <w:b/>
                <w:bCs/>
                <w:color w:val="auto"/>
                <w:szCs w:val="22"/>
                <w:lang w:val="en-GB"/>
              </w:rPr>
              <w:t xml:space="preserve">Pain associated </w:t>
            </w:r>
            <w:r w:rsidR="00AF7609">
              <w:rPr>
                <w:b/>
                <w:bCs/>
                <w:color w:val="auto"/>
                <w:szCs w:val="22"/>
                <w:lang w:val="en-GB"/>
              </w:rPr>
              <w:t>with</w:t>
            </w:r>
            <w:r w:rsidR="00AF7609" w:rsidRPr="00012B9E">
              <w:rPr>
                <w:b/>
                <w:bCs/>
                <w:color w:val="auto"/>
                <w:szCs w:val="22"/>
                <w:lang w:val="en-GB"/>
              </w:rPr>
              <w:t xml:space="preserve"> </w:t>
            </w:r>
            <w:r w:rsidRPr="00012B9E">
              <w:rPr>
                <w:b/>
                <w:bCs/>
                <w:color w:val="auto"/>
                <w:szCs w:val="22"/>
                <w:lang w:val="en-GB"/>
              </w:rPr>
              <w:t>the administration method</w:t>
            </w:r>
          </w:p>
        </w:tc>
        <w:tc>
          <w:tcPr>
            <w:tcW w:w="2923" w:type="dxa"/>
            <w:vAlign w:val="center"/>
          </w:tcPr>
          <w:p w14:paraId="1F5B3FC5" w14:textId="64C25AAE" w:rsidR="00D711BA" w:rsidRPr="00012B9E" w:rsidRDefault="00D711BA" w:rsidP="00CD45A4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012B9E">
              <w:rPr>
                <w:color w:val="auto"/>
                <w:szCs w:val="22"/>
                <w:lang w:val="en-GB"/>
              </w:rPr>
              <w:t xml:space="preserve">Injection may be painful, cause redness/ </w:t>
            </w:r>
            <w:r w:rsidR="00AF7609">
              <w:rPr>
                <w:color w:val="auto"/>
                <w:szCs w:val="22"/>
                <w:lang w:val="en-GB"/>
              </w:rPr>
              <w:t>bruising</w:t>
            </w:r>
            <w:r w:rsidRPr="00012B9E">
              <w:rPr>
                <w:color w:val="auto"/>
                <w:szCs w:val="22"/>
                <w:lang w:val="en-GB"/>
              </w:rPr>
              <w:t xml:space="preserve">/ </w:t>
            </w:r>
            <w:r w:rsidR="00AF7609">
              <w:rPr>
                <w:color w:val="auto"/>
                <w:szCs w:val="22"/>
                <w:lang w:val="en-GB"/>
              </w:rPr>
              <w:t xml:space="preserve">skin </w:t>
            </w:r>
            <w:r w:rsidRPr="00012B9E">
              <w:rPr>
                <w:color w:val="auto"/>
                <w:szCs w:val="22"/>
                <w:lang w:val="en-GB"/>
              </w:rPr>
              <w:t>hardening</w:t>
            </w:r>
          </w:p>
        </w:tc>
        <w:tc>
          <w:tcPr>
            <w:tcW w:w="2969" w:type="dxa"/>
            <w:vAlign w:val="center"/>
          </w:tcPr>
          <w:p w14:paraId="0AAA2DBB" w14:textId="039B8BA6" w:rsidR="00D711BA" w:rsidRPr="00012B9E" w:rsidRDefault="00D711BA" w:rsidP="00CD45A4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012B9E">
              <w:rPr>
                <w:color w:val="auto"/>
                <w:szCs w:val="22"/>
                <w:lang w:val="en-GB"/>
              </w:rPr>
              <w:t xml:space="preserve">Minimal </w:t>
            </w:r>
            <w:r w:rsidR="00AF7609">
              <w:rPr>
                <w:color w:val="auto"/>
                <w:szCs w:val="22"/>
                <w:lang w:val="en-GB"/>
              </w:rPr>
              <w:t xml:space="preserve">injection </w:t>
            </w:r>
            <w:r w:rsidRPr="00012B9E">
              <w:rPr>
                <w:color w:val="auto"/>
                <w:szCs w:val="22"/>
                <w:lang w:val="en-GB"/>
              </w:rPr>
              <w:t xml:space="preserve">pain and no </w:t>
            </w:r>
            <w:r w:rsidR="00AF7609" w:rsidRPr="00012B9E">
              <w:rPr>
                <w:color w:val="auto"/>
                <w:szCs w:val="22"/>
                <w:lang w:val="en-GB"/>
              </w:rPr>
              <w:t xml:space="preserve">redness/ </w:t>
            </w:r>
            <w:r w:rsidR="00AF7609">
              <w:rPr>
                <w:color w:val="auto"/>
                <w:szCs w:val="22"/>
                <w:lang w:val="en-GB"/>
              </w:rPr>
              <w:t>bruising</w:t>
            </w:r>
            <w:r w:rsidR="00AF7609" w:rsidRPr="00012B9E">
              <w:rPr>
                <w:color w:val="auto"/>
                <w:szCs w:val="22"/>
                <w:lang w:val="en-GB"/>
              </w:rPr>
              <w:t xml:space="preserve">/ </w:t>
            </w:r>
            <w:r w:rsidR="00AF7609">
              <w:rPr>
                <w:color w:val="auto"/>
                <w:szCs w:val="22"/>
                <w:lang w:val="en-GB"/>
              </w:rPr>
              <w:t xml:space="preserve">skin </w:t>
            </w:r>
            <w:r w:rsidR="00AF7609" w:rsidRPr="00012B9E">
              <w:rPr>
                <w:color w:val="auto"/>
                <w:szCs w:val="22"/>
                <w:lang w:val="en-GB"/>
              </w:rPr>
              <w:t>hardening</w:t>
            </w:r>
          </w:p>
        </w:tc>
      </w:tr>
      <w:tr w:rsidR="00D711BA" w:rsidRPr="00012B9E" w14:paraId="422FAD1C" w14:textId="77777777" w:rsidTr="00CD45A4">
        <w:trPr>
          <w:trHeight w:val="672"/>
        </w:trPr>
        <w:tc>
          <w:tcPr>
            <w:tcW w:w="2605" w:type="dxa"/>
            <w:vAlign w:val="center"/>
          </w:tcPr>
          <w:p w14:paraId="18374EB6" w14:textId="77777777" w:rsidR="00D711BA" w:rsidRPr="00012B9E" w:rsidRDefault="00D711BA" w:rsidP="00CD45A4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012B9E">
              <w:rPr>
                <w:b/>
                <w:bCs/>
                <w:color w:val="auto"/>
                <w:szCs w:val="22"/>
                <w:lang w:val="en-GB"/>
              </w:rPr>
              <w:t>Adverse events: diarrhoea</w:t>
            </w:r>
          </w:p>
        </w:tc>
        <w:tc>
          <w:tcPr>
            <w:tcW w:w="2923" w:type="dxa"/>
            <w:vAlign w:val="center"/>
          </w:tcPr>
          <w:p w14:paraId="1CD34FAC" w14:textId="77777777" w:rsidR="00D711BA" w:rsidRPr="00012B9E" w:rsidRDefault="00D711BA" w:rsidP="00CD45A4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012B9E">
              <w:rPr>
                <w:color w:val="auto"/>
                <w:szCs w:val="22"/>
                <w:lang w:val="en-GB"/>
              </w:rPr>
              <w:t>Diarrhoea in 1 out of 10 patients</w:t>
            </w:r>
          </w:p>
        </w:tc>
        <w:tc>
          <w:tcPr>
            <w:tcW w:w="2969" w:type="dxa"/>
            <w:vAlign w:val="center"/>
          </w:tcPr>
          <w:p w14:paraId="71A42BC2" w14:textId="77777777" w:rsidR="00D711BA" w:rsidRPr="00012B9E" w:rsidRDefault="00D711BA" w:rsidP="00CD45A4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012B9E">
              <w:rPr>
                <w:color w:val="auto"/>
                <w:szCs w:val="22"/>
                <w:lang w:val="en-GB"/>
              </w:rPr>
              <w:t>Diarrhoea in 4 out of 10 patients</w:t>
            </w:r>
          </w:p>
        </w:tc>
      </w:tr>
      <w:tr w:rsidR="00D711BA" w:rsidRPr="00012B9E" w14:paraId="28C6AEA7" w14:textId="77777777" w:rsidTr="00CD45A4">
        <w:trPr>
          <w:trHeight w:val="1697"/>
        </w:trPr>
        <w:tc>
          <w:tcPr>
            <w:tcW w:w="2605" w:type="dxa"/>
            <w:vAlign w:val="center"/>
          </w:tcPr>
          <w:p w14:paraId="3A10D9EC" w14:textId="01492092" w:rsidR="00D711BA" w:rsidRPr="00012B9E" w:rsidRDefault="007D4200" w:rsidP="00CD45A4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>
              <w:rPr>
                <w:b/>
                <w:bCs/>
                <w:color w:val="auto"/>
                <w:szCs w:val="22"/>
                <w:lang w:val="en-GB"/>
              </w:rPr>
              <w:t>Blood sugar</w:t>
            </w:r>
            <w:r w:rsidR="00D711BA" w:rsidRPr="00012B9E">
              <w:rPr>
                <w:b/>
                <w:bCs/>
                <w:color w:val="auto"/>
                <w:szCs w:val="22"/>
                <w:lang w:val="en-GB"/>
              </w:rPr>
              <w:t xml:space="preserve"> control </w:t>
            </w:r>
          </w:p>
        </w:tc>
        <w:tc>
          <w:tcPr>
            <w:tcW w:w="2923" w:type="dxa"/>
            <w:vAlign w:val="center"/>
          </w:tcPr>
          <w:p w14:paraId="338508E7" w14:textId="1545C50A" w:rsidR="00D711BA" w:rsidRPr="00012B9E" w:rsidRDefault="00AF7609" w:rsidP="00CD45A4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>
              <w:rPr>
                <w:color w:val="auto"/>
                <w:szCs w:val="22"/>
                <w:lang w:val="en-GB"/>
              </w:rPr>
              <w:t>B</w:t>
            </w:r>
            <w:r w:rsidR="007D4200">
              <w:rPr>
                <w:color w:val="auto"/>
                <w:szCs w:val="22"/>
                <w:lang w:val="en-GB"/>
              </w:rPr>
              <w:t>lood sugar</w:t>
            </w:r>
            <w:r w:rsidR="00D711BA" w:rsidRPr="00012B9E">
              <w:rPr>
                <w:color w:val="auto"/>
                <w:szCs w:val="22"/>
                <w:lang w:val="en-GB"/>
              </w:rPr>
              <w:t xml:space="preserve"> </w:t>
            </w:r>
            <w:r w:rsidR="004E44E2">
              <w:rPr>
                <w:color w:val="auto"/>
                <w:szCs w:val="22"/>
                <w:lang w:val="en-GB"/>
              </w:rPr>
              <w:t>higher</w:t>
            </w:r>
            <w:r w:rsidR="004E44E2" w:rsidRPr="00012B9E">
              <w:rPr>
                <w:color w:val="auto"/>
                <w:szCs w:val="22"/>
                <w:lang w:val="en-GB"/>
              </w:rPr>
              <w:t xml:space="preserve"> </w:t>
            </w:r>
            <w:r w:rsidR="007D4200" w:rsidRPr="00012B9E">
              <w:rPr>
                <w:color w:val="auto"/>
                <w:szCs w:val="22"/>
                <w:lang w:val="en-GB"/>
              </w:rPr>
              <w:t>(</w:t>
            </w:r>
            <w:r w:rsidR="00D711BA" w:rsidRPr="00012B9E">
              <w:rPr>
                <w:color w:val="auto"/>
                <w:szCs w:val="22"/>
                <w:lang w:val="en-GB"/>
              </w:rPr>
              <w:t>or diabetes</w:t>
            </w:r>
            <w:r w:rsidR="004E44E2">
              <w:rPr>
                <w:color w:val="auto"/>
                <w:szCs w:val="22"/>
                <w:lang w:val="en-GB"/>
              </w:rPr>
              <w:t xml:space="preserve"> onset</w:t>
            </w:r>
            <w:r w:rsidR="00D711BA" w:rsidRPr="00012B9E">
              <w:rPr>
                <w:color w:val="auto"/>
                <w:szCs w:val="22"/>
                <w:lang w:val="en-GB"/>
              </w:rPr>
              <w:t xml:space="preserve">) or </w:t>
            </w:r>
            <w:r w:rsidR="006A4E7C">
              <w:rPr>
                <w:color w:val="auto"/>
                <w:szCs w:val="22"/>
                <w:lang w:val="en-GB"/>
              </w:rPr>
              <w:t xml:space="preserve">blood sugar </w:t>
            </w:r>
            <w:r w:rsidR="00D711BA" w:rsidRPr="00012B9E">
              <w:rPr>
                <w:color w:val="auto"/>
                <w:szCs w:val="22"/>
                <w:lang w:val="en-GB"/>
              </w:rPr>
              <w:t xml:space="preserve">medication </w:t>
            </w:r>
            <w:r w:rsidR="006A4E7C">
              <w:rPr>
                <w:color w:val="auto"/>
                <w:szCs w:val="22"/>
                <w:lang w:val="en-GB"/>
              </w:rPr>
              <w:t xml:space="preserve">may </w:t>
            </w:r>
            <w:r w:rsidR="00765CAC">
              <w:rPr>
                <w:color w:val="auto"/>
                <w:szCs w:val="22"/>
                <w:lang w:val="en-GB"/>
              </w:rPr>
              <w:t xml:space="preserve">be </w:t>
            </w:r>
            <w:r w:rsidR="00D711BA" w:rsidRPr="00012B9E">
              <w:rPr>
                <w:color w:val="auto"/>
                <w:szCs w:val="22"/>
                <w:lang w:val="en-GB"/>
              </w:rPr>
              <w:t>required/</w:t>
            </w:r>
            <w:r>
              <w:rPr>
                <w:color w:val="auto"/>
                <w:szCs w:val="22"/>
                <w:lang w:val="en-GB"/>
              </w:rPr>
              <w:t>up-dosed</w:t>
            </w:r>
          </w:p>
        </w:tc>
        <w:tc>
          <w:tcPr>
            <w:tcW w:w="2969" w:type="dxa"/>
            <w:vAlign w:val="center"/>
          </w:tcPr>
          <w:p w14:paraId="11B35B6A" w14:textId="68FD8779" w:rsidR="00D711BA" w:rsidRPr="00012B9E" w:rsidRDefault="00765CAC" w:rsidP="00CD45A4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>
              <w:rPr>
                <w:color w:val="auto"/>
                <w:szCs w:val="22"/>
                <w:lang w:val="en-GB"/>
              </w:rPr>
              <w:t>Improved b</w:t>
            </w:r>
            <w:r w:rsidR="007D4200">
              <w:rPr>
                <w:color w:val="auto"/>
                <w:szCs w:val="22"/>
                <w:lang w:val="en-GB"/>
              </w:rPr>
              <w:t>lood sugar</w:t>
            </w:r>
            <w:r w:rsidR="00D711BA" w:rsidRPr="00012B9E">
              <w:rPr>
                <w:color w:val="auto"/>
                <w:szCs w:val="22"/>
                <w:lang w:val="en-GB"/>
              </w:rPr>
              <w:t xml:space="preserve"> </w:t>
            </w:r>
            <w:r w:rsidR="007D4200" w:rsidRPr="00012B9E">
              <w:rPr>
                <w:color w:val="auto"/>
                <w:szCs w:val="22"/>
                <w:lang w:val="en-GB"/>
              </w:rPr>
              <w:t>levels (</w:t>
            </w:r>
            <w:r w:rsidR="00D711BA" w:rsidRPr="00012B9E">
              <w:rPr>
                <w:color w:val="auto"/>
                <w:szCs w:val="22"/>
                <w:lang w:val="en-GB"/>
              </w:rPr>
              <w:t>or diabetes)</w:t>
            </w:r>
            <w:r w:rsidR="00AF7609">
              <w:rPr>
                <w:color w:val="auto"/>
                <w:szCs w:val="22"/>
                <w:lang w:val="en-GB"/>
              </w:rPr>
              <w:t xml:space="preserve"> </w:t>
            </w:r>
            <w:r w:rsidR="00D711BA" w:rsidRPr="00012B9E">
              <w:rPr>
                <w:color w:val="auto"/>
                <w:szCs w:val="22"/>
                <w:lang w:val="en-GB"/>
              </w:rPr>
              <w:t xml:space="preserve">or </w:t>
            </w:r>
            <w:r w:rsidR="007D4200">
              <w:rPr>
                <w:color w:val="auto"/>
                <w:szCs w:val="22"/>
                <w:lang w:val="en-GB"/>
              </w:rPr>
              <w:t>blood sugar</w:t>
            </w:r>
            <w:r w:rsidR="00D711BA" w:rsidRPr="00012B9E">
              <w:rPr>
                <w:color w:val="auto"/>
                <w:szCs w:val="22"/>
                <w:lang w:val="en-GB"/>
              </w:rPr>
              <w:t xml:space="preserve"> </w:t>
            </w:r>
            <w:r w:rsidR="00AF7609">
              <w:rPr>
                <w:color w:val="auto"/>
                <w:szCs w:val="22"/>
                <w:lang w:val="en-GB"/>
              </w:rPr>
              <w:t>medication down-dosed</w:t>
            </w:r>
          </w:p>
        </w:tc>
      </w:tr>
      <w:tr w:rsidR="00D711BA" w:rsidRPr="00012B9E" w14:paraId="6B6EEB08" w14:textId="77777777" w:rsidTr="00CD45A4">
        <w:trPr>
          <w:trHeight w:val="672"/>
        </w:trPr>
        <w:tc>
          <w:tcPr>
            <w:tcW w:w="2605" w:type="dxa"/>
            <w:vAlign w:val="center"/>
          </w:tcPr>
          <w:p w14:paraId="6926F889" w14:textId="77777777" w:rsidR="00D711BA" w:rsidRPr="00012B9E" w:rsidRDefault="00D711BA" w:rsidP="00CD45A4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012B9E">
              <w:rPr>
                <w:b/>
                <w:bCs/>
                <w:color w:val="auto"/>
                <w:szCs w:val="22"/>
                <w:lang w:val="en-GB"/>
              </w:rPr>
              <w:t>Storage conditions</w:t>
            </w:r>
          </w:p>
        </w:tc>
        <w:tc>
          <w:tcPr>
            <w:tcW w:w="2923" w:type="dxa"/>
            <w:vAlign w:val="center"/>
          </w:tcPr>
          <w:p w14:paraId="17197EA2" w14:textId="77777777" w:rsidR="00D711BA" w:rsidRPr="00012B9E" w:rsidRDefault="00D711BA" w:rsidP="00CD45A4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012B9E">
              <w:rPr>
                <w:color w:val="auto"/>
                <w:szCs w:val="22"/>
                <w:lang w:val="en-GB"/>
              </w:rPr>
              <w:t>Storage at room temperature</w:t>
            </w:r>
          </w:p>
        </w:tc>
        <w:tc>
          <w:tcPr>
            <w:tcW w:w="2969" w:type="dxa"/>
            <w:vAlign w:val="center"/>
          </w:tcPr>
          <w:p w14:paraId="481BBEAE" w14:textId="76DFC701" w:rsidR="00D711BA" w:rsidRPr="00012B9E" w:rsidRDefault="00765CAC" w:rsidP="00CD45A4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>
              <w:rPr>
                <w:color w:val="auto"/>
                <w:szCs w:val="22"/>
                <w:lang w:val="en-GB"/>
              </w:rPr>
              <w:t>Cold storage (fridge)</w:t>
            </w:r>
          </w:p>
        </w:tc>
      </w:tr>
      <w:tr w:rsidR="00D711BA" w:rsidRPr="00012B9E" w14:paraId="42DF5CB8" w14:textId="77777777" w:rsidTr="00CD45A4">
        <w:trPr>
          <w:trHeight w:val="686"/>
        </w:trPr>
        <w:tc>
          <w:tcPr>
            <w:tcW w:w="2605" w:type="dxa"/>
            <w:vAlign w:val="center"/>
          </w:tcPr>
          <w:p w14:paraId="193B793C" w14:textId="77777777" w:rsidR="00D711BA" w:rsidRPr="00012B9E" w:rsidRDefault="00D711BA" w:rsidP="00CD45A4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012B9E">
              <w:rPr>
                <w:b/>
                <w:bCs/>
                <w:color w:val="auto"/>
                <w:szCs w:val="22"/>
                <w:lang w:val="en-GB"/>
              </w:rPr>
              <w:t>Quality of life</w:t>
            </w:r>
          </w:p>
        </w:tc>
        <w:tc>
          <w:tcPr>
            <w:tcW w:w="2923" w:type="dxa"/>
            <w:vAlign w:val="center"/>
          </w:tcPr>
          <w:p w14:paraId="19A6B8DC" w14:textId="77777777" w:rsidR="00D711BA" w:rsidRPr="00012B9E" w:rsidRDefault="00D711BA" w:rsidP="00CD45A4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012B9E">
              <w:rPr>
                <w:color w:val="auto"/>
                <w:szCs w:val="22"/>
                <w:lang w:val="en-GB"/>
              </w:rPr>
              <w:t>Improves quality of life</w:t>
            </w:r>
          </w:p>
        </w:tc>
        <w:tc>
          <w:tcPr>
            <w:tcW w:w="2969" w:type="dxa"/>
            <w:vAlign w:val="center"/>
          </w:tcPr>
          <w:p w14:paraId="2C0E7D08" w14:textId="77777777" w:rsidR="00D711BA" w:rsidRPr="00012B9E" w:rsidRDefault="00D711BA" w:rsidP="00CD45A4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012B9E">
              <w:rPr>
                <w:color w:val="auto"/>
                <w:szCs w:val="22"/>
                <w:lang w:val="en-GB"/>
              </w:rPr>
              <w:t>Does not improve quality of life</w:t>
            </w:r>
          </w:p>
        </w:tc>
      </w:tr>
    </w:tbl>
    <w:p w14:paraId="18C40657" w14:textId="5A501EF6" w:rsidR="00C22209" w:rsidRPr="00012B9E" w:rsidRDefault="00C22209" w:rsidP="00C22209">
      <w:pPr>
        <w:rPr>
          <w:color w:val="auto"/>
          <w:sz w:val="18"/>
          <w:szCs w:val="20"/>
          <w:lang w:val="en-GB"/>
        </w:rPr>
      </w:pPr>
      <w:r w:rsidRPr="00012B9E">
        <w:rPr>
          <w:b/>
          <w:bCs/>
          <w:color w:val="auto"/>
          <w:sz w:val="18"/>
          <w:szCs w:val="20"/>
          <w:lang w:val="en-GB"/>
        </w:rPr>
        <w:t>IGF</w:t>
      </w:r>
      <w:r w:rsidR="006017A8" w:rsidRPr="00012B9E">
        <w:rPr>
          <w:b/>
          <w:bCs/>
          <w:color w:val="auto"/>
          <w:sz w:val="18"/>
          <w:szCs w:val="20"/>
          <w:lang w:val="en-GB"/>
        </w:rPr>
        <w:t>-</w:t>
      </w:r>
      <w:r w:rsidRPr="00012B9E">
        <w:rPr>
          <w:b/>
          <w:bCs/>
          <w:color w:val="auto"/>
          <w:sz w:val="18"/>
          <w:szCs w:val="20"/>
          <w:lang w:val="en-GB"/>
        </w:rPr>
        <w:t>I</w:t>
      </w:r>
      <w:r w:rsidRPr="00012B9E">
        <w:rPr>
          <w:color w:val="auto"/>
          <w:sz w:val="18"/>
          <w:szCs w:val="20"/>
          <w:lang w:val="en-GB"/>
        </w:rPr>
        <w:t>: insulin-like growth factor I</w:t>
      </w:r>
    </w:p>
    <w:p w14:paraId="0F57BC9A" w14:textId="5FCD0AE9" w:rsidR="00EC3F35" w:rsidRPr="00012B9E" w:rsidRDefault="00D7490F" w:rsidP="00D711BA">
      <w:pPr>
        <w:rPr>
          <w:color w:val="auto"/>
          <w:lang w:val="en-GB"/>
        </w:rPr>
      </w:pPr>
    </w:p>
    <w:sectPr w:rsidR="00EC3F35" w:rsidRPr="00012B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09F"/>
    <w:rsid w:val="00012B9E"/>
    <w:rsid w:val="002068BF"/>
    <w:rsid w:val="00293300"/>
    <w:rsid w:val="004146CB"/>
    <w:rsid w:val="00442D38"/>
    <w:rsid w:val="004E44E2"/>
    <w:rsid w:val="00547042"/>
    <w:rsid w:val="005C084B"/>
    <w:rsid w:val="006017A8"/>
    <w:rsid w:val="00661C81"/>
    <w:rsid w:val="006876BE"/>
    <w:rsid w:val="006A4E7C"/>
    <w:rsid w:val="006A509F"/>
    <w:rsid w:val="007328E8"/>
    <w:rsid w:val="00746FAA"/>
    <w:rsid w:val="00764E9A"/>
    <w:rsid w:val="00765CAC"/>
    <w:rsid w:val="007760B3"/>
    <w:rsid w:val="007D4200"/>
    <w:rsid w:val="00815904"/>
    <w:rsid w:val="00926CEE"/>
    <w:rsid w:val="0093093A"/>
    <w:rsid w:val="009A0DAC"/>
    <w:rsid w:val="00A53126"/>
    <w:rsid w:val="00A75524"/>
    <w:rsid w:val="00A92EF4"/>
    <w:rsid w:val="00AC52C9"/>
    <w:rsid w:val="00AF7609"/>
    <w:rsid w:val="00C02012"/>
    <w:rsid w:val="00C22209"/>
    <w:rsid w:val="00C72BC9"/>
    <w:rsid w:val="00CD6C61"/>
    <w:rsid w:val="00D42693"/>
    <w:rsid w:val="00D711BA"/>
    <w:rsid w:val="00D7490F"/>
    <w:rsid w:val="00D87D55"/>
    <w:rsid w:val="00D929E3"/>
    <w:rsid w:val="00DB338C"/>
    <w:rsid w:val="00EE72C2"/>
    <w:rsid w:val="00F7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071CA"/>
  <w15:chartTrackingRefBased/>
  <w15:docId w15:val="{024AEF6F-D90B-432B-BF59-987716ED8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1BA"/>
    <w:pPr>
      <w:suppressAutoHyphens/>
      <w:spacing w:before="120" w:after="120" w:line="360" w:lineRule="auto"/>
      <w:jc w:val="both"/>
    </w:pPr>
    <w:rPr>
      <w:rFonts w:ascii="Arial" w:eastAsia="Calibri" w:hAnsi="Arial" w:cs="Arial"/>
      <w:color w:val="003366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711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D711BA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AF7609"/>
    <w:pPr>
      <w:spacing w:after="0" w:line="240" w:lineRule="auto"/>
    </w:pPr>
    <w:rPr>
      <w:rFonts w:ascii="Arial" w:eastAsia="Calibri" w:hAnsi="Arial" w:cs="Arial"/>
      <w:color w:val="003366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165</Words>
  <Characters>880</Characters>
  <Application>Microsoft Office Word</Application>
  <DocSecurity>0</DocSecurity>
  <Lines>44</Lines>
  <Paragraphs>49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MSC-ER</dc:creator>
  <cp:keywords/>
  <dc:description/>
  <cp:lastModifiedBy>Diaz, Marcos</cp:lastModifiedBy>
  <cp:revision>9</cp:revision>
  <dcterms:created xsi:type="dcterms:W3CDTF">2023-03-02T09:34:00Z</dcterms:created>
  <dcterms:modified xsi:type="dcterms:W3CDTF">2023-04-04T08:04:00Z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791b42f-c435-42ca-9531-75a3f42aae3d_Enabled">
    <vt:lpwstr>true</vt:lpwstr>
  </property>
  <property fmtid="{D5CDD505-2E9C-101B-9397-08002B2CF9AE}" pid="3" name="MSIP_Label_4791b42f-c435-42ca-9531-75a3f42aae3d_SetDate">
    <vt:lpwstr>2023-04-04T08:03:58Z</vt:lpwstr>
  </property>
  <property fmtid="{D5CDD505-2E9C-101B-9397-08002B2CF9AE}" pid="4" name="MSIP_Label_4791b42f-c435-42ca-9531-75a3f42aae3d_Method">
    <vt:lpwstr>Privileged</vt:lpwstr>
  </property>
  <property fmtid="{D5CDD505-2E9C-101B-9397-08002B2CF9AE}" pid="5" name="MSIP_Label_4791b42f-c435-42ca-9531-75a3f42aae3d_Name">
    <vt:lpwstr>4791b42f-c435-42ca-9531-75a3f42aae3d</vt:lpwstr>
  </property>
  <property fmtid="{D5CDD505-2E9C-101B-9397-08002B2CF9AE}" pid="6" name="MSIP_Label_4791b42f-c435-42ca-9531-75a3f42aae3d_SiteId">
    <vt:lpwstr>7a916015-20ae-4ad1-9170-eefd915e9272</vt:lpwstr>
  </property>
  <property fmtid="{D5CDD505-2E9C-101B-9397-08002B2CF9AE}" pid="7" name="MSIP_Label_4791b42f-c435-42ca-9531-75a3f42aae3d_ActionId">
    <vt:lpwstr>fba7d22e-63a7-4342-b3d7-157260df96c1</vt:lpwstr>
  </property>
  <property fmtid="{D5CDD505-2E9C-101B-9397-08002B2CF9AE}" pid="8" name="MSIP_Label_4791b42f-c435-42ca-9531-75a3f42aae3d_ContentBits">
    <vt:lpwstr>0</vt:lpwstr>
  </property>
</Properties>
</file>