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S2 </w:t>
      </w:r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  <w:t>High expression of ESCO2 affects DSS in v</w:t>
      </w:r>
      <w:bookmarkStart w:id="0" w:name="_GoBack"/>
      <w:bookmarkEnd w:id="0"/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  <w:t>arious malignancies</w:t>
      </w: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2880" cy="5475605"/>
            <wp:effectExtent l="0" t="0" r="7620" b="10795"/>
            <wp:docPr id="6" name="图片 6" descr="Figur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S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547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  <w:t>Figure S2</w:t>
      </w: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ascii="Times New Roman" w:hAnsi="Times New Roman" w:eastAsia="微软雅黑" w:cs="Times New Roman"/>
          <w:b w:val="0"/>
          <w:bCs w:val="0"/>
          <w:sz w:val="24"/>
          <w:szCs w:val="24"/>
          <w:shd w:val="clear" w:color="auto" w:fill="FFFFFF"/>
        </w:rPr>
        <w:t>Kaplan–Meier analysis of the association between ESCO2 expression and DSS</w:t>
      </w:r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shd w:val="clear" w:color="auto" w:fill="FFFFFF"/>
          <w:lang w:val="en-US" w:eastAsia="zh-CN"/>
        </w:rPr>
        <w:t xml:space="preserve"> </w:t>
      </w: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lNDEwNzk4ODg2NDQzMzM3ZWU4ZjgxNzFhNTY3ZjMifQ=="/>
  </w:docVars>
  <w:rsids>
    <w:rsidRoot w:val="5CF5200B"/>
    <w:rsid w:val="0FE8734C"/>
    <w:rsid w:val="40BD4910"/>
    <w:rsid w:val="5CF5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80</Characters>
  <Lines>0</Lines>
  <Paragraphs>0</Paragraphs>
  <TotalTime>0</TotalTime>
  <ScaleCrop>false</ScaleCrop>
  <LinksUpToDate>false</LinksUpToDate>
  <CharactersWithSpaces>91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2023-04-15T06:11:00Z</dcterms:created>
  <dc:creator>三更灯火五更琉璃</dc:creator>
  <cp:lastModifiedBy>三更灯火五更琉璃</cp:lastModifiedBy>
  <dcterms:modified xsi:type="dcterms:W3CDTF">2023-04-16T03:34:06Z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CF31F0590CDE4E33B9556D7747F2C0EC_11</vt:lpwstr>
  </property>
</Properties>
</file>