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9AA8" w14:textId="1E4314E8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  <w:r w:rsidRPr="002B0729">
        <w:rPr>
          <w:rFonts w:eastAsia="Arial"/>
          <w:b/>
          <w:color w:val="000000"/>
        </w:rPr>
        <w:t>SUPPLEMENT CONTENTS</w:t>
      </w:r>
    </w:p>
    <w:p w14:paraId="0E85D6F6" w14:textId="77777777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</w:p>
    <w:p w14:paraId="384FAA51" w14:textId="2D616F3E" w:rsidR="00A53CB7" w:rsidRPr="002B0729" w:rsidRDefault="006A2D9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F</w:t>
      </w:r>
      <w:r w:rsidR="00D66CBE" w:rsidRPr="002B0729">
        <w:rPr>
          <w:rFonts w:eastAsia="Arial"/>
          <w:bCs/>
          <w:color w:val="000000"/>
        </w:rPr>
        <w:t>igure</w:t>
      </w:r>
      <w:r w:rsidR="00A53CB7" w:rsidRPr="002B0729">
        <w:rPr>
          <w:rFonts w:eastAsia="Arial"/>
          <w:bCs/>
          <w:color w:val="000000"/>
        </w:rPr>
        <w:t xml:space="preserve">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  <w:color w:val="000000"/>
        </w:rPr>
        <w:t>1. Algorithm for weaning anakinra in MIS-C patients.</w:t>
      </w:r>
    </w:p>
    <w:p w14:paraId="36095881" w14:textId="1F952FFF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</w:p>
    <w:p w14:paraId="395F0907" w14:textId="43D4A606" w:rsidR="00A53CB7" w:rsidRPr="002B0729" w:rsidRDefault="006A2D9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T</w:t>
      </w:r>
      <w:r w:rsidR="00D66CBE" w:rsidRPr="002B0729">
        <w:rPr>
          <w:rFonts w:eastAsia="Arial"/>
          <w:bCs/>
          <w:color w:val="000000"/>
        </w:rPr>
        <w:t>able</w:t>
      </w:r>
      <w:r w:rsidR="00A53CB7" w:rsidRPr="002B0729">
        <w:rPr>
          <w:rFonts w:eastAsia="Arial"/>
          <w:bCs/>
          <w:color w:val="000000"/>
        </w:rPr>
        <w:t xml:space="preserve">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  <w:color w:val="000000"/>
        </w:rPr>
        <w:t>1. Normal ranges for laboratory tests in MIS-C patients included in the study.</w:t>
      </w:r>
    </w:p>
    <w:p w14:paraId="2E768042" w14:textId="13233FFE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</w:p>
    <w:p w14:paraId="4A5AA8D9" w14:textId="1B88712D" w:rsidR="00A53CB7" w:rsidRPr="002B0729" w:rsidRDefault="006A2D9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T</w:t>
      </w:r>
      <w:r w:rsidR="00D66CBE" w:rsidRPr="002B0729">
        <w:rPr>
          <w:rFonts w:eastAsia="Arial"/>
          <w:bCs/>
          <w:color w:val="000000"/>
        </w:rPr>
        <w:t>able</w:t>
      </w:r>
      <w:r w:rsidR="00A53CB7" w:rsidRPr="002B0729">
        <w:rPr>
          <w:rFonts w:eastAsia="Arial"/>
          <w:bCs/>
          <w:color w:val="000000"/>
        </w:rPr>
        <w:t xml:space="preserve">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  <w:color w:val="000000"/>
        </w:rPr>
        <w:t xml:space="preserve">2. </w:t>
      </w:r>
      <w:r w:rsidR="00A53CB7" w:rsidRPr="002B0729">
        <w:rPr>
          <w:rFonts w:eastAsia="Arial"/>
          <w:bCs/>
        </w:rPr>
        <w:t>Available cytokine results from MIS-C patients included in the study.</w:t>
      </w:r>
    </w:p>
    <w:p w14:paraId="2B0EC0E8" w14:textId="700B43B5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</w:p>
    <w:p w14:paraId="7B315A85" w14:textId="460F6C01" w:rsidR="00A53CB7" w:rsidRPr="002B0729" w:rsidRDefault="00A57352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T</w:t>
      </w:r>
      <w:r w:rsidR="00D66CBE" w:rsidRPr="002B0729">
        <w:rPr>
          <w:rFonts w:eastAsia="Arial"/>
          <w:bCs/>
          <w:color w:val="000000"/>
        </w:rPr>
        <w:t>able</w:t>
      </w:r>
      <w:r w:rsidR="00A53CB7" w:rsidRPr="002B0729">
        <w:rPr>
          <w:rFonts w:eastAsia="Arial"/>
          <w:bCs/>
          <w:color w:val="000000"/>
        </w:rPr>
        <w:t xml:space="preserve">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  <w:color w:val="000000"/>
        </w:rPr>
        <w:t xml:space="preserve">3. </w:t>
      </w:r>
      <w:r w:rsidR="00A53CB7" w:rsidRPr="002B0729">
        <w:rPr>
          <w:rFonts w:eastAsia="Arial"/>
          <w:bCs/>
        </w:rPr>
        <w:t xml:space="preserve">Comparison of MIS-C patients </w:t>
      </w:r>
      <w:r w:rsidR="004514F9">
        <w:rPr>
          <w:rFonts w:eastAsia="Arial"/>
          <w:bCs/>
        </w:rPr>
        <w:t>in the</w:t>
      </w:r>
      <w:r w:rsidR="00A53CB7" w:rsidRPr="002B0729">
        <w:rPr>
          <w:rFonts w:eastAsia="Arial"/>
          <w:bCs/>
        </w:rPr>
        <w:t xml:space="preserve"> IVIG monotherapy </w:t>
      </w:r>
      <w:r w:rsidR="004514F9">
        <w:rPr>
          <w:rFonts w:eastAsia="Arial"/>
          <w:bCs/>
        </w:rPr>
        <w:t>and</w:t>
      </w:r>
      <w:r w:rsidR="00A53CB7" w:rsidRPr="002B0729">
        <w:rPr>
          <w:rFonts w:eastAsia="Arial"/>
          <w:bCs/>
        </w:rPr>
        <w:t xml:space="preserve"> </w:t>
      </w:r>
      <w:proofErr w:type="spellStart"/>
      <w:r w:rsidR="00A53CB7" w:rsidRPr="002B0729">
        <w:rPr>
          <w:rFonts w:eastAsia="Arial"/>
          <w:bCs/>
        </w:rPr>
        <w:t>IVIG</w:t>
      </w:r>
      <w:r w:rsidR="0026639A">
        <w:rPr>
          <w:rFonts w:eastAsia="Arial"/>
          <w:bCs/>
        </w:rPr>
        <w:t>+</w:t>
      </w:r>
      <w:r w:rsidR="00A53CB7" w:rsidRPr="002B0729">
        <w:rPr>
          <w:rFonts w:eastAsia="Arial"/>
          <w:bCs/>
        </w:rPr>
        <w:t>anakinra</w:t>
      </w:r>
      <w:proofErr w:type="spellEnd"/>
      <w:r w:rsidR="004514F9">
        <w:rPr>
          <w:rFonts w:eastAsia="Arial"/>
          <w:bCs/>
        </w:rPr>
        <w:t xml:space="preserve"> groups (continued)</w:t>
      </w:r>
      <w:r w:rsidR="00A53CB7" w:rsidRPr="002B0729">
        <w:rPr>
          <w:rFonts w:eastAsia="Arial"/>
          <w:bCs/>
        </w:rPr>
        <w:t>.</w:t>
      </w:r>
    </w:p>
    <w:p w14:paraId="61A059E9" w14:textId="5FA62E76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</w:p>
    <w:p w14:paraId="05515783" w14:textId="2E8B4D5D" w:rsidR="00A53CB7" w:rsidRPr="002B0729" w:rsidRDefault="00A57352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T</w:t>
      </w:r>
      <w:r w:rsidR="00D66CBE" w:rsidRPr="002B0729">
        <w:rPr>
          <w:rFonts w:eastAsia="Arial"/>
          <w:bCs/>
          <w:color w:val="000000"/>
        </w:rPr>
        <w:t xml:space="preserve">able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</w:rPr>
        <w:t xml:space="preserve">4. Comparison of MIS-C patients </w:t>
      </w:r>
      <w:r w:rsidR="004514F9">
        <w:rPr>
          <w:rFonts w:eastAsia="Arial"/>
          <w:bCs/>
        </w:rPr>
        <w:t xml:space="preserve">in the </w:t>
      </w:r>
      <w:proofErr w:type="spellStart"/>
      <w:r w:rsidR="004514F9">
        <w:rPr>
          <w:rFonts w:eastAsia="Arial"/>
          <w:bCs/>
        </w:rPr>
        <w:t>IVIG+anakinra</w:t>
      </w:r>
      <w:proofErr w:type="spellEnd"/>
      <w:r w:rsidR="004514F9">
        <w:rPr>
          <w:rFonts w:eastAsia="Arial"/>
          <w:bCs/>
        </w:rPr>
        <w:t xml:space="preserve"> group presenting with or without CV shock (continued)</w:t>
      </w:r>
      <w:r w:rsidR="00A53CB7" w:rsidRPr="002B0729">
        <w:rPr>
          <w:rFonts w:eastAsia="Arial"/>
          <w:bCs/>
        </w:rPr>
        <w:t>.</w:t>
      </w:r>
    </w:p>
    <w:p w14:paraId="4ADF1EE9" w14:textId="77777777" w:rsidR="00D66CBE" w:rsidRPr="002B0729" w:rsidRDefault="00D66CBE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</w:p>
    <w:p w14:paraId="48AE287A" w14:textId="01BD77CF" w:rsidR="00A53CB7" w:rsidRPr="002B0729" w:rsidRDefault="00A57352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F</w:t>
      </w:r>
      <w:r w:rsidR="00D66CBE" w:rsidRPr="002B0729">
        <w:rPr>
          <w:rFonts w:eastAsia="Arial"/>
          <w:bCs/>
          <w:color w:val="000000"/>
        </w:rPr>
        <w:t xml:space="preserve">igure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</w:rPr>
        <w:t xml:space="preserve">2. </w:t>
      </w:r>
      <w:r w:rsidR="004514F9">
        <w:rPr>
          <w:rFonts w:eastAsia="Arial"/>
          <w:bCs/>
        </w:rPr>
        <w:t>Clinical outcomes</w:t>
      </w:r>
      <w:r w:rsidR="00A53CB7" w:rsidRPr="002B0729">
        <w:rPr>
          <w:rFonts w:eastAsia="Arial"/>
          <w:bCs/>
        </w:rPr>
        <w:t xml:space="preserve"> of MIS-C patients.</w:t>
      </w:r>
    </w:p>
    <w:p w14:paraId="24E6301F" w14:textId="2DD0EA3B" w:rsidR="00A53CB7" w:rsidRPr="002B0729" w:rsidRDefault="00A53CB7" w:rsidP="003703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</w:p>
    <w:p w14:paraId="030253CF" w14:textId="5CA9EDFB" w:rsidR="003703BF" w:rsidRDefault="000E469D" w:rsidP="00A573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Cs/>
          <w:color w:val="000000"/>
        </w:rPr>
        <w:t>S</w:t>
      </w:r>
      <w:r w:rsidR="00D66CBE" w:rsidRPr="002B0729">
        <w:rPr>
          <w:rFonts w:eastAsia="Arial"/>
          <w:bCs/>
          <w:color w:val="000000"/>
        </w:rPr>
        <w:t xml:space="preserve">upplemental </w:t>
      </w:r>
      <w:r w:rsidRPr="002B0729">
        <w:rPr>
          <w:rFonts w:eastAsia="Arial"/>
          <w:bCs/>
          <w:color w:val="000000"/>
        </w:rPr>
        <w:t>F</w:t>
      </w:r>
      <w:r w:rsidR="00D66CBE" w:rsidRPr="002B0729">
        <w:rPr>
          <w:rFonts w:eastAsia="Arial"/>
          <w:bCs/>
          <w:color w:val="000000"/>
        </w:rPr>
        <w:t xml:space="preserve">igure </w:t>
      </w:r>
      <w:r w:rsidR="002C6643" w:rsidRPr="002B0729">
        <w:rPr>
          <w:rFonts w:eastAsia="Arial"/>
          <w:bCs/>
          <w:color w:val="000000"/>
        </w:rPr>
        <w:t>S</w:t>
      </w:r>
      <w:r w:rsidR="00A53CB7" w:rsidRPr="002B0729">
        <w:rPr>
          <w:rFonts w:eastAsia="Arial"/>
          <w:bCs/>
        </w:rPr>
        <w:t>3. Timing of initial and follow-up echocardiograms in children diagnosed with MIS-C.</w:t>
      </w:r>
    </w:p>
    <w:p w14:paraId="7E1B8F59" w14:textId="77777777" w:rsidR="004514F9" w:rsidRDefault="004514F9" w:rsidP="00A573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</w:p>
    <w:p w14:paraId="4058E86B" w14:textId="683FCEDD" w:rsidR="008B2D36" w:rsidRDefault="008B2D36" w:rsidP="008B2D36">
      <w:pPr>
        <w:spacing w:line="480" w:lineRule="auto"/>
      </w:pPr>
      <w:r w:rsidRPr="008B2D36">
        <w:rPr>
          <w:rFonts w:eastAsia="Arial"/>
          <w:bCs/>
        </w:rPr>
        <w:t xml:space="preserve">Supplemental </w:t>
      </w:r>
      <w:r w:rsidR="006D226A">
        <w:rPr>
          <w:rFonts w:eastAsia="Arial"/>
          <w:bCs/>
        </w:rPr>
        <w:t>Table</w:t>
      </w:r>
      <w:r w:rsidRPr="008B2D36">
        <w:rPr>
          <w:rFonts w:eastAsia="Arial"/>
          <w:bCs/>
        </w:rPr>
        <w:t xml:space="preserve"> S</w:t>
      </w:r>
      <w:r w:rsidR="004514F9">
        <w:rPr>
          <w:rFonts w:eastAsia="Arial"/>
          <w:bCs/>
        </w:rPr>
        <w:t>5</w:t>
      </w:r>
      <w:r w:rsidRPr="008B2D36">
        <w:rPr>
          <w:rFonts w:eastAsia="Arial"/>
          <w:bCs/>
        </w:rPr>
        <w:t>.</w:t>
      </w:r>
      <w:r>
        <w:rPr>
          <w:rFonts w:eastAsia="Arial"/>
          <w:b/>
        </w:rPr>
        <w:t xml:space="preserve"> </w:t>
      </w:r>
      <w:r>
        <w:t xml:space="preserve">Adverse events of severity of neutropenia and elevated LFTs stratified by severity according to CTCAE. </w:t>
      </w:r>
    </w:p>
    <w:p w14:paraId="1C3846F8" w14:textId="77777777" w:rsidR="008B2D36" w:rsidRPr="002B0729" w:rsidRDefault="008B2D36" w:rsidP="00A573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</w:p>
    <w:p w14:paraId="0B55D1BE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  <w:r w:rsidRPr="004B0771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079FE93D" wp14:editId="2DB12B99">
            <wp:extent cx="5891530" cy="3888743"/>
            <wp:effectExtent l="0" t="0" r="1270" b="0"/>
            <wp:docPr id="7" name="image3.png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iagram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421" cy="39104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5C1993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29F7B345" w14:textId="3C7721EF" w:rsidR="00A53CB7" w:rsidRPr="002B0729" w:rsidRDefault="000E469D" w:rsidP="00A53C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  <w:r w:rsidRPr="002B0729">
        <w:rPr>
          <w:rFonts w:eastAsia="Arial"/>
          <w:b/>
          <w:color w:val="000000"/>
        </w:rPr>
        <w:t>S</w:t>
      </w:r>
      <w:r w:rsidR="00D66CBE" w:rsidRPr="002B0729">
        <w:rPr>
          <w:rFonts w:eastAsia="Arial"/>
          <w:b/>
          <w:color w:val="000000"/>
        </w:rPr>
        <w:t xml:space="preserve">upplemental </w:t>
      </w:r>
      <w:r w:rsidRPr="002B0729">
        <w:rPr>
          <w:rFonts w:eastAsia="Arial"/>
          <w:b/>
          <w:color w:val="000000"/>
        </w:rPr>
        <w:t>F</w:t>
      </w:r>
      <w:r w:rsidR="00D66CBE" w:rsidRPr="002B0729">
        <w:rPr>
          <w:rFonts w:eastAsia="Arial"/>
          <w:b/>
          <w:color w:val="000000"/>
        </w:rPr>
        <w:t xml:space="preserve">igure </w:t>
      </w:r>
      <w:r w:rsidR="002C6643" w:rsidRPr="002B0729">
        <w:rPr>
          <w:rFonts w:eastAsia="Arial"/>
          <w:b/>
          <w:color w:val="000000"/>
        </w:rPr>
        <w:t>S</w:t>
      </w:r>
      <w:r w:rsidR="00A53CB7" w:rsidRPr="002B0729">
        <w:rPr>
          <w:rFonts w:eastAsia="Arial"/>
          <w:b/>
          <w:color w:val="000000"/>
        </w:rPr>
        <w:t>1. Algorithm for weaning anakinra in MIS-C patients.</w:t>
      </w:r>
      <w:r w:rsidR="00A53CB7" w:rsidRPr="002B0729">
        <w:rPr>
          <w:rFonts w:eastAsia="Arial"/>
          <w:bCs/>
          <w:color w:val="000000"/>
        </w:rPr>
        <w:t xml:space="preserve"> </w:t>
      </w:r>
      <w:r w:rsidR="00A53CB7" w:rsidRPr="002B0729">
        <w:rPr>
          <w:rFonts w:eastAsia="Arial"/>
          <w:color w:val="000000"/>
        </w:rPr>
        <w:t xml:space="preserve">The weaning algorithm for MIS-C patients treated with anakinra is shown. In MIS-C patients treated with anakinra who demonstrated objective evidence of clinical improvement, anakinra was decreased by 2mg/kg/day in </w:t>
      </w:r>
      <w:proofErr w:type="gramStart"/>
      <w:r w:rsidR="00A53CB7" w:rsidRPr="002B0729">
        <w:rPr>
          <w:rFonts w:eastAsia="Arial"/>
          <w:color w:val="000000"/>
        </w:rPr>
        <w:t>24-48 hour</w:t>
      </w:r>
      <w:proofErr w:type="gramEnd"/>
      <w:r w:rsidR="00A53CB7" w:rsidRPr="002B0729">
        <w:rPr>
          <w:rFonts w:eastAsia="Arial"/>
          <w:color w:val="000000"/>
        </w:rPr>
        <w:t xml:space="preserve"> increments with continued clinical monitoring until its discontinuation.</w:t>
      </w:r>
    </w:p>
    <w:p w14:paraId="3B3098B3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525EE64A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1DB587DE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582A011A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5E7917C9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1B9890DA" w14:textId="7771D7E6" w:rsidR="00A57352" w:rsidRDefault="00A57352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657484AB" w14:textId="77777777" w:rsidR="002B0729" w:rsidRPr="004B0771" w:rsidRDefault="002B0729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tbl>
      <w:tblPr>
        <w:tblW w:w="8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350"/>
        <w:gridCol w:w="1710"/>
        <w:gridCol w:w="2790"/>
      </w:tblGrid>
      <w:tr w:rsidR="003703BF" w:rsidRPr="004B0771" w14:paraId="1FF13BAE" w14:textId="77777777" w:rsidTr="002B0729">
        <w:tc>
          <w:tcPr>
            <w:tcW w:w="2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733EC0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lastRenderedPageBreak/>
              <w:t>Laboratory test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3B1E3F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Units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043035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Normal range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BA0225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Cut-off for abnormal</w:t>
            </w:r>
          </w:p>
        </w:tc>
      </w:tr>
      <w:tr w:rsidR="003703BF" w:rsidRPr="004B0771" w14:paraId="3CE6B813" w14:textId="77777777" w:rsidTr="002B0729">
        <w:tc>
          <w:tcPr>
            <w:tcW w:w="2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8B4DD1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Albumin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3508F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g/dL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A5D4D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3.5 – 5.6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E3A96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&lt; 3.5</w:t>
            </w:r>
          </w:p>
        </w:tc>
      </w:tr>
      <w:tr w:rsidR="003703BF" w:rsidRPr="004B0771" w14:paraId="6613FCD9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07AB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ALT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0485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units/L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53D7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24 – 59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355E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59</w:t>
            </w:r>
          </w:p>
        </w:tc>
      </w:tr>
      <w:tr w:rsidR="003703BF" w:rsidRPr="004B0771" w14:paraId="031FF5B7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D800E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AST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A853C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units/L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1A37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16 – 57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083D2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57</w:t>
            </w:r>
          </w:p>
        </w:tc>
      </w:tr>
      <w:tr w:rsidR="003703BF" w:rsidRPr="004B0771" w14:paraId="7EFDAA2E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222573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BNP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3A0EB" w14:textId="77777777" w:rsidR="003703BF" w:rsidRPr="002B0729" w:rsidRDefault="003703BF" w:rsidP="002B0729">
            <w:pPr>
              <w:rPr>
                <w:rFonts w:eastAsia="Arial"/>
              </w:rPr>
            </w:pPr>
            <w:proofErr w:type="spellStart"/>
            <w:r w:rsidRPr="002B0729">
              <w:rPr>
                <w:rFonts w:eastAsia="Arial"/>
              </w:rPr>
              <w:t>pg</w:t>
            </w:r>
            <w:proofErr w:type="spellEnd"/>
            <w:r w:rsidRPr="002B0729">
              <w:rPr>
                <w:rFonts w:eastAsia="Arial"/>
              </w:rPr>
              <w:t>/mL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136C1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&lt; 1157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E6CB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1158</w:t>
            </w:r>
          </w:p>
        </w:tc>
      </w:tr>
      <w:tr w:rsidR="003703BF" w:rsidRPr="004B0771" w14:paraId="7A997D9F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7690A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Cr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8773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mg/dL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342D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0.2 – 0.79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715B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0.79</w:t>
            </w:r>
          </w:p>
        </w:tc>
      </w:tr>
      <w:tr w:rsidR="003703BF" w:rsidRPr="004B0771" w14:paraId="721D0420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5430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CRP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976E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mg/dL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4470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0.05 – 1.00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D5A4B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1.00</w:t>
            </w:r>
          </w:p>
        </w:tc>
      </w:tr>
      <w:tr w:rsidR="003703BF" w:rsidRPr="004B0771" w14:paraId="40F54849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4455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D-dimer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6303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mg/mL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83AA1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&lt;0.57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1B3A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0.57</w:t>
            </w:r>
          </w:p>
        </w:tc>
      </w:tr>
      <w:tr w:rsidR="003703BF" w:rsidRPr="004B0771" w14:paraId="07CB0EE9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2EAD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 xml:space="preserve">Ferritin 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9120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ng/mL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15660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10 – 500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8831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500</w:t>
            </w:r>
          </w:p>
        </w:tc>
      </w:tr>
      <w:tr w:rsidR="003703BF" w:rsidRPr="004B0771" w14:paraId="388E436D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07C19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Fibrinogen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B43A9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mg/dL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F508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179 – 469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15CB3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469</w:t>
            </w:r>
          </w:p>
        </w:tc>
      </w:tr>
      <w:tr w:rsidR="003703BF" w:rsidRPr="004B0771" w14:paraId="01954CC2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D84F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Hgb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1CAF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g/dL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3850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10.2 – 13.4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217B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&lt; 9</w:t>
            </w:r>
          </w:p>
        </w:tc>
      </w:tr>
      <w:tr w:rsidR="003703BF" w:rsidRPr="004B0771" w14:paraId="6C34C920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E709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INR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1261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N/A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F4D9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0.91 – 1.09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10A91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1.09</w:t>
            </w:r>
          </w:p>
        </w:tc>
      </w:tr>
      <w:tr w:rsidR="003703BF" w:rsidRPr="004B0771" w14:paraId="3FA70A12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4B9C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LDH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26CE9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units/L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080E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155-280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CDB5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&gt; 280</w:t>
            </w:r>
          </w:p>
        </w:tc>
      </w:tr>
      <w:tr w:rsidR="003703BF" w:rsidRPr="004B0771" w14:paraId="0A796FBF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3A253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Lymphocytes (ALC)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360A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K/</w:t>
            </w:r>
            <w:proofErr w:type="spellStart"/>
            <w:r w:rsidRPr="002B0729">
              <w:rPr>
                <w:rFonts w:eastAsia="Arial"/>
              </w:rPr>
              <w:t>mcL</w:t>
            </w:r>
            <w:proofErr w:type="spellEnd"/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911D6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1.25 – 5.77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20B2D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Lymphopenia &lt;1.2</w:t>
            </w:r>
          </w:p>
        </w:tc>
      </w:tr>
      <w:tr w:rsidR="003703BF" w:rsidRPr="004B0771" w14:paraId="21B5A5DF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0A81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Neutrophils (ANC)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E1D1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K/</w:t>
            </w:r>
            <w:proofErr w:type="spellStart"/>
            <w:r w:rsidRPr="002B0729">
              <w:rPr>
                <w:rFonts w:eastAsia="Arial"/>
              </w:rPr>
              <w:t>mcL</w:t>
            </w:r>
            <w:proofErr w:type="spellEnd"/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AE591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1.54 – 8.29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D86F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Neutropenia &lt; 1.5</w:t>
            </w:r>
          </w:p>
          <w:p w14:paraId="0850E03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Neutrophilia &gt; 7.7</w:t>
            </w:r>
          </w:p>
        </w:tc>
      </w:tr>
      <w:tr w:rsidR="003703BF" w:rsidRPr="004B0771" w14:paraId="26FA2AF7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A92F55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Platelets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9A91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K/</w:t>
            </w:r>
            <w:proofErr w:type="spellStart"/>
            <w:r w:rsidRPr="002B0729">
              <w:rPr>
                <w:rFonts w:eastAsia="Arial"/>
              </w:rPr>
              <w:t>mcL</w:t>
            </w:r>
            <w:proofErr w:type="spellEnd"/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9CA8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189 - 459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C573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Thrombocytopenia &lt; 150</w:t>
            </w:r>
          </w:p>
          <w:p w14:paraId="66BACA9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Neutrophilia &gt; 450</w:t>
            </w:r>
          </w:p>
        </w:tc>
      </w:tr>
      <w:tr w:rsidR="003703BF" w:rsidRPr="004B0771" w14:paraId="0D250FB8" w14:textId="77777777" w:rsidTr="002B0729">
        <w:tc>
          <w:tcPr>
            <w:tcW w:w="224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F1D1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Troponin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C19F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ng/mL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D7A1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&lt; 0.04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E292C3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0.04</w:t>
            </w:r>
          </w:p>
        </w:tc>
      </w:tr>
      <w:tr w:rsidR="003703BF" w:rsidRPr="004B0771" w14:paraId="7D205A83" w14:textId="77777777" w:rsidTr="002B0729"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C741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WBC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F86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K/</w:t>
            </w:r>
            <w:proofErr w:type="spellStart"/>
            <w:r w:rsidRPr="002B0729">
              <w:rPr>
                <w:rFonts w:eastAsia="Arial"/>
              </w:rPr>
              <w:t>mcL</w:t>
            </w:r>
            <w:proofErr w:type="spellEnd"/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87E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3.84 – 13.38</w:t>
            </w:r>
          </w:p>
        </w:tc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2FE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Leukopenia &lt; 3.5</w:t>
            </w:r>
          </w:p>
          <w:p w14:paraId="08F0134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Leukocytosis &gt; 15</w:t>
            </w:r>
          </w:p>
        </w:tc>
      </w:tr>
    </w:tbl>
    <w:p w14:paraId="5D3D5DFB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0F285F04" w14:textId="764ACBF5" w:rsidR="00A53CB7" w:rsidRPr="002B0729" w:rsidRDefault="000E469D" w:rsidP="00A53C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  <w:color w:val="000000"/>
        </w:rPr>
      </w:pPr>
      <w:r w:rsidRPr="002B0729">
        <w:rPr>
          <w:rFonts w:eastAsia="Arial"/>
          <w:b/>
          <w:color w:val="000000"/>
        </w:rPr>
        <w:t>Supplemental T</w:t>
      </w:r>
      <w:r w:rsidR="00D66CBE" w:rsidRPr="002B0729">
        <w:rPr>
          <w:rFonts w:eastAsia="Arial"/>
          <w:b/>
          <w:color w:val="000000"/>
        </w:rPr>
        <w:t xml:space="preserve">able </w:t>
      </w:r>
      <w:r w:rsidR="002C6643" w:rsidRPr="002B0729">
        <w:rPr>
          <w:rFonts w:eastAsia="Arial"/>
          <w:b/>
          <w:color w:val="000000"/>
        </w:rPr>
        <w:t>S</w:t>
      </w:r>
      <w:r w:rsidR="00A53CB7" w:rsidRPr="002B0729">
        <w:rPr>
          <w:rFonts w:eastAsia="Arial"/>
          <w:b/>
          <w:color w:val="000000"/>
        </w:rPr>
        <w:t>1. Normal ranges for laboratory tests in MIS-C patients included in the study.</w:t>
      </w:r>
      <w:r w:rsidR="00A53CB7" w:rsidRPr="002B0729">
        <w:rPr>
          <w:rFonts w:eastAsia="Arial"/>
          <w:bCs/>
          <w:color w:val="000000"/>
        </w:rPr>
        <w:t xml:space="preserve"> </w:t>
      </w:r>
      <w:r w:rsidR="00A53CB7" w:rsidRPr="002B0729">
        <w:rPr>
          <w:rFonts w:eastAsia="Arial"/>
          <w:color w:val="000000"/>
        </w:rPr>
        <w:t>All laboratory tests analyzed for the study are shown with units, and the defined cut-offs for abnormal values are indicated.</w:t>
      </w:r>
    </w:p>
    <w:p w14:paraId="164B52E8" w14:textId="14B7ED03" w:rsidR="003703BF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6F0C3B24" w14:textId="4345D6FA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69551B3F" w14:textId="01032558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70BC5232" w14:textId="03AA2EF9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32D8A734" w14:textId="3C9337D4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76D193DB" w14:textId="61224293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7A60F1B7" w14:textId="74260465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71838DE6" w14:textId="77777777" w:rsidR="002B0729" w:rsidRPr="00A53CB7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62B85742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12C87EFC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tbl>
      <w:tblPr>
        <w:tblW w:w="6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5"/>
        <w:gridCol w:w="1620"/>
        <w:gridCol w:w="1710"/>
        <w:gridCol w:w="1800"/>
      </w:tblGrid>
      <w:tr w:rsidR="003703BF" w:rsidRPr="002B0729" w14:paraId="5361DCD8" w14:textId="77777777" w:rsidTr="002B0729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C4FC2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lastRenderedPageBreak/>
              <w:t>Parameter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C8085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All MIS-C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4D40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All KD-like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6F69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All CV shock</w:t>
            </w:r>
          </w:p>
        </w:tc>
      </w:tr>
      <w:tr w:rsidR="003703BF" w:rsidRPr="002B0729" w14:paraId="6AF1C959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322B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Patients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847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46 (100%)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E7C0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20 (44%)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B7E87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22 (48%)</w:t>
            </w:r>
          </w:p>
        </w:tc>
      </w:tr>
      <w:tr w:rsidR="003703BF" w:rsidRPr="002B0729" w14:paraId="7624681F" w14:textId="77777777" w:rsidTr="002B0729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4009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TNF</w:t>
            </w:r>
            <w:r w:rsidRPr="002B0729">
              <w:rPr>
                <w:rFonts w:eastAsia="Symbol"/>
              </w:rPr>
              <w:t>α</w:t>
            </w:r>
            <w:r w:rsidRPr="002B0729">
              <w:rPr>
                <w:rFonts w:eastAsia="Arial"/>
              </w:rPr>
              <w:t xml:space="preserve"> (n, %)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77E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34 (76%)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C291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12D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6D6DF656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642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IL-2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D003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34 (76%)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EFC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C78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745EDD82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2F1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 xml:space="preserve">sIL-2R (n, %)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43E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25 (56%)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81E9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8 (44%)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A51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13 (59%)</w:t>
            </w:r>
          </w:p>
        </w:tc>
      </w:tr>
      <w:tr w:rsidR="003703BF" w:rsidRPr="002B0729" w14:paraId="2D2CFD9A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BE22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IL-12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0C93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26 (58%)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1E5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8 (44%)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FA7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13 (59%)</w:t>
            </w:r>
          </w:p>
        </w:tc>
      </w:tr>
      <w:tr w:rsidR="003703BF" w:rsidRPr="002B0729" w14:paraId="327B092D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CA46" w14:textId="77777777" w:rsidR="003703BF" w:rsidRPr="002B0729" w:rsidRDefault="003703BF" w:rsidP="002B0729">
            <w:pPr>
              <w:rPr>
                <w:rFonts w:eastAsia="Arial"/>
              </w:rPr>
            </w:pPr>
            <w:proofErr w:type="spellStart"/>
            <w:r w:rsidRPr="002B0729">
              <w:rPr>
                <w:rFonts w:eastAsia="Arial"/>
              </w:rPr>
              <w:t>IFN</w:t>
            </w:r>
            <w:r w:rsidRPr="002B0729">
              <w:rPr>
                <w:rFonts w:eastAsia="Symbol"/>
              </w:rPr>
              <w:t>γ</w:t>
            </w:r>
            <w:proofErr w:type="spellEnd"/>
            <w:r w:rsidRPr="002B0729">
              <w:rPr>
                <w:rFonts w:eastAsia="Arial"/>
              </w:rPr>
              <w:t xml:space="preserve">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A44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34 (76%)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81F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23A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2274296E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C3B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IL-4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F81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35 (78%)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04BD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8899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1D32437A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1E4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IL-5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6D6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35 (78%)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787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2C5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636271A4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5D7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IL-10 (n, %)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5B6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34 (76%)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E78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B66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4A47252A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E88A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IL-13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53F9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25 (56%)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411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8 (44%)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BE3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13 (59%)</w:t>
            </w:r>
          </w:p>
        </w:tc>
      </w:tr>
      <w:tr w:rsidR="003703BF" w:rsidRPr="002B0729" w14:paraId="28FA6540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9864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IL-17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8A0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25 (56%)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949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8 (44%)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974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13 (59%)</w:t>
            </w:r>
          </w:p>
        </w:tc>
      </w:tr>
      <w:tr w:rsidR="003703BF" w:rsidRPr="002B0729" w14:paraId="2974EE93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20E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IL-1</w:t>
            </w:r>
            <w:r w:rsidRPr="002B0729">
              <w:rPr>
                <w:rFonts w:eastAsia="Symbol"/>
              </w:rPr>
              <w:t>β</w:t>
            </w:r>
            <w:r w:rsidRPr="002B0729">
              <w:rPr>
                <w:rFonts w:eastAsia="Arial"/>
              </w:rPr>
              <w:t xml:space="preserve">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A019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35 (78%)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ADA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15 (83%)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DAC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  <w:tr w:rsidR="003703BF" w:rsidRPr="002B0729" w14:paraId="3E4BDA4D" w14:textId="77777777" w:rsidTr="002B0729"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39C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IL-6 (n, %)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0A0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37 (82%)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438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17 (94%)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402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19 (86%)</w:t>
            </w:r>
          </w:p>
        </w:tc>
      </w:tr>
      <w:tr w:rsidR="003703BF" w:rsidRPr="002B0729" w14:paraId="507FD71D" w14:textId="77777777" w:rsidTr="002B0729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8B2B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IL-8 (n, %)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F09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33 (73%)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00B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14 (78%)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2BDF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18 (82%)</w:t>
            </w:r>
          </w:p>
        </w:tc>
      </w:tr>
    </w:tbl>
    <w:p w14:paraId="536C49DA" w14:textId="77777777" w:rsidR="003703BF" w:rsidRPr="002B0729" w:rsidRDefault="003703BF" w:rsidP="003703BF">
      <w:pPr>
        <w:spacing w:line="480" w:lineRule="auto"/>
      </w:pPr>
    </w:p>
    <w:p w14:paraId="7BB0E3B5" w14:textId="28A3B58F" w:rsidR="00A53CB7" w:rsidRPr="002B0729" w:rsidRDefault="000E469D" w:rsidP="00A53C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/>
          <w:color w:val="000000"/>
        </w:rPr>
        <w:t>Supplemental T</w:t>
      </w:r>
      <w:r w:rsidR="00D66CBE" w:rsidRPr="002B0729">
        <w:rPr>
          <w:rFonts w:eastAsia="Arial"/>
          <w:b/>
          <w:color w:val="000000"/>
        </w:rPr>
        <w:t xml:space="preserve">able </w:t>
      </w:r>
      <w:r w:rsidR="002C6643" w:rsidRPr="002B0729">
        <w:rPr>
          <w:rFonts w:eastAsia="Arial"/>
          <w:b/>
          <w:color w:val="000000"/>
        </w:rPr>
        <w:t>S</w:t>
      </w:r>
      <w:r w:rsidR="00A53CB7" w:rsidRPr="002B0729">
        <w:rPr>
          <w:rFonts w:eastAsia="Arial"/>
          <w:b/>
          <w:color w:val="000000"/>
        </w:rPr>
        <w:t xml:space="preserve">2. </w:t>
      </w:r>
      <w:r w:rsidR="00A53CB7" w:rsidRPr="002B0729">
        <w:rPr>
          <w:rFonts w:eastAsia="Arial"/>
          <w:b/>
        </w:rPr>
        <w:t>Available cytokine results from MIS-C patients included in the study.</w:t>
      </w:r>
      <w:r w:rsidR="00A53CB7" w:rsidRPr="002B0729">
        <w:rPr>
          <w:rFonts w:eastAsia="Arial"/>
          <w:bCs/>
        </w:rPr>
        <w:t xml:space="preserve"> </w:t>
      </w:r>
      <w:r w:rsidR="00A53CB7" w:rsidRPr="002B0729">
        <w:rPr>
          <w:rFonts w:eastAsia="Arial"/>
        </w:rPr>
        <w:t>The available cytokine results for MIS-C patients are indicated as the absolute number and percentage.</w:t>
      </w:r>
    </w:p>
    <w:p w14:paraId="26AFBC64" w14:textId="77777777" w:rsidR="003703BF" w:rsidRPr="002B0729" w:rsidRDefault="003703BF" w:rsidP="003703BF">
      <w:pPr>
        <w:spacing w:line="480" w:lineRule="auto"/>
        <w:rPr>
          <w:rFonts w:eastAsia="Arial"/>
          <w:b/>
        </w:rPr>
      </w:pPr>
    </w:p>
    <w:p w14:paraId="3EDB0518" w14:textId="77777777" w:rsidR="003703BF" w:rsidRPr="002B0729" w:rsidRDefault="003703BF" w:rsidP="003703BF">
      <w:pPr>
        <w:spacing w:line="480" w:lineRule="auto"/>
        <w:rPr>
          <w:rFonts w:eastAsia="Arial"/>
          <w:b/>
        </w:rPr>
      </w:pPr>
    </w:p>
    <w:p w14:paraId="735F4F78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2A78A20F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70EDEFD7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7316F580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52D52D01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572C62CB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4BBFB392" w14:textId="19E8C2D8" w:rsidR="003703BF" w:rsidRDefault="003703BF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1187A14D" w14:textId="1B43CFBB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1384FAB9" w14:textId="6F93511D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019BB170" w14:textId="4CF2B861" w:rsidR="002B0729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p w14:paraId="16983EE7" w14:textId="77777777" w:rsidR="002B0729" w:rsidRPr="004B0771" w:rsidRDefault="002B0729" w:rsidP="003703BF">
      <w:pPr>
        <w:spacing w:line="48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1053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2070"/>
        <w:gridCol w:w="2070"/>
        <w:gridCol w:w="2070"/>
        <w:gridCol w:w="990"/>
      </w:tblGrid>
      <w:tr w:rsidR="003703BF" w:rsidRPr="004B0771" w14:paraId="51DEFFEB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58BD63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lastRenderedPageBreak/>
              <w:t>Parameter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662E2C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All MIS-C patients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1219" w14:textId="2DD94B15" w:rsidR="003703BF" w:rsidRPr="002B0729" w:rsidRDefault="00947CEF" w:rsidP="002B0729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IVIG monotherapy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00D5" w14:textId="47D10916" w:rsidR="003703BF" w:rsidRPr="002B0729" w:rsidRDefault="00CA5B74" w:rsidP="002B0729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All </w:t>
            </w:r>
            <w:proofErr w:type="spellStart"/>
            <w:r w:rsidR="00C41DDF">
              <w:rPr>
                <w:rFonts w:eastAsia="Arial"/>
                <w:b/>
              </w:rPr>
              <w:t>IVIG+anakinra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A440" w14:textId="77777777" w:rsidR="003703BF" w:rsidRPr="002B0729" w:rsidRDefault="003703BF" w:rsidP="002B0729">
            <w:pPr>
              <w:rPr>
                <w:rFonts w:eastAsia="Arial"/>
                <w:b/>
                <w:vertAlign w:val="superscript"/>
              </w:rPr>
            </w:pPr>
            <w:r w:rsidRPr="002B0729">
              <w:rPr>
                <w:rFonts w:eastAsia="Arial"/>
                <w:b/>
              </w:rPr>
              <w:t>p-value</w:t>
            </w:r>
          </w:p>
        </w:tc>
      </w:tr>
      <w:tr w:rsidR="003703BF" w:rsidRPr="004B0771" w14:paraId="2B186CD6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0CBDF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Patients (n, %)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DFFC7A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46 (100%)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E5AF10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14/46 (30%)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79AB0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32/46 (70%)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A286C1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</w:rPr>
              <w:t>N/A</w:t>
            </w:r>
          </w:p>
        </w:tc>
      </w:tr>
      <w:tr w:rsidR="003703BF" w:rsidRPr="004B0771" w14:paraId="407D4C67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141599" w14:textId="6491624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b/>
                <w:color w:val="000000"/>
              </w:rPr>
              <w:t>Anakinra treatment characteristics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8D6FD8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085C1B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C238DA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BA9C9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</w:tr>
      <w:tr w:rsidR="003703BF" w:rsidRPr="004B0771" w14:paraId="500378C8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E8D0BB" w14:textId="78501C54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Starting dose, mg/kg/day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9C4A15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D2F1A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D6E67" w14:textId="2AA6C4FD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7.9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7.5 – 8.2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D16458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7E189910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3D7151" w14:textId="3C97FDA1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Initiation, hospitalization day,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30F00A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591A4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610A89" w14:textId="179898BB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1.3 – 3.0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DDE7F7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59AB5C94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B4ECB5" w14:textId="007B026D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Max dose, mg/kg/day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E992D4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295E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2D6BF4" w14:textId="72B33024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9.5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7.7 – 10.0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93297C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600CBB7B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B6E23" w14:textId="7120772C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Max dose, mg/dose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8CFC6C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C8E8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B5B6D3" w14:textId="1CFA65C3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51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40 – 99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33A34E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183E69E7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8136D9" w14:textId="68A9CD4B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Treatment duration, days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2028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C75A13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D72F65" w14:textId="40E9DE5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9.8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7.0 – 11.3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41FAC6" w14:textId="77777777" w:rsidR="003703BF" w:rsidRPr="002B0729" w:rsidRDefault="003703BF" w:rsidP="002B0729">
            <w:pPr>
              <w:rPr>
                <w:rFonts w:eastAsia="Arial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7CBD23A4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192F1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Laboratory findings on admission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1F0116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79AB85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B5D0FB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EE17C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</w:tr>
      <w:tr w:rsidR="003703BF" w:rsidRPr="004B0771" w14:paraId="5F4B4071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D435C" w14:textId="0624284B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D-dimer, mg/mL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DE1922" w14:textId="25C875E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3.1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1.7 – 4.8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6F8CD" w14:textId="54100FD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2.9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1.2 – 3.2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33CD4D" w14:textId="3FF601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3.1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1.7 – 5.5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57F47E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0.41</w:t>
            </w:r>
          </w:p>
        </w:tc>
      </w:tr>
      <w:tr w:rsidR="003703BF" w:rsidRPr="004B0771" w14:paraId="022A26B3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41181" w14:textId="5C12C6A1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Albumin, g/dL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5075A2" w14:textId="13EEFC9A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2.6 – 3.5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D6D50" w14:textId="78172ED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2.6 – 3.6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178F5F" w14:textId="3089F328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2.6 – 3.5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E42347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0.69</w:t>
            </w:r>
          </w:p>
        </w:tc>
      </w:tr>
      <w:tr w:rsidR="003703BF" w:rsidRPr="004B0771" w14:paraId="260B09AC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B5494" w14:textId="56280955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Fibrinogen, mg/dL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888A6A" w14:textId="44EEAFF5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518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409 – 617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2A40D" w14:textId="493BE6BA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495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387 – 598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C729F" w14:textId="6C276E53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520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426 – 620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6125B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0.44</w:t>
            </w:r>
          </w:p>
        </w:tc>
      </w:tr>
      <w:tr w:rsidR="003703BF" w:rsidRPr="004B0771" w14:paraId="6E45C44F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ED272" w14:textId="2C7DFFFD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LDH, units/L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C1369" w14:textId="11DBE583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286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232 – 345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61A599" w14:textId="09189CAC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246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 xml:space="preserve">185 </w:t>
            </w:r>
            <w:r w:rsidR="00D85820">
              <w:rPr>
                <w:rFonts w:eastAsia="Arial"/>
                <w:color w:val="000000"/>
              </w:rPr>
              <w:t>–</w:t>
            </w:r>
            <w:r w:rsidRPr="002B0729">
              <w:rPr>
                <w:rFonts w:eastAsia="Arial"/>
                <w:color w:val="000000"/>
              </w:rPr>
              <w:t xml:space="preserve"> 409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A9B32" w14:textId="30FAF65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292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 xml:space="preserve">256 </w:t>
            </w:r>
            <w:r w:rsidR="00D85820">
              <w:rPr>
                <w:rFonts w:eastAsia="Arial"/>
                <w:color w:val="000000"/>
              </w:rPr>
              <w:t>–</w:t>
            </w:r>
            <w:r w:rsidRPr="002B0729">
              <w:rPr>
                <w:rFonts w:eastAsia="Arial"/>
                <w:color w:val="000000"/>
              </w:rPr>
              <w:t xml:space="preserve"> 345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0CB58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0.30</w:t>
            </w:r>
          </w:p>
        </w:tc>
      </w:tr>
      <w:tr w:rsidR="003703BF" w:rsidRPr="004B0771" w14:paraId="7C4B2DA8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906A2" w14:textId="396694D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INR, units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0391C" w14:textId="41A35946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1.2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1.1 – 1.3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2BD337" w14:textId="28545882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1.3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1.1 – 1.4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2E27C" w14:textId="3B7662DE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1.2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1.1 - 1.3</w:t>
            </w:r>
            <w:r w:rsidR="00D85820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7927A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0.91</w:t>
            </w:r>
          </w:p>
        </w:tc>
      </w:tr>
      <w:tr w:rsidR="003703BF" w:rsidRPr="004B0771" w14:paraId="2E85AA48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36FFA" w14:textId="3A58D518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ALT, units/L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BC407" w14:textId="7E0EE89D" w:rsidR="003703BF" w:rsidRPr="002B0729" w:rsidRDefault="003703BF" w:rsidP="002B0729">
            <w:pPr>
              <w:tabs>
                <w:tab w:val="left" w:pos="1290"/>
              </w:tabs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37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18 – 70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EC2447" w14:textId="74645FDF" w:rsidR="003703BF" w:rsidRPr="002B0729" w:rsidRDefault="003703BF" w:rsidP="002B0729">
            <w:pPr>
              <w:tabs>
                <w:tab w:val="left" w:pos="1290"/>
              </w:tabs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23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14 – 62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86234" w14:textId="391F4FD5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42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20 – 71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1C376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0.28</w:t>
            </w:r>
          </w:p>
        </w:tc>
      </w:tr>
      <w:tr w:rsidR="003703BF" w:rsidRPr="004B0771" w14:paraId="47633F2C" w14:textId="77777777" w:rsidTr="00C41DDF">
        <w:tc>
          <w:tcPr>
            <w:tcW w:w="33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25369" w14:textId="2DDD4B18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AST, units/L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A6D961" w14:textId="0902DC8F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25 – 59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E5035" w14:textId="5DDFAB91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32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23 – 55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7BF5F" w14:textId="0719976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43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27 – 60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5693F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0.29</w:t>
            </w:r>
          </w:p>
        </w:tc>
      </w:tr>
      <w:tr w:rsidR="003703BF" w:rsidRPr="004B0771" w14:paraId="266BAD53" w14:textId="77777777" w:rsidTr="00C41DDF"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580C" w14:textId="3504BC3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Cr, mg/dL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8EC4" w14:textId="182CCDDD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0.49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0.39 – 0.66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B6D7" w14:textId="4B60553C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0.49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0.30 – 0.68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3470" w14:textId="66626DE8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0.49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0.40 – 0.68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A0D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0.56</w:t>
            </w:r>
          </w:p>
        </w:tc>
      </w:tr>
      <w:tr w:rsidR="003703BF" w:rsidRPr="004B0771" w14:paraId="7EC6CB44" w14:textId="77777777" w:rsidTr="00C41DDF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5077F" w14:textId="77777777" w:rsidR="003703BF" w:rsidRPr="002B0729" w:rsidRDefault="003703BF" w:rsidP="002B0729">
            <w:pPr>
              <w:rPr>
                <w:rFonts w:eastAsia="Arial"/>
                <w:b/>
                <w:color w:val="000000"/>
              </w:rPr>
            </w:pPr>
            <w:r w:rsidRPr="002B0729">
              <w:rPr>
                <w:rFonts w:eastAsia="Arial"/>
                <w:b/>
                <w:color w:val="000000"/>
              </w:rPr>
              <w:t>Cytokine measurements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5D4B68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22BE6E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F0604C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AB1163" w14:textId="77777777" w:rsidR="003703BF" w:rsidRPr="002B0729" w:rsidRDefault="003703BF" w:rsidP="002B0729">
            <w:pPr>
              <w:rPr>
                <w:rFonts w:eastAsia="Arial"/>
              </w:rPr>
            </w:pPr>
          </w:p>
        </w:tc>
      </w:tr>
      <w:tr w:rsidR="003703BF" w:rsidRPr="004B0771" w14:paraId="7EB45437" w14:textId="77777777" w:rsidTr="00C41DDF"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FAC6" w14:textId="6E336AB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IL-4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 xml:space="preserve">fold </w:t>
            </w:r>
            <w:r w:rsidRPr="002B0729">
              <w:rPr>
                <w:rFonts w:eastAsia="Symbol"/>
                <w:color w:val="000000"/>
              </w:rPr>
              <w:t xml:space="preserve">Δ, </w:t>
            </w:r>
            <w:r w:rsidRPr="002B0729">
              <w:rPr>
                <w:rFonts w:eastAsia="Arial"/>
                <w:color w:val="000000"/>
              </w:rPr>
              <w:t>IQR</w:t>
            </w:r>
            <w:r w:rsidR="00564C57">
              <w:rPr>
                <w:rFonts w:eastAsia="Arial"/>
                <w:color w:val="000000"/>
              </w:rPr>
              <w:t>]</w:t>
            </w:r>
            <w:r w:rsidRPr="002B0729" w:rsidDel="00F26A17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13634" w14:textId="621812A2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0.88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0.88 – 1.0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992C2D" w14:textId="3673CD5B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0.88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0.88 – 0.94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09888" w14:textId="1410EF04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0.94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0.88 – 1.0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87F9B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0.23</w:t>
            </w:r>
          </w:p>
        </w:tc>
      </w:tr>
      <w:tr w:rsidR="003703BF" w:rsidRPr="004B0771" w14:paraId="4173A129" w14:textId="77777777" w:rsidTr="00C41DDF"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CC5F" w14:textId="7AD52196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IL-5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 xml:space="preserve">fold </w:t>
            </w:r>
            <w:r w:rsidRPr="002B0729">
              <w:rPr>
                <w:rFonts w:eastAsia="Symbol"/>
                <w:color w:val="000000"/>
              </w:rPr>
              <w:t xml:space="preserve">Δ, </w:t>
            </w:r>
            <w:r w:rsidRPr="002B0729">
              <w:rPr>
                <w:rFonts w:eastAsia="Arial"/>
                <w:color w:val="000000"/>
              </w:rPr>
              <w:t>IQR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20453B" w14:textId="2505D78C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1.0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1.0 – 1.0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CD7C7" w14:textId="44BC28E6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1.0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1.0 – 1.0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BEC3FD" w14:textId="3C2DF70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1.0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1.0 – 1.2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17A74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0.62</w:t>
            </w:r>
          </w:p>
        </w:tc>
      </w:tr>
      <w:tr w:rsidR="003703BF" w:rsidRPr="004B0771" w14:paraId="4FA1DD3E" w14:textId="77777777" w:rsidTr="00C41DDF"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A86C0" w14:textId="4DF8EAD4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IL-10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 xml:space="preserve">fold </w:t>
            </w:r>
            <w:r w:rsidRPr="002B0729">
              <w:rPr>
                <w:rFonts w:eastAsia="Symbol"/>
                <w:color w:val="000000"/>
              </w:rPr>
              <w:t xml:space="preserve">Δ, </w:t>
            </w:r>
            <w:r w:rsidRPr="002B0729">
              <w:rPr>
                <w:rFonts w:eastAsia="Arial"/>
                <w:color w:val="000000"/>
              </w:rPr>
              <w:t>IQR</w:t>
            </w:r>
            <w:r w:rsidR="00564C57">
              <w:rPr>
                <w:rFonts w:eastAsia="Arial"/>
                <w:color w:val="000000"/>
              </w:rPr>
              <w:t>]</w:t>
            </w:r>
            <w:r w:rsidRPr="002B0729" w:rsidDel="00F26A17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1039F6" w14:textId="2F44C97F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18.3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3.4 – 40.1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C4D68" w14:textId="0B57D03B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6.6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1.6 – 34.2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29413" w14:textId="131D9602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22.9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5.9 – 40.5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7A27F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0.17</w:t>
            </w:r>
          </w:p>
        </w:tc>
      </w:tr>
      <w:tr w:rsidR="003703BF" w:rsidRPr="004B0771" w14:paraId="7C9F0B24" w14:textId="77777777" w:rsidTr="00C41DDF"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7E26" w14:textId="1F95B046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IL-13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 xml:space="preserve">fold </w:t>
            </w:r>
            <w:r w:rsidRPr="002B0729">
              <w:rPr>
                <w:rFonts w:eastAsia="Symbol"/>
                <w:color w:val="000000"/>
              </w:rPr>
              <w:t xml:space="preserve">Δ, </w:t>
            </w:r>
            <w:r w:rsidRPr="002B0729">
              <w:rPr>
                <w:rFonts w:eastAsia="Arial"/>
                <w:color w:val="000000"/>
              </w:rPr>
              <w:t>IQR</w:t>
            </w:r>
            <w:r w:rsidR="00564C57">
              <w:rPr>
                <w:rFonts w:eastAsia="Arial"/>
                <w:color w:val="000000"/>
              </w:rPr>
              <w:t>]</w:t>
            </w:r>
            <w:r w:rsidRPr="002B0729" w:rsidDel="00F26A17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13D7D" w14:textId="055B1D2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0.7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0.3 – 1.5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E0BB68" w14:textId="274F471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0.8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0.3 – 1.5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8233D7" w14:textId="10BEF9D3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0.7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0.3 – 1.6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0B7548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0.72</w:t>
            </w:r>
          </w:p>
        </w:tc>
      </w:tr>
    </w:tbl>
    <w:p w14:paraId="534C00F7" w14:textId="77777777" w:rsidR="00ED6A07" w:rsidRDefault="00ED6A07" w:rsidP="00A53C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</w:p>
    <w:p w14:paraId="0F108501" w14:textId="3DEBD585" w:rsidR="00A53CB7" w:rsidRPr="002B0729" w:rsidRDefault="000E469D" w:rsidP="00A53C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Cs/>
        </w:rPr>
      </w:pPr>
      <w:r w:rsidRPr="002B0729">
        <w:rPr>
          <w:rFonts w:eastAsia="Arial"/>
          <w:b/>
          <w:color w:val="000000"/>
        </w:rPr>
        <w:t>Supplemental T</w:t>
      </w:r>
      <w:r w:rsidR="00D66CBE" w:rsidRPr="002B0729">
        <w:rPr>
          <w:rFonts w:eastAsia="Arial"/>
          <w:b/>
          <w:color w:val="000000"/>
        </w:rPr>
        <w:t xml:space="preserve">able </w:t>
      </w:r>
      <w:r w:rsidR="002C6643" w:rsidRPr="002B0729">
        <w:rPr>
          <w:rFonts w:eastAsia="Arial"/>
          <w:b/>
          <w:color w:val="000000"/>
        </w:rPr>
        <w:t>S</w:t>
      </w:r>
      <w:r w:rsidR="00A53CB7" w:rsidRPr="002B0729">
        <w:rPr>
          <w:rFonts w:eastAsia="Arial"/>
          <w:b/>
          <w:color w:val="000000"/>
        </w:rPr>
        <w:t xml:space="preserve">3. </w:t>
      </w:r>
      <w:r w:rsidR="00A53CB7" w:rsidRPr="002B0729">
        <w:rPr>
          <w:rFonts w:eastAsia="Arial"/>
          <w:b/>
        </w:rPr>
        <w:t xml:space="preserve">Comparison of MIS-C patients </w:t>
      </w:r>
      <w:r w:rsidR="004514F9">
        <w:rPr>
          <w:rFonts w:eastAsia="Arial"/>
          <w:b/>
        </w:rPr>
        <w:t xml:space="preserve">in the </w:t>
      </w:r>
      <w:r w:rsidR="00A53CB7" w:rsidRPr="002B0729">
        <w:rPr>
          <w:rFonts w:eastAsia="Arial"/>
          <w:b/>
        </w:rPr>
        <w:t>IVIG monotherapy</w:t>
      </w:r>
      <w:r w:rsidR="00947CEF">
        <w:rPr>
          <w:rFonts w:eastAsia="Arial"/>
          <w:b/>
        </w:rPr>
        <w:t xml:space="preserve"> </w:t>
      </w:r>
      <w:r w:rsidR="004514F9">
        <w:rPr>
          <w:rFonts w:eastAsia="Arial"/>
          <w:b/>
        </w:rPr>
        <w:t>and</w:t>
      </w:r>
      <w:r w:rsidR="00A53CB7" w:rsidRPr="002B0729">
        <w:rPr>
          <w:rFonts w:eastAsia="Arial"/>
          <w:b/>
        </w:rPr>
        <w:t xml:space="preserve"> </w:t>
      </w:r>
      <w:proofErr w:type="spellStart"/>
      <w:r w:rsidR="00A53CB7" w:rsidRPr="002B0729">
        <w:rPr>
          <w:rFonts w:eastAsia="Arial"/>
          <w:b/>
        </w:rPr>
        <w:t>IVIG</w:t>
      </w:r>
      <w:r w:rsidR="00947CEF">
        <w:rPr>
          <w:rFonts w:eastAsia="Arial"/>
          <w:b/>
        </w:rPr>
        <w:t>+</w:t>
      </w:r>
      <w:r w:rsidR="00A53CB7" w:rsidRPr="002B0729">
        <w:rPr>
          <w:rFonts w:eastAsia="Arial"/>
          <w:b/>
        </w:rPr>
        <w:t>anakinra</w:t>
      </w:r>
      <w:proofErr w:type="spellEnd"/>
      <w:r w:rsidR="004514F9">
        <w:rPr>
          <w:rFonts w:eastAsia="Arial"/>
          <w:b/>
        </w:rPr>
        <w:t xml:space="preserve"> groups (continued)</w:t>
      </w:r>
      <w:r w:rsidR="00A53CB7" w:rsidRPr="002B0729">
        <w:rPr>
          <w:rFonts w:eastAsia="Arial"/>
          <w:b/>
        </w:rPr>
        <w:t>.</w:t>
      </w:r>
      <w:r w:rsidR="009F6685" w:rsidRPr="002B0729">
        <w:rPr>
          <w:rFonts w:eastAsia="Arial"/>
        </w:rPr>
        <w:t xml:space="preserve"> </w:t>
      </w:r>
      <w:r w:rsidR="00A53CB7" w:rsidRPr="002B0729">
        <w:rPr>
          <w:rFonts w:eastAsia="Arial"/>
        </w:rPr>
        <w:t xml:space="preserve">Statistical significance between </w:t>
      </w:r>
      <w:r w:rsidR="00ED6A07">
        <w:rPr>
          <w:rFonts w:eastAsia="Arial"/>
        </w:rPr>
        <w:t>IVIG monotherapy</w:t>
      </w:r>
      <w:r w:rsidR="00A53CB7" w:rsidRPr="002B0729">
        <w:rPr>
          <w:rFonts w:eastAsia="Arial"/>
        </w:rPr>
        <w:t xml:space="preserve"> and </w:t>
      </w:r>
      <w:proofErr w:type="spellStart"/>
      <w:r w:rsidR="00ED6A07">
        <w:rPr>
          <w:rFonts w:eastAsia="Arial"/>
        </w:rPr>
        <w:t>IVIG+anakinra</w:t>
      </w:r>
      <w:proofErr w:type="spellEnd"/>
      <w:r w:rsidR="00ED6A07">
        <w:rPr>
          <w:rFonts w:eastAsia="Arial"/>
        </w:rPr>
        <w:t xml:space="preserve"> </w:t>
      </w:r>
      <w:r w:rsidR="00A53CB7" w:rsidRPr="002B0729">
        <w:rPr>
          <w:rFonts w:eastAsia="Arial"/>
        </w:rPr>
        <w:t xml:space="preserve">groups was determined by two-tailed Mann-Whitney test for continuous variables or by Fisher’s exact test where appropriate, and p-values &lt;0.05 were considered significant. </w:t>
      </w:r>
      <w:r w:rsidR="00930518">
        <w:rPr>
          <w:rFonts w:eastAsia="Arial"/>
        </w:rPr>
        <w:t xml:space="preserve">The </w:t>
      </w:r>
      <w:proofErr w:type="spellStart"/>
      <w:r w:rsidR="00930518">
        <w:rPr>
          <w:rFonts w:eastAsia="Arial"/>
        </w:rPr>
        <w:t>IVIG+anakinra</w:t>
      </w:r>
      <w:proofErr w:type="spellEnd"/>
      <w:r w:rsidR="00930518">
        <w:rPr>
          <w:rFonts w:eastAsia="Arial"/>
        </w:rPr>
        <w:t xml:space="preserve"> group includes patients who were treated both with </w:t>
      </w:r>
      <w:r w:rsidR="00C41DDF">
        <w:rPr>
          <w:rFonts w:eastAsia="Arial"/>
        </w:rPr>
        <w:t xml:space="preserve">CS </w:t>
      </w:r>
      <w:r w:rsidR="00930518">
        <w:rPr>
          <w:rFonts w:eastAsia="Arial"/>
        </w:rPr>
        <w:t xml:space="preserve">and without </w:t>
      </w:r>
      <w:r w:rsidR="00C41DDF">
        <w:rPr>
          <w:rFonts w:eastAsia="Arial"/>
        </w:rPr>
        <w:t>CS</w:t>
      </w:r>
      <w:r w:rsidR="00930518">
        <w:rPr>
          <w:rFonts w:eastAsia="Arial"/>
        </w:rPr>
        <w:t xml:space="preserve">. </w:t>
      </w:r>
      <w:r w:rsidR="00A53CB7" w:rsidRPr="002B0729">
        <w:rPr>
          <w:rFonts w:eastAsia="Arial"/>
        </w:rPr>
        <w:t xml:space="preserve">CV shock= cardiovascular, KD-like= Kawasaki disease-like, </w:t>
      </w:r>
      <w:r w:rsidR="009F6685" w:rsidRPr="002B0729">
        <w:rPr>
          <w:rFonts w:eastAsia="Arial"/>
        </w:rPr>
        <w:t>IQR</w:t>
      </w:r>
      <w:r w:rsidR="00A53CB7" w:rsidRPr="002B0729">
        <w:rPr>
          <w:rFonts w:eastAsia="Arial"/>
        </w:rPr>
        <w:t xml:space="preserve">= </w:t>
      </w:r>
      <w:r w:rsidR="009F6685" w:rsidRPr="002B0729">
        <w:rPr>
          <w:rFonts w:eastAsia="Arial"/>
        </w:rPr>
        <w:t>interquartile range</w:t>
      </w:r>
      <w:r w:rsidR="00A53CB7" w:rsidRPr="002B0729">
        <w:rPr>
          <w:rFonts w:eastAsia="Arial"/>
        </w:rPr>
        <w:t>, LDH= lactate dehydrogenase, INR= international normalized ratio, ALT= alanine aminotransferase, AST= aspartate aminotransferase, Cr= creatinine.</w:t>
      </w:r>
    </w:p>
    <w:p w14:paraId="40B41E72" w14:textId="77777777" w:rsidR="002B0729" w:rsidRPr="004B0771" w:rsidRDefault="002B0729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tbl>
      <w:tblPr>
        <w:tblW w:w="79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1980"/>
        <w:gridCol w:w="2070"/>
        <w:gridCol w:w="1080"/>
      </w:tblGrid>
      <w:tr w:rsidR="003703BF" w:rsidRPr="004B0771" w14:paraId="6049FB65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0782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lastRenderedPageBreak/>
              <w:t>Parameter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2D700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+ CV shock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8EED7F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- CV shock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9FA74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p-value</w:t>
            </w:r>
          </w:p>
        </w:tc>
      </w:tr>
      <w:tr w:rsidR="003703BF" w:rsidRPr="004B0771" w14:paraId="7CB86993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47EE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Patients (n, 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A4111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20/32 (63%)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7EE738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12/32 (38%)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121A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69DE5E77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72F74" w14:textId="77777777" w:rsidR="003703BF" w:rsidRPr="002B0729" w:rsidRDefault="003703BF" w:rsidP="002B0729">
            <w:pPr>
              <w:rPr>
                <w:rFonts w:eastAsia="Arial"/>
                <w:b/>
                <w:color w:val="000000"/>
              </w:rPr>
            </w:pPr>
            <w:r w:rsidRPr="002B0729">
              <w:rPr>
                <w:rFonts w:eastAsia="Arial"/>
                <w:b/>
                <w:color w:val="000000"/>
              </w:rPr>
              <w:t>MIS-C clinical features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A44325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B0994B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8439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</w:tr>
      <w:tr w:rsidR="003703BF" w:rsidRPr="004B0771" w14:paraId="3BF44418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DA51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Non-specific (n, 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F61C28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0/20 (0%)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A3165B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6/12 (50%)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6339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11EFB7E7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240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CV shock (n, 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35206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20/20 (100%)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8E55DE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0/12 (0%)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10D80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681AE855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C893" w14:textId="56A9AB22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KDSS</w:t>
            </w:r>
            <w:r w:rsidR="00C41DDF">
              <w:rPr>
                <w:rFonts w:eastAsia="Arial"/>
                <w:color w:val="000000"/>
              </w:rPr>
              <w:t>-like</w:t>
            </w:r>
            <w:r w:rsidRPr="002B0729">
              <w:rPr>
                <w:rFonts w:eastAsia="Arial"/>
                <w:color w:val="000000"/>
              </w:rPr>
              <w:t xml:space="preserve"> (n, %)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1176F6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11/20 (55%)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0D80C0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0/12 (0%)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273B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N/A</w:t>
            </w:r>
          </w:p>
        </w:tc>
      </w:tr>
      <w:tr w:rsidR="003703BF" w:rsidRPr="004B0771" w14:paraId="5A711166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500647" w14:textId="77777777" w:rsidR="003703BF" w:rsidRPr="002B0729" w:rsidRDefault="003703BF" w:rsidP="002B0729">
            <w:pPr>
              <w:rPr>
                <w:rFonts w:eastAsia="Arial"/>
                <w:b/>
              </w:rPr>
            </w:pPr>
            <w:r w:rsidRPr="002B0729">
              <w:rPr>
                <w:rFonts w:eastAsia="Arial"/>
                <w:b/>
              </w:rPr>
              <w:t>Laboratory findings on admission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0DC63A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  <w:tc>
          <w:tcPr>
            <w:tcW w:w="2070" w:type="dxa"/>
            <w:tcBorders>
              <w:top w:val="single" w:sz="4" w:space="0" w:color="000000"/>
            </w:tcBorders>
            <w:vAlign w:val="center"/>
          </w:tcPr>
          <w:p w14:paraId="437AA9C3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3CF8012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</w:p>
        </w:tc>
      </w:tr>
      <w:tr w:rsidR="003703BF" w:rsidRPr="004B0771" w14:paraId="1ACD298A" w14:textId="77777777" w:rsidTr="004514F9"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B54E3F" w14:textId="740020C6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D-dimer, mg/mL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8798B5" w14:textId="7C5429AB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3.5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2.1 – 4.1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top w:val="single" w:sz="4" w:space="0" w:color="000000"/>
            </w:tcBorders>
            <w:vAlign w:val="center"/>
          </w:tcPr>
          <w:p w14:paraId="08FA3F15" w14:textId="0CC18150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3.3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1.6 – 7.6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352CE9E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0.98</w:t>
            </w:r>
          </w:p>
        </w:tc>
      </w:tr>
      <w:tr w:rsidR="003703BF" w:rsidRPr="004B0771" w14:paraId="2B4DEB49" w14:textId="77777777" w:rsidTr="004514F9"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F5812" w14:textId="57752CE5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Albumin, g/dL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vAlign w:val="center"/>
          </w:tcPr>
          <w:p w14:paraId="06A27938" w14:textId="3F9DB3B0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2.9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2.3 – 3.4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vAlign w:val="center"/>
          </w:tcPr>
          <w:p w14:paraId="2211022F" w14:textId="38C4995C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3.1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2.9 – 3.7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right w:val="single" w:sz="4" w:space="0" w:color="000000"/>
            </w:tcBorders>
            <w:vAlign w:val="center"/>
          </w:tcPr>
          <w:p w14:paraId="018D7854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0.11</w:t>
            </w:r>
          </w:p>
        </w:tc>
      </w:tr>
      <w:tr w:rsidR="003703BF" w:rsidRPr="004B0771" w14:paraId="41FE699F" w14:textId="77777777" w:rsidTr="004514F9"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80EE8" w14:textId="7E55B552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Fibrinogen, mg/dL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vAlign w:val="center"/>
          </w:tcPr>
          <w:p w14:paraId="5270D93F" w14:textId="474FA81D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559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433 – 672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vAlign w:val="center"/>
          </w:tcPr>
          <w:p w14:paraId="4E4B2AE4" w14:textId="22F47F91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516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378 – 546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right w:val="single" w:sz="4" w:space="0" w:color="000000"/>
            </w:tcBorders>
            <w:vAlign w:val="center"/>
          </w:tcPr>
          <w:p w14:paraId="34B940F9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0.16</w:t>
            </w:r>
          </w:p>
        </w:tc>
      </w:tr>
      <w:tr w:rsidR="003703BF" w:rsidRPr="004B0771" w14:paraId="4C03D35B" w14:textId="77777777" w:rsidTr="004514F9"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6D872" w14:textId="382FD7EB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LDH, units/L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vAlign w:val="center"/>
          </w:tcPr>
          <w:p w14:paraId="654A6587" w14:textId="48B74A6D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286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267 – 322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vAlign w:val="center"/>
          </w:tcPr>
          <w:p w14:paraId="7225DD42" w14:textId="675F9CD3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330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225 – 366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right w:val="single" w:sz="4" w:space="0" w:color="000000"/>
            </w:tcBorders>
            <w:vAlign w:val="center"/>
          </w:tcPr>
          <w:p w14:paraId="31A6186D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0.63</w:t>
            </w:r>
          </w:p>
        </w:tc>
      </w:tr>
      <w:tr w:rsidR="003703BF" w:rsidRPr="004B0771" w14:paraId="0E016CD8" w14:textId="77777777" w:rsidTr="004514F9"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02805" w14:textId="7659056A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INR, units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vAlign w:val="center"/>
          </w:tcPr>
          <w:p w14:paraId="519C191D" w14:textId="3D0C1121" w:rsidR="003703BF" w:rsidRPr="002B0729" w:rsidRDefault="003703BF" w:rsidP="002B0729">
            <w:pPr>
              <w:rPr>
                <w:rFonts w:eastAsia="Arial"/>
                <w:b/>
                <w:color w:val="FF0000"/>
              </w:rPr>
            </w:pPr>
            <w:r w:rsidRPr="002B0729">
              <w:rPr>
                <w:rFonts w:eastAsia="Arial"/>
                <w:b/>
                <w:color w:val="000000"/>
              </w:rPr>
              <w:t xml:space="preserve">1.2 </w:t>
            </w:r>
            <w:r w:rsidR="00D85820">
              <w:rPr>
                <w:rFonts w:eastAsia="Arial"/>
                <w:b/>
                <w:color w:val="000000"/>
              </w:rPr>
              <w:t>[</w:t>
            </w:r>
            <w:r w:rsidRPr="002B0729">
              <w:rPr>
                <w:rFonts w:eastAsia="Arial"/>
                <w:b/>
                <w:color w:val="000000"/>
              </w:rPr>
              <w:t>1.1 – 1.3</w:t>
            </w:r>
            <w:r w:rsidR="00564C57">
              <w:rPr>
                <w:rFonts w:eastAsia="Arial"/>
                <w:b/>
                <w:color w:val="000000"/>
              </w:rPr>
              <w:t>]</w:t>
            </w:r>
          </w:p>
        </w:tc>
        <w:tc>
          <w:tcPr>
            <w:tcW w:w="2070" w:type="dxa"/>
            <w:vAlign w:val="center"/>
          </w:tcPr>
          <w:p w14:paraId="6C7C4A72" w14:textId="1A0DF73A" w:rsidR="003703BF" w:rsidRPr="002B0729" w:rsidRDefault="003703BF" w:rsidP="002B0729">
            <w:pPr>
              <w:rPr>
                <w:rFonts w:eastAsia="Arial"/>
                <w:b/>
                <w:color w:val="000000"/>
              </w:rPr>
            </w:pPr>
            <w:r w:rsidRPr="002B0729">
              <w:rPr>
                <w:rFonts w:eastAsia="Arial"/>
                <w:b/>
                <w:color w:val="000000"/>
              </w:rPr>
              <w:t xml:space="preserve">1.3 </w:t>
            </w:r>
            <w:r w:rsidR="00D85820">
              <w:rPr>
                <w:rFonts w:eastAsia="Arial"/>
                <w:b/>
                <w:color w:val="000000"/>
              </w:rPr>
              <w:t>[</w:t>
            </w:r>
            <w:r w:rsidRPr="002B0729">
              <w:rPr>
                <w:rFonts w:eastAsia="Arial"/>
                <w:b/>
                <w:color w:val="000000"/>
              </w:rPr>
              <w:t>1.2 – 1.4</w:t>
            </w:r>
            <w:r w:rsidR="00564C57">
              <w:rPr>
                <w:rFonts w:eastAsia="Arial"/>
                <w:b/>
                <w:color w:val="000000"/>
              </w:rPr>
              <w:t>]</w:t>
            </w:r>
          </w:p>
        </w:tc>
        <w:tc>
          <w:tcPr>
            <w:tcW w:w="1080" w:type="dxa"/>
            <w:tcBorders>
              <w:right w:val="single" w:sz="4" w:space="0" w:color="000000"/>
            </w:tcBorders>
            <w:vAlign w:val="center"/>
          </w:tcPr>
          <w:p w14:paraId="7740DA3E" w14:textId="77777777" w:rsidR="003703BF" w:rsidRPr="002B0729" w:rsidRDefault="003703BF" w:rsidP="002B0729">
            <w:pPr>
              <w:rPr>
                <w:rFonts w:eastAsia="Arial"/>
                <w:b/>
                <w:color w:val="000000"/>
              </w:rPr>
            </w:pPr>
            <w:r w:rsidRPr="002B0729">
              <w:rPr>
                <w:rFonts w:eastAsia="Arial"/>
                <w:b/>
                <w:color w:val="000000"/>
              </w:rPr>
              <w:t>0.02</w:t>
            </w:r>
          </w:p>
        </w:tc>
      </w:tr>
      <w:tr w:rsidR="003703BF" w:rsidRPr="004B0771" w14:paraId="7EB27466" w14:textId="77777777" w:rsidTr="004514F9"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B958BB" w14:textId="1E54F874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ALT, units/L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vAlign w:val="center"/>
          </w:tcPr>
          <w:p w14:paraId="4C8DFBF6" w14:textId="2C840A5C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41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17 – 75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vAlign w:val="center"/>
          </w:tcPr>
          <w:p w14:paraId="7E07FA22" w14:textId="4B3DC172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38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26 – 73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right w:val="single" w:sz="4" w:space="0" w:color="000000"/>
            </w:tcBorders>
            <w:vAlign w:val="center"/>
          </w:tcPr>
          <w:p w14:paraId="1313EE87" w14:textId="77777777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>0.56</w:t>
            </w:r>
          </w:p>
        </w:tc>
      </w:tr>
      <w:tr w:rsidR="003703BF" w:rsidRPr="004B0771" w14:paraId="3D087885" w14:textId="77777777" w:rsidTr="004514F9"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287893" w14:textId="04294818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AST, units/L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</w:tcBorders>
            <w:vAlign w:val="center"/>
          </w:tcPr>
          <w:p w14:paraId="6EA65B44" w14:textId="10306DE0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44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23 – 60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vAlign w:val="center"/>
          </w:tcPr>
          <w:p w14:paraId="7F0844EC" w14:textId="235BFCD1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42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31 – 61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right w:val="single" w:sz="4" w:space="0" w:color="000000"/>
            </w:tcBorders>
            <w:vAlign w:val="center"/>
          </w:tcPr>
          <w:p w14:paraId="7B49106F" w14:textId="77777777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>0.63</w:t>
            </w:r>
          </w:p>
        </w:tc>
      </w:tr>
      <w:tr w:rsidR="003703BF" w:rsidRPr="004B0771" w14:paraId="57A0DFDE" w14:textId="77777777" w:rsidTr="004514F9">
        <w:tc>
          <w:tcPr>
            <w:tcW w:w="2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6C73" w14:textId="529FCAE9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Cr, mg/dL </w:t>
            </w:r>
            <w:r w:rsidR="00D85820">
              <w:rPr>
                <w:rFonts w:eastAsia="Arial"/>
                <w:color w:val="000000"/>
              </w:rPr>
              <w:t>[IQR]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C11AFF" w14:textId="35CECF0D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 xml:space="preserve">0.50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0.39 – 0.88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vAlign w:val="center"/>
          </w:tcPr>
          <w:p w14:paraId="50356A59" w14:textId="022EBB48" w:rsidR="003703BF" w:rsidRPr="002B0729" w:rsidRDefault="003703BF" w:rsidP="002B0729">
            <w:pPr>
              <w:rPr>
                <w:rFonts w:eastAsia="Arial"/>
                <w:color w:val="000000"/>
              </w:rPr>
            </w:pPr>
            <w:r w:rsidRPr="002B0729">
              <w:rPr>
                <w:rFonts w:eastAsia="Arial"/>
                <w:color w:val="000000"/>
              </w:rPr>
              <w:t xml:space="preserve">0.45 </w:t>
            </w:r>
            <w:r w:rsidR="00D85820">
              <w:rPr>
                <w:rFonts w:eastAsia="Arial"/>
                <w:color w:val="000000"/>
              </w:rPr>
              <w:t>[</w:t>
            </w:r>
            <w:r w:rsidRPr="002B0729">
              <w:rPr>
                <w:rFonts w:eastAsia="Arial"/>
                <w:color w:val="000000"/>
              </w:rPr>
              <w:t>0.41 – 0.57</w:t>
            </w:r>
            <w:r w:rsidR="00564C57">
              <w:rPr>
                <w:rFonts w:eastAsia="Arial"/>
                <w:color w:val="000000"/>
              </w:rPr>
              <w:t>]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3DBDA3" w14:textId="77777777" w:rsidR="003703BF" w:rsidRPr="002B0729" w:rsidRDefault="003703BF" w:rsidP="002B0729">
            <w:pPr>
              <w:rPr>
                <w:rFonts w:eastAsia="Arial"/>
                <w:color w:val="FF0000"/>
              </w:rPr>
            </w:pPr>
            <w:r w:rsidRPr="002B0729">
              <w:rPr>
                <w:rFonts w:eastAsia="Arial"/>
                <w:color w:val="000000"/>
              </w:rPr>
              <w:t>0.56</w:t>
            </w:r>
          </w:p>
        </w:tc>
      </w:tr>
    </w:tbl>
    <w:p w14:paraId="3D4E9C6A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34E3F99A" w14:textId="09092009" w:rsidR="003703BF" w:rsidRDefault="000E469D" w:rsidP="009F6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  <w:r w:rsidRPr="002B0729">
        <w:rPr>
          <w:rFonts w:eastAsia="Arial"/>
          <w:b/>
          <w:color w:val="000000"/>
        </w:rPr>
        <w:t>Supplemental T</w:t>
      </w:r>
      <w:r w:rsidR="00D66CBE" w:rsidRPr="002B0729">
        <w:rPr>
          <w:rFonts w:eastAsia="Arial"/>
          <w:b/>
          <w:color w:val="000000"/>
        </w:rPr>
        <w:t xml:space="preserve">able </w:t>
      </w:r>
      <w:r w:rsidR="002C6643" w:rsidRPr="002B0729">
        <w:rPr>
          <w:rFonts w:eastAsia="Arial"/>
          <w:b/>
          <w:color w:val="000000"/>
        </w:rPr>
        <w:t>S</w:t>
      </w:r>
      <w:r w:rsidR="009F6685" w:rsidRPr="002B0729">
        <w:rPr>
          <w:rFonts w:eastAsia="Arial"/>
          <w:b/>
        </w:rPr>
        <w:t xml:space="preserve">4. Comparison of MIS-C patients </w:t>
      </w:r>
      <w:r w:rsidR="004514F9">
        <w:rPr>
          <w:rFonts w:eastAsia="Arial"/>
          <w:b/>
        </w:rPr>
        <w:t xml:space="preserve">in the </w:t>
      </w:r>
      <w:proofErr w:type="spellStart"/>
      <w:r w:rsidR="007B6AE8">
        <w:rPr>
          <w:rFonts w:eastAsia="Arial"/>
          <w:b/>
        </w:rPr>
        <w:t>IVIG+</w:t>
      </w:r>
      <w:r w:rsidR="009F6685" w:rsidRPr="002B0729">
        <w:rPr>
          <w:rFonts w:eastAsia="Arial"/>
          <w:b/>
        </w:rPr>
        <w:t>anakinra</w:t>
      </w:r>
      <w:proofErr w:type="spellEnd"/>
      <w:r w:rsidR="00C41DDF">
        <w:rPr>
          <w:rFonts w:eastAsia="Arial"/>
          <w:b/>
        </w:rPr>
        <w:t xml:space="preserve"> </w:t>
      </w:r>
      <w:r w:rsidR="004514F9">
        <w:rPr>
          <w:rFonts w:eastAsia="Arial"/>
          <w:b/>
        </w:rPr>
        <w:t>group</w:t>
      </w:r>
      <w:r w:rsidR="009F6685" w:rsidRPr="002B0729">
        <w:rPr>
          <w:rFonts w:eastAsia="Arial"/>
          <w:b/>
        </w:rPr>
        <w:t xml:space="preserve"> </w:t>
      </w:r>
      <w:r w:rsidR="004514F9">
        <w:rPr>
          <w:rFonts w:eastAsia="Arial"/>
          <w:b/>
        </w:rPr>
        <w:t>presenting with or without</w:t>
      </w:r>
      <w:r w:rsidR="009F6685" w:rsidRPr="002B0729">
        <w:rPr>
          <w:rFonts w:eastAsia="Arial"/>
          <w:b/>
        </w:rPr>
        <w:t xml:space="preserve"> CV shock</w:t>
      </w:r>
      <w:r w:rsidR="004514F9">
        <w:rPr>
          <w:rFonts w:eastAsia="Arial"/>
          <w:b/>
        </w:rPr>
        <w:t xml:space="preserve"> (continued)</w:t>
      </w:r>
      <w:r w:rsidR="009F6685" w:rsidRPr="002B0729">
        <w:rPr>
          <w:rFonts w:eastAsia="Arial"/>
          <w:b/>
        </w:rPr>
        <w:t>.</w:t>
      </w:r>
      <w:r w:rsidR="009F6685" w:rsidRPr="002B0729">
        <w:rPr>
          <w:rFonts w:eastAsia="Arial"/>
          <w:bCs/>
        </w:rPr>
        <w:t xml:space="preserve"> </w:t>
      </w:r>
      <w:r w:rsidR="009F6685" w:rsidRPr="002B0729">
        <w:rPr>
          <w:rFonts w:eastAsia="Arial"/>
        </w:rPr>
        <w:t xml:space="preserve">Statistical significance between - CV shock and + CV shock groups was determined by two-tailed Mann-Whitney test for continuous variables or by Fisher’s exact test where appropriate, and p-values &lt;0.05 were considered significant and shown in bold. </w:t>
      </w:r>
      <w:r w:rsidR="00930518">
        <w:rPr>
          <w:rFonts w:eastAsia="Arial"/>
        </w:rPr>
        <w:t xml:space="preserve">The </w:t>
      </w:r>
      <w:proofErr w:type="spellStart"/>
      <w:r w:rsidR="00930518">
        <w:rPr>
          <w:rFonts w:eastAsia="Arial"/>
        </w:rPr>
        <w:t>IVIG+anakinra</w:t>
      </w:r>
      <w:proofErr w:type="spellEnd"/>
      <w:r w:rsidR="00930518">
        <w:rPr>
          <w:rFonts w:eastAsia="Arial"/>
        </w:rPr>
        <w:t xml:space="preserve"> group includes patients who were treated both with and without steroid. </w:t>
      </w:r>
      <w:r w:rsidR="009F6685" w:rsidRPr="002B0729">
        <w:rPr>
          <w:rFonts w:eastAsia="Arial"/>
        </w:rPr>
        <w:t>CV shock= cardiovascular, KD-like= Kawasaki disease-like, IQR= interquartile range, LDH= lactate dehydrogenase, INR= international normalized ratio, ALT= alanine aminotransferase, AST= aspartate aminotransferase, Cr= creatinine.</w:t>
      </w:r>
    </w:p>
    <w:p w14:paraId="0E3604FB" w14:textId="4969CB67" w:rsidR="002B0729" w:rsidRDefault="002B0729" w:rsidP="009F6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7AAD0D6C" w14:textId="5BE8F4B9" w:rsidR="002B0729" w:rsidRDefault="002B0729" w:rsidP="009F6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1141FD40" w14:textId="704F5F41" w:rsidR="005D5AE4" w:rsidRDefault="005D5AE4" w:rsidP="008E3B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</w:p>
    <w:p w14:paraId="3006276B" w14:textId="03249319" w:rsidR="00C41DDF" w:rsidRDefault="00C41DDF" w:rsidP="008E3B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</w:p>
    <w:p w14:paraId="2D2BDDFB" w14:textId="06EFACFF" w:rsidR="00C41DDF" w:rsidRDefault="00C41DDF" w:rsidP="008E3B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</w:p>
    <w:p w14:paraId="33CC6FB4" w14:textId="3496FF50" w:rsidR="00C41DDF" w:rsidRDefault="00C41DDF" w:rsidP="008E3B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  <w:b/>
          <w:color w:val="000000"/>
        </w:rPr>
      </w:pPr>
      <w:r w:rsidRPr="00C41DDF">
        <w:rPr>
          <w:rFonts w:eastAsia="Arial"/>
        </w:rPr>
        <w:lastRenderedPageBreak/>
        <w:drawing>
          <wp:inline distT="0" distB="0" distL="0" distR="0" wp14:anchorId="1FCD5F61" wp14:editId="7906D74C">
            <wp:extent cx="5170229" cy="5738070"/>
            <wp:effectExtent l="0" t="0" r="0" b="254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9676" cy="581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11F3" w14:textId="39663A2D" w:rsidR="00996DDB" w:rsidRDefault="000E469D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  <w:r w:rsidRPr="002B0729">
        <w:rPr>
          <w:rFonts w:eastAsia="Arial"/>
          <w:b/>
          <w:color w:val="000000"/>
        </w:rPr>
        <w:t>Supplemental F</w:t>
      </w:r>
      <w:r w:rsidR="00D66CBE" w:rsidRPr="002B0729">
        <w:rPr>
          <w:rFonts w:eastAsia="Arial"/>
          <w:b/>
          <w:color w:val="000000"/>
        </w:rPr>
        <w:t>igure</w:t>
      </w:r>
      <w:r w:rsidR="00D66CBE" w:rsidRPr="002B0729">
        <w:rPr>
          <w:rFonts w:eastAsia="Arial"/>
          <w:bCs/>
          <w:color w:val="000000"/>
        </w:rPr>
        <w:t xml:space="preserve"> </w:t>
      </w:r>
      <w:r w:rsidR="002C6643" w:rsidRPr="002B0729">
        <w:rPr>
          <w:rFonts w:eastAsia="Arial"/>
          <w:b/>
          <w:color w:val="000000"/>
        </w:rPr>
        <w:t>S</w:t>
      </w:r>
      <w:r w:rsidR="009F6685" w:rsidRPr="002B0729">
        <w:rPr>
          <w:rFonts w:eastAsia="Arial"/>
          <w:b/>
        </w:rPr>
        <w:t xml:space="preserve">2. </w:t>
      </w:r>
      <w:r w:rsidR="004514F9">
        <w:rPr>
          <w:rFonts w:eastAsia="Arial"/>
          <w:b/>
        </w:rPr>
        <w:t>Clinical</w:t>
      </w:r>
      <w:r w:rsidR="009F6685" w:rsidRPr="002B0729">
        <w:rPr>
          <w:rFonts w:eastAsia="Arial"/>
          <w:b/>
        </w:rPr>
        <w:t xml:space="preserve"> of MIS-C patients </w:t>
      </w:r>
      <w:r w:rsidR="00ED6A07">
        <w:rPr>
          <w:rFonts w:eastAsia="Arial"/>
          <w:b/>
        </w:rPr>
        <w:t xml:space="preserve">in the </w:t>
      </w:r>
      <w:proofErr w:type="spellStart"/>
      <w:r w:rsidR="00ED6A07">
        <w:rPr>
          <w:rFonts w:eastAsia="Arial"/>
          <w:b/>
        </w:rPr>
        <w:t>IVIG+anakinra</w:t>
      </w:r>
      <w:proofErr w:type="spellEnd"/>
      <w:r w:rsidR="00ED6A07">
        <w:rPr>
          <w:rFonts w:eastAsia="Arial"/>
          <w:b/>
        </w:rPr>
        <w:t xml:space="preserve"> group </w:t>
      </w:r>
      <w:r w:rsidR="0026312E">
        <w:rPr>
          <w:rFonts w:eastAsia="Arial"/>
          <w:b/>
        </w:rPr>
        <w:t xml:space="preserve">stratified by COVID PCR status and </w:t>
      </w:r>
      <w:r w:rsidR="00ED6A07">
        <w:rPr>
          <w:rFonts w:eastAsia="Arial"/>
          <w:b/>
        </w:rPr>
        <w:t>clinical phenotype</w:t>
      </w:r>
      <w:r w:rsidR="005D5AE4">
        <w:rPr>
          <w:rFonts w:eastAsia="Arial"/>
          <w:b/>
        </w:rPr>
        <w:t>.</w:t>
      </w:r>
      <w:r w:rsidR="009F6685" w:rsidRPr="002B0729">
        <w:rPr>
          <w:rFonts w:eastAsia="Arial"/>
          <w:b/>
        </w:rPr>
        <w:t xml:space="preserve"> </w:t>
      </w:r>
      <w:r w:rsidR="009F6685" w:rsidRPr="002B0729">
        <w:rPr>
          <w:rFonts w:eastAsia="Arial"/>
        </w:rPr>
        <w:t xml:space="preserve">Resolution of fever in </w:t>
      </w:r>
      <w:r w:rsidR="00ED6A07">
        <w:rPr>
          <w:rFonts w:eastAsia="Arial"/>
        </w:rPr>
        <w:t xml:space="preserve">all </w:t>
      </w:r>
      <w:r w:rsidR="009F6685" w:rsidRPr="002B0729">
        <w:rPr>
          <w:rFonts w:eastAsia="Arial"/>
        </w:rPr>
        <w:t xml:space="preserve">MIS-C patients </w:t>
      </w:r>
      <w:r w:rsidR="004514F9">
        <w:rPr>
          <w:rFonts w:eastAsia="Arial"/>
        </w:rPr>
        <w:t xml:space="preserve">in the </w:t>
      </w:r>
      <w:proofErr w:type="spellStart"/>
      <w:r w:rsidR="00ED6A07">
        <w:rPr>
          <w:rFonts w:eastAsia="Arial"/>
        </w:rPr>
        <w:t>IVIG+</w:t>
      </w:r>
      <w:r w:rsidR="009F6685" w:rsidRPr="002B0729">
        <w:rPr>
          <w:rFonts w:eastAsia="Arial"/>
        </w:rPr>
        <w:t>anakinra</w:t>
      </w:r>
      <w:proofErr w:type="spellEnd"/>
      <w:r w:rsidR="009F6685" w:rsidRPr="002B0729">
        <w:rPr>
          <w:rFonts w:eastAsia="Arial"/>
        </w:rPr>
        <w:t xml:space="preserve"> </w:t>
      </w:r>
      <w:r w:rsidR="004514F9">
        <w:rPr>
          <w:rFonts w:eastAsia="Arial"/>
        </w:rPr>
        <w:t xml:space="preserve">group </w:t>
      </w:r>
      <w:r w:rsidR="009F6685" w:rsidRPr="002B0729">
        <w:rPr>
          <w:rFonts w:eastAsia="Arial"/>
        </w:rPr>
        <w:t xml:space="preserve">discriminated by SARS-CoV-2 PCR status </w:t>
      </w:r>
      <w:r w:rsidR="004514F9">
        <w:rPr>
          <w:rFonts w:eastAsia="Arial"/>
        </w:rPr>
        <w:t xml:space="preserve">(A) or </w:t>
      </w:r>
      <w:r w:rsidR="00873062">
        <w:rPr>
          <w:rFonts w:eastAsia="Arial"/>
        </w:rPr>
        <w:t>non-specific</w:t>
      </w:r>
      <w:r w:rsidR="004514F9">
        <w:rPr>
          <w:rFonts w:eastAsia="Arial"/>
        </w:rPr>
        <w:t xml:space="preserve"> features </w:t>
      </w:r>
      <w:r w:rsidR="00873062">
        <w:rPr>
          <w:rFonts w:eastAsia="Arial"/>
        </w:rPr>
        <w:t xml:space="preserve">(B), KD-like </w:t>
      </w:r>
      <w:r w:rsidR="004514F9">
        <w:rPr>
          <w:rFonts w:eastAsia="Arial"/>
        </w:rPr>
        <w:t xml:space="preserve">features </w:t>
      </w:r>
      <w:r w:rsidR="00873062">
        <w:rPr>
          <w:rFonts w:eastAsia="Arial"/>
        </w:rPr>
        <w:t>(C), CV shock (D), and KDSS</w:t>
      </w:r>
      <w:r w:rsidR="00C41DDF">
        <w:rPr>
          <w:rFonts w:eastAsia="Arial"/>
        </w:rPr>
        <w:t>-like features</w:t>
      </w:r>
      <w:r w:rsidR="00873062">
        <w:rPr>
          <w:rFonts w:eastAsia="Arial"/>
        </w:rPr>
        <w:t xml:space="preserve"> </w:t>
      </w:r>
      <w:r w:rsidR="004514F9">
        <w:rPr>
          <w:rFonts w:eastAsia="Arial"/>
        </w:rPr>
        <w:t>(E)</w:t>
      </w:r>
      <w:r w:rsidR="00873062">
        <w:rPr>
          <w:rFonts w:eastAsia="Arial"/>
        </w:rPr>
        <w:t xml:space="preserve"> are shown. </w:t>
      </w:r>
      <w:r w:rsidR="008E3BB2">
        <w:rPr>
          <w:rFonts w:eastAsia="Arial"/>
        </w:rPr>
        <w:t xml:space="preserve">LVEF </w:t>
      </w:r>
      <w:r w:rsidR="004514F9">
        <w:rPr>
          <w:rFonts w:eastAsia="Arial"/>
        </w:rPr>
        <w:t xml:space="preserve">(F) and cardiac strain (H) </w:t>
      </w:r>
      <w:r w:rsidR="008E3BB2">
        <w:rPr>
          <w:rFonts w:eastAsia="Arial"/>
        </w:rPr>
        <w:t xml:space="preserve">at admission (initial) and follow-up of </w:t>
      </w:r>
      <w:r w:rsidR="00873062">
        <w:rPr>
          <w:rFonts w:eastAsia="Arial"/>
        </w:rPr>
        <w:t xml:space="preserve">all </w:t>
      </w:r>
      <w:r w:rsidR="008E3BB2">
        <w:rPr>
          <w:rFonts w:eastAsia="Arial"/>
        </w:rPr>
        <w:t xml:space="preserve">MIS-C patients </w:t>
      </w:r>
      <w:proofErr w:type="spellStart"/>
      <w:r w:rsidR="0026639A">
        <w:rPr>
          <w:rFonts w:eastAsia="Arial"/>
        </w:rPr>
        <w:t>IVIG+</w:t>
      </w:r>
      <w:r w:rsidR="008E3BB2">
        <w:rPr>
          <w:rFonts w:eastAsia="Arial"/>
        </w:rPr>
        <w:t>anakinra</w:t>
      </w:r>
      <w:proofErr w:type="spellEnd"/>
      <w:r w:rsidR="004514F9">
        <w:rPr>
          <w:rFonts w:eastAsia="Arial"/>
        </w:rPr>
        <w:t xml:space="preserve"> group are</w:t>
      </w:r>
      <w:r w:rsidR="008E3BB2">
        <w:rPr>
          <w:rFonts w:eastAsia="Arial"/>
        </w:rPr>
        <w:t xml:space="preserve"> shown</w:t>
      </w:r>
      <w:r w:rsidR="004514F9">
        <w:rPr>
          <w:rFonts w:eastAsia="Arial"/>
        </w:rPr>
        <w:t xml:space="preserve">, </w:t>
      </w:r>
      <w:r w:rsidR="00873062">
        <w:rPr>
          <w:rFonts w:eastAsia="Arial"/>
        </w:rPr>
        <w:t>and subgroup analyses by clinical phenotypes are shown in G</w:t>
      </w:r>
      <w:r w:rsidR="004514F9">
        <w:rPr>
          <w:rFonts w:eastAsia="Arial"/>
        </w:rPr>
        <w:t xml:space="preserve"> and I, respectively</w:t>
      </w:r>
      <w:r w:rsidR="008E3BB2">
        <w:rPr>
          <w:rFonts w:eastAsia="Arial"/>
        </w:rPr>
        <w:t xml:space="preserve">. </w:t>
      </w:r>
      <w:r w:rsidR="00930518">
        <w:rPr>
          <w:rFonts w:eastAsia="Arial"/>
        </w:rPr>
        <w:t xml:space="preserve">The </w:t>
      </w:r>
      <w:proofErr w:type="spellStart"/>
      <w:r w:rsidR="00930518">
        <w:rPr>
          <w:rFonts w:eastAsia="Arial"/>
        </w:rPr>
        <w:t>IVIG+anakinra</w:t>
      </w:r>
      <w:proofErr w:type="spellEnd"/>
      <w:r w:rsidR="00930518">
        <w:rPr>
          <w:rFonts w:eastAsia="Arial"/>
        </w:rPr>
        <w:t xml:space="preserve"> group includes patients who were treated both with </w:t>
      </w:r>
      <w:r w:rsidR="00C41DDF">
        <w:rPr>
          <w:rFonts w:eastAsia="Arial"/>
        </w:rPr>
        <w:t xml:space="preserve">CS </w:t>
      </w:r>
      <w:r w:rsidR="00930518">
        <w:rPr>
          <w:rFonts w:eastAsia="Arial"/>
        </w:rPr>
        <w:t xml:space="preserve">and </w:t>
      </w:r>
      <w:r w:rsidR="00930518">
        <w:rPr>
          <w:rFonts w:eastAsia="Arial"/>
        </w:rPr>
        <w:lastRenderedPageBreak/>
        <w:t xml:space="preserve">without </w:t>
      </w:r>
      <w:r w:rsidR="00C41DDF">
        <w:rPr>
          <w:rFonts w:eastAsia="Arial"/>
        </w:rPr>
        <w:t>CS</w:t>
      </w:r>
      <w:r w:rsidR="00930518">
        <w:rPr>
          <w:rFonts w:eastAsia="Arial"/>
        </w:rPr>
        <w:t xml:space="preserve">. </w:t>
      </w:r>
      <w:r w:rsidR="00873062">
        <w:rPr>
          <w:rFonts w:eastAsia="Arial"/>
        </w:rPr>
        <w:t>The dotted line</w:t>
      </w:r>
      <w:r w:rsidR="009E65A1">
        <w:rPr>
          <w:rFonts w:eastAsia="Arial"/>
        </w:rPr>
        <w:t>s</w:t>
      </w:r>
      <w:r w:rsidR="00873062">
        <w:rPr>
          <w:rFonts w:eastAsia="Arial"/>
        </w:rPr>
        <w:t xml:space="preserve"> denote the cut-off range for normal LVEF (55%)</w:t>
      </w:r>
      <w:r w:rsidR="004514F9">
        <w:rPr>
          <w:rFonts w:eastAsia="Arial"/>
        </w:rPr>
        <w:t xml:space="preserve"> (F and G) and cardiac strain</w:t>
      </w:r>
      <w:r w:rsidR="00873062">
        <w:rPr>
          <w:rFonts w:eastAsia="Arial"/>
        </w:rPr>
        <w:t xml:space="preserve"> (</w:t>
      </w:r>
      <w:r w:rsidR="004514F9">
        <w:rPr>
          <w:rFonts w:eastAsia="Arial"/>
        </w:rPr>
        <w:t xml:space="preserve">Ap4 of </w:t>
      </w:r>
      <w:r w:rsidR="00873062">
        <w:rPr>
          <w:rFonts w:eastAsia="Arial"/>
        </w:rPr>
        <w:t>-21.4)</w:t>
      </w:r>
      <w:r w:rsidR="004514F9">
        <w:rPr>
          <w:rFonts w:eastAsia="Arial"/>
        </w:rPr>
        <w:t xml:space="preserve"> (H and I)</w:t>
      </w:r>
      <w:r w:rsidR="00873062">
        <w:rPr>
          <w:rFonts w:eastAsia="Arial"/>
        </w:rPr>
        <w:t>.</w:t>
      </w:r>
    </w:p>
    <w:p w14:paraId="430D975C" w14:textId="7B7485E6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4041D4D2" w14:textId="388E5754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47B8FF97" w14:textId="1F322809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6236B57D" w14:textId="67DD5C8B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32341C0F" w14:textId="167E784C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0CD9AE7D" w14:textId="1607B1B4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4038F406" w14:textId="63F65568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7C375EB4" w14:textId="73391D1E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711F004E" w14:textId="4D5BACA4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50FAF69B" w14:textId="46D368C8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37679DA5" w14:textId="1D178661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2A8AFD00" w14:textId="3118A099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18D5DEE2" w14:textId="5FD43AA6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6BDAD522" w14:textId="452F6998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46F2C9F4" w14:textId="6B3A7865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3D29A3F7" w14:textId="01841C84" w:rsidR="00C41DDF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4446A901" w14:textId="77777777" w:rsidR="00C41DDF" w:rsidRPr="00930518" w:rsidRDefault="00C41DDF" w:rsidP="002B07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rPr>
          <w:rFonts w:eastAsia="Arial"/>
        </w:rPr>
      </w:pPr>
    </w:p>
    <w:p w14:paraId="1674B6F2" w14:textId="77777777" w:rsidR="003703BF" w:rsidRPr="004B0771" w:rsidRDefault="003703BF" w:rsidP="003703BF">
      <w:pPr>
        <w:spacing w:line="480" w:lineRule="auto"/>
        <w:rPr>
          <w:rFonts w:ascii="Arial" w:eastAsia="Arial" w:hAnsi="Arial" w:cs="Arial"/>
          <w:sz w:val="20"/>
          <w:szCs w:val="20"/>
        </w:rPr>
      </w:pPr>
      <w:r w:rsidRPr="004B0771"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 wp14:anchorId="534BEF64" wp14:editId="6D550895">
            <wp:extent cx="6279463" cy="2245489"/>
            <wp:effectExtent l="0" t="0" r="0" b="2540"/>
            <wp:docPr id="8" name="image2.png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abl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3362" cy="2261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786909" w14:textId="5456280D" w:rsidR="00A53CB7" w:rsidRDefault="000E469D" w:rsidP="00D83330">
      <w:pPr>
        <w:spacing w:line="480" w:lineRule="auto"/>
        <w:rPr>
          <w:rFonts w:eastAsia="Arial"/>
        </w:rPr>
      </w:pPr>
      <w:r w:rsidRPr="002B0729">
        <w:rPr>
          <w:rFonts w:eastAsia="Arial"/>
          <w:b/>
          <w:color w:val="000000"/>
        </w:rPr>
        <w:t>Supplemental F</w:t>
      </w:r>
      <w:r w:rsidR="00D66CBE" w:rsidRPr="002B0729">
        <w:rPr>
          <w:rFonts w:eastAsia="Arial"/>
          <w:b/>
          <w:color w:val="000000"/>
        </w:rPr>
        <w:t xml:space="preserve">igure </w:t>
      </w:r>
      <w:r w:rsidR="002C6643" w:rsidRPr="002B0729">
        <w:rPr>
          <w:rFonts w:eastAsia="Arial"/>
          <w:b/>
          <w:color w:val="000000"/>
        </w:rPr>
        <w:t>S</w:t>
      </w:r>
      <w:r w:rsidR="009F6685" w:rsidRPr="002B0729">
        <w:rPr>
          <w:rFonts w:eastAsia="Arial"/>
          <w:b/>
        </w:rPr>
        <w:t>3. Timing of initial and follow-up echocardiograms in MIS-C</w:t>
      </w:r>
      <w:r w:rsidR="004514F9">
        <w:rPr>
          <w:rFonts w:eastAsia="Arial"/>
          <w:b/>
        </w:rPr>
        <w:t xml:space="preserve"> patients</w:t>
      </w:r>
      <w:r w:rsidR="009F6685" w:rsidRPr="002B0729">
        <w:rPr>
          <w:rFonts w:eastAsia="Arial"/>
          <w:b/>
        </w:rPr>
        <w:t xml:space="preserve">. </w:t>
      </w:r>
      <w:r w:rsidR="009F6685" w:rsidRPr="002B0729">
        <w:rPr>
          <w:rFonts w:eastAsia="Arial"/>
          <w:bCs/>
        </w:rPr>
        <w:t>A scheme</w:t>
      </w:r>
      <w:r w:rsidR="009F6685" w:rsidRPr="002B0729">
        <w:rPr>
          <w:rFonts w:eastAsia="Arial"/>
        </w:rPr>
        <w:t xml:space="preserve"> of the various time measurements between admission and the follow-up echocardiograms (ECHO) are depicted in A. In B, the time intervals in days </w:t>
      </w:r>
      <w:r w:rsidR="00564C57">
        <w:rPr>
          <w:rFonts w:eastAsia="Arial"/>
        </w:rPr>
        <w:t>[</w:t>
      </w:r>
      <w:r w:rsidR="009F6685" w:rsidRPr="002B0729">
        <w:rPr>
          <w:rFonts w:eastAsia="Arial"/>
        </w:rPr>
        <w:t>median +/- IQR</w:t>
      </w:r>
      <w:r w:rsidR="0038564E">
        <w:rPr>
          <w:rFonts w:eastAsia="Arial"/>
        </w:rPr>
        <w:t>]</w:t>
      </w:r>
      <w:r w:rsidR="009F6685" w:rsidRPr="002B0729">
        <w:rPr>
          <w:rFonts w:eastAsia="Arial"/>
        </w:rPr>
        <w:t xml:space="preserve"> of the ECHOs relative to admission and initiation of anakinra in the various clinical phenotypes of MIS-C are shown. IQR= interquartile range.</w:t>
      </w:r>
    </w:p>
    <w:p w14:paraId="14704DF7" w14:textId="1173C911" w:rsidR="003F0721" w:rsidRDefault="003F0721" w:rsidP="00D83330">
      <w:pPr>
        <w:spacing w:line="480" w:lineRule="auto"/>
        <w:rPr>
          <w:rFonts w:eastAsia="Arial"/>
        </w:rPr>
      </w:pPr>
    </w:p>
    <w:p w14:paraId="21F54FF8" w14:textId="5B0998CF" w:rsidR="003F0721" w:rsidRDefault="003F0721" w:rsidP="00D83330">
      <w:pPr>
        <w:spacing w:line="480" w:lineRule="auto"/>
        <w:rPr>
          <w:rFonts w:eastAsia="Arial"/>
        </w:rPr>
      </w:pPr>
    </w:p>
    <w:p w14:paraId="1A38347D" w14:textId="7942597A" w:rsidR="003F0721" w:rsidRDefault="003F0721" w:rsidP="00D83330">
      <w:pPr>
        <w:spacing w:line="480" w:lineRule="auto"/>
        <w:rPr>
          <w:rFonts w:eastAsia="Arial"/>
        </w:rPr>
      </w:pPr>
    </w:p>
    <w:p w14:paraId="016F94C3" w14:textId="30AA9EA2" w:rsidR="003F0721" w:rsidRDefault="003F0721" w:rsidP="00D83330">
      <w:pPr>
        <w:spacing w:line="480" w:lineRule="auto"/>
        <w:rPr>
          <w:rFonts w:eastAsia="Arial"/>
        </w:rPr>
      </w:pPr>
    </w:p>
    <w:p w14:paraId="1C94839F" w14:textId="088A36C8" w:rsidR="003F0721" w:rsidRDefault="003F0721" w:rsidP="00D83330">
      <w:pPr>
        <w:spacing w:line="480" w:lineRule="auto"/>
        <w:rPr>
          <w:rFonts w:eastAsia="Arial"/>
        </w:rPr>
      </w:pPr>
    </w:p>
    <w:p w14:paraId="3964417A" w14:textId="5630CAF6" w:rsidR="003F0721" w:rsidRDefault="003F0721" w:rsidP="00D83330">
      <w:pPr>
        <w:spacing w:line="480" w:lineRule="auto"/>
        <w:rPr>
          <w:rFonts w:eastAsia="Arial"/>
        </w:rPr>
      </w:pPr>
    </w:p>
    <w:p w14:paraId="28E7153D" w14:textId="44267EC8" w:rsidR="003F0721" w:rsidRDefault="003F0721" w:rsidP="00D83330">
      <w:pPr>
        <w:spacing w:line="480" w:lineRule="auto"/>
        <w:rPr>
          <w:rFonts w:eastAsia="Arial"/>
        </w:rPr>
      </w:pPr>
    </w:p>
    <w:p w14:paraId="13DA8C49" w14:textId="424486E4" w:rsidR="003F0721" w:rsidRDefault="003F0721" w:rsidP="00D83330">
      <w:pPr>
        <w:spacing w:line="480" w:lineRule="auto"/>
        <w:rPr>
          <w:rFonts w:eastAsia="Arial"/>
        </w:rPr>
      </w:pPr>
    </w:p>
    <w:p w14:paraId="59F79F69" w14:textId="0BAB5D08" w:rsidR="003F0721" w:rsidRDefault="003F0721" w:rsidP="00D83330">
      <w:pPr>
        <w:spacing w:line="480" w:lineRule="auto"/>
        <w:rPr>
          <w:rFonts w:eastAsia="Arial"/>
        </w:rPr>
      </w:pPr>
    </w:p>
    <w:p w14:paraId="481CC63C" w14:textId="12EDCCD5" w:rsidR="003F0721" w:rsidRDefault="003F0721" w:rsidP="00D83330">
      <w:pPr>
        <w:spacing w:line="480" w:lineRule="auto"/>
        <w:rPr>
          <w:rFonts w:eastAsia="Arial"/>
        </w:rPr>
      </w:pPr>
    </w:p>
    <w:p w14:paraId="47D7C379" w14:textId="77777777" w:rsidR="003F0721" w:rsidRDefault="003F0721" w:rsidP="00D83330">
      <w:pPr>
        <w:spacing w:line="480" w:lineRule="auto"/>
        <w:rPr>
          <w:rFonts w:eastAsia="Arial"/>
        </w:rPr>
      </w:pPr>
    </w:p>
    <w:p w14:paraId="77F77984" w14:textId="77777777" w:rsidR="003F0721" w:rsidRDefault="003F0721" w:rsidP="003F0721"/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096"/>
        <w:gridCol w:w="2314"/>
        <w:gridCol w:w="2070"/>
        <w:gridCol w:w="1890"/>
        <w:gridCol w:w="990"/>
      </w:tblGrid>
      <w:tr w:rsidR="003F0721" w:rsidRPr="003F0721" w14:paraId="11E2900E" w14:textId="77777777" w:rsidTr="00C41DDF">
        <w:tc>
          <w:tcPr>
            <w:tcW w:w="2096" w:type="dxa"/>
            <w:vAlign w:val="bottom"/>
          </w:tcPr>
          <w:p w14:paraId="6BFDB848" w14:textId="6C9488B6" w:rsidR="003F0721" w:rsidRPr="003F0721" w:rsidRDefault="003F0721" w:rsidP="00CB031B">
            <w:pPr>
              <w:rPr>
                <w:b/>
                <w:bCs/>
              </w:rPr>
            </w:pPr>
            <w:r w:rsidRPr="003F0721">
              <w:rPr>
                <w:b/>
                <w:bCs/>
                <w:color w:val="000000"/>
              </w:rPr>
              <w:lastRenderedPageBreak/>
              <w:t>Adverse event</w:t>
            </w:r>
          </w:p>
        </w:tc>
        <w:tc>
          <w:tcPr>
            <w:tcW w:w="2314" w:type="dxa"/>
            <w:vAlign w:val="bottom"/>
          </w:tcPr>
          <w:p w14:paraId="7F93A1C1" w14:textId="2CB59E1B" w:rsidR="003F0721" w:rsidRPr="003F0721" w:rsidRDefault="003F0721" w:rsidP="00CB031B">
            <w:pPr>
              <w:rPr>
                <w:b/>
                <w:bCs/>
                <w:color w:val="000000"/>
              </w:rPr>
            </w:pPr>
            <w:r w:rsidRPr="003F0721">
              <w:rPr>
                <w:b/>
                <w:bCs/>
                <w:color w:val="000000"/>
              </w:rPr>
              <w:t xml:space="preserve">IVIG </w:t>
            </w:r>
            <w:r w:rsidR="00873062">
              <w:rPr>
                <w:b/>
                <w:bCs/>
                <w:color w:val="000000"/>
              </w:rPr>
              <w:t>monotherapy</w:t>
            </w:r>
            <w:r w:rsidRPr="003F0721">
              <w:rPr>
                <w:b/>
                <w:bCs/>
                <w:color w:val="000000"/>
              </w:rPr>
              <w:t xml:space="preserve"> </w:t>
            </w:r>
          </w:p>
          <w:p w14:paraId="5DB17634" w14:textId="2AFF1F4A" w:rsidR="003F0721" w:rsidRPr="003F0721" w:rsidRDefault="003F0721" w:rsidP="00CB031B">
            <w:pPr>
              <w:rPr>
                <w:b/>
                <w:bCs/>
              </w:rPr>
            </w:pPr>
            <w:r w:rsidRPr="003F0721">
              <w:rPr>
                <w:b/>
                <w:bCs/>
                <w:color w:val="000000"/>
              </w:rPr>
              <w:t>(n = 1</w:t>
            </w:r>
            <w:r w:rsidR="00930518">
              <w:rPr>
                <w:b/>
                <w:bCs/>
                <w:color w:val="000000"/>
              </w:rPr>
              <w:t>4</w:t>
            </w:r>
            <w:r w:rsidRPr="003F0721">
              <w:rPr>
                <w:b/>
                <w:bCs/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7C1083ED" w14:textId="68DC75CE" w:rsidR="003F0721" w:rsidRPr="003F0721" w:rsidRDefault="003F0721" w:rsidP="00CB031B">
            <w:pPr>
              <w:rPr>
                <w:b/>
                <w:bCs/>
                <w:color w:val="000000"/>
              </w:rPr>
            </w:pPr>
            <w:proofErr w:type="spellStart"/>
            <w:r w:rsidRPr="003F0721">
              <w:rPr>
                <w:b/>
                <w:bCs/>
                <w:color w:val="000000"/>
              </w:rPr>
              <w:t>IVIG+anakinra</w:t>
            </w:r>
            <w:proofErr w:type="spellEnd"/>
            <w:r w:rsidRPr="003F0721">
              <w:rPr>
                <w:b/>
                <w:bCs/>
                <w:color w:val="000000"/>
              </w:rPr>
              <w:t xml:space="preserve"> </w:t>
            </w:r>
            <w:r w:rsidR="00C41DDF">
              <w:rPr>
                <w:b/>
                <w:bCs/>
                <w:color w:val="000000"/>
              </w:rPr>
              <w:t>without CS</w:t>
            </w:r>
          </w:p>
          <w:p w14:paraId="20A20F8A" w14:textId="77777777" w:rsidR="003F0721" w:rsidRPr="003F0721" w:rsidRDefault="003F0721" w:rsidP="00CB031B">
            <w:pPr>
              <w:rPr>
                <w:b/>
                <w:bCs/>
              </w:rPr>
            </w:pPr>
            <w:r w:rsidRPr="003F0721">
              <w:rPr>
                <w:b/>
                <w:bCs/>
                <w:color w:val="000000"/>
              </w:rPr>
              <w:t>(n = 25)</w:t>
            </w:r>
          </w:p>
        </w:tc>
        <w:tc>
          <w:tcPr>
            <w:tcW w:w="1890" w:type="dxa"/>
          </w:tcPr>
          <w:p w14:paraId="043ADF1A" w14:textId="52D23BA7" w:rsidR="003F0721" w:rsidRPr="003F0721" w:rsidRDefault="003F0721" w:rsidP="00CB031B">
            <w:pPr>
              <w:rPr>
                <w:b/>
                <w:bCs/>
                <w:color w:val="000000"/>
              </w:rPr>
            </w:pPr>
            <w:proofErr w:type="spellStart"/>
            <w:r w:rsidRPr="003F0721">
              <w:rPr>
                <w:b/>
                <w:bCs/>
                <w:color w:val="000000"/>
              </w:rPr>
              <w:t>IVIG+anakinra</w:t>
            </w:r>
            <w:proofErr w:type="spellEnd"/>
            <w:r w:rsidRPr="003F0721">
              <w:rPr>
                <w:b/>
                <w:bCs/>
                <w:color w:val="000000"/>
              </w:rPr>
              <w:t xml:space="preserve"> </w:t>
            </w:r>
            <w:r w:rsidR="00C41DDF">
              <w:rPr>
                <w:b/>
                <w:bCs/>
                <w:color w:val="000000"/>
              </w:rPr>
              <w:t>with CS</w:t>
            </w:r>
            <w:r w:rsidRPr="003F0721">
              <w:rPr>
                <w:b/>
                <w:bCs/>
                <w:color w:val="000000"/>
              </w:rPr>
              <w:t xml:space="preserve"> (n = 9)</w:t>
            </w:r>
          </w:p>
        </w:tc>
        <w:tc>
          <w:tcPr>
            <w:tcW w:w="990" w:type="dxa"/>
            <w:vAlign w:val="bottom"/>
          </w:tcPr>
          <w:p w14:paraId="618DA43D" w14:textId="77777777" w:rsidR="003F0721" w:rsidRPr="003F0721" w:rsidRDefault="003F0721" w:rsidP="00CB031B">
            <w:pPr>
              <w:rPr>
                <w:b/>
                <w:bCs/>
              </w:rPr>
            </w:pPr>
            <w:r w:rsidRPr="003F0721">
              <w:rPr>
                <w:b/>
                <w:bCs/>
                <w:color w:val="000000"/>
              </w:rPr>
              <w:t>p-value</w:t>
            </w:r>
          </w:p>
        </w:tc>
      </w:tr>
      <w:tr w:rsidR="003F0721" w:rsidRPr="003F0721" w14:paraId="5B77C63A" w14:textId="77777777" w:rsidTr="00C41DDF">
        <w:tc>
          <w:tcPr>
            <w:tcW w:w="2096" w:type="dxa"/>
            <w:vAlign w:val="bottom"/>
          </w:tcPr>
          <w:p w14:paraId="3BBD1F09" w14:textId="77777777" w:rsidR="003F0721" w:rsidRPr="003F0721" w:rsidRDefault="003F0721" w:rsidP="00CB031B">
            <w:r w:rsidRPr="003F0721">
              <w:rPr>
                <w:color w:val="000000"/>
              </w:rPr>
              <w:t>Neutropenia</w:t>
            </w:r>
          </w:p>
        </w:tc>
        <w:tc>
          <w:tcPr>
            <w:tcW w:w="2314" w:type="dxa"/>
            <w:vAlign w:val="bottom"/>
          </w:tcPr>
          <w:p w14:paraId="615C6DB7" w14:textId="6163F561" w:rsidR="003F0721" w:rsidRPr="003F0721" w:rsidRDefault="00930518" w:rsidP="00CB031B">
            <w:r>
              <w:rPr>
                <w:color w:val="000000"/>
              </w:rPr>
              <w:t>7</w:t>
            </w:r>
            <w:r w:rsidR="003F0721" w:rsidRPr="003F0721">
              <w:rPr>
                <w:color w:val="000000"/>
              </w:rPr>
              <w:t>% (1/1</w:t>
            </w:r>
            <w:r>
              <w:rPr>
                <w:color w:val="000000"/>
              </w:rPr>
              <w:t>4</w:t>
            </w:r>
            <w:r w:rsidR="003F0721"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31E9F054" w14:textId="77777777" w:rsidR="003F0721" w:rsidRPr="003F0721" w:rsidRDefault="003F0721" w:rsidP="00CB031B">
            <w:r w:rsidRPr="003F0721">
              <w:rPr>
                <w:color w:val="000000"/>
              </w:rPr>
              <w:t>20% (5/25)</w:t>
            </w:r>
          </w:p>
        </w:tc>
        <w:tc>
          <w:tcPr>
            <w:tcW w:w="1890" w:type="dxa"/>
          </w:tcPr>
          <w:p w14:paraId="76B5A11A" w14:textId="67566311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33% (3/9)</w:t>
            </w:r>
          </w:p>
        </w:tc>
        <w:tc>
          <w:tcPr>
            <w:tcW w:w="990" w:type="dxa"/>
            <w:vAlign w:val="bottom"/>
          </w:tcPr>
          <w:p w14:paraId="30F25370" w14:textId="77777777" w:rsidR="003F0721" w:rsidRPr="003F0721" w:rsidRDefault="003F0721" w:rsidP="00CB031B">
            <w:r w:rsidRPr="003F0721">
              <w:t>0.36</w:t>
            </w:r>
          </w:p>
        </w:tc>
      </w:tr>
      <w:tr w:rsidR="003F0721" w:rsidRPr="003F0721" w14:paraId="0DD55FC9" w14:textId="77777777" w:rsidTr="00C41DDF">
        <w:tc>
          <w:tcPr>
            <w:tcW w:w="2096" w:type="dxa"/>
            <w:vAlign w:val="bottom"/>
          </w:tcPr>
          <w:p w14:paraId="1CFC9768" w14:textId="64F43BE0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1</w:t>
            </w:r>
          </w:p>
        </w:tc>
        <w:tc>
          <w:tcPr>
            <w:tcW w:w="2314" w:type="dxa"/>
            <w:vAlign w:val="bottom"/>
          </w:tcPr>
          <w:p w14:paraId="21493FAF" w14:textId="558558BD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(0/1</w:t>
            </w:r>
            <w:r w:rsidR="00930518">
              <w:rPr>
                <w:color w:val="000000"/>
              </w:rPr>
              <w:t>4</w:t>
            </w:r>
            <w:r w:rsidRPr="003F0721">
              <w:rPr>
                <w:color w:val="000000"/>
              </w:rPr>
              <w:t xml:space="preserve">) </w:t>
            </w:r>
          </w:p>
        </w:tc>
        <w:tc>
          <w:tcPr>
            <w:tcW w:w="2070" w:type="dxa"/>
            <w:vAlign w:val="bottom"/>
          </w:tcPr>
          <w:p w14:paraId="121CDA51" w14:textId="482DAB39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8% (2/25)</w:t>
            </w:r>
          </w:p>
        </w:tc>
        <w:tc>
          <w:tcPr>
            <w:tcW w:w="1890" w:type="dxa"/>
          </w:tcPr>
          <w:p w14:paraId="77F022AC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(0/9)</w:t>
            </w:r>
          </w:p>
        </w:tc>
        <w:tc>
          <w:tcPr>
            <w:tcW w:w="990" w:type="dxa"/>
            <w:vAlign w:val="bottom"/>
          </w:tcPr>
          <w:p w14:paraId="526F2B1A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0.41</w:t>
            </w:r>
          </w:p>
        </w:tc>
      </w:tr>
      <w:tr w:rsidR="003F0721" w:rsidRPr="003F0721" w14:paraId="27D09077" w14:textId="77777777" w:rsidTr="00C41DDF">
        <w:tc>
          <w:tcPr>
            <w:tcW w:w="2096" w:type="dxa"/>
            <w:vAlign w:val="bottom"/>
          </w:tcPr>
          <w:p w14:paraId="4DC8659B" w14:textId="69D17ABF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2</w:t>
            </w:r>
          </w:p>
        </w:tc>
        <w:tc>
          <w:tcPr>
            <w:tcW w:w="2314" w:type="dxa"/>
            <w:vAlign w:val="bottom"/>
          </w:tcPr>
          <w:p w14:paraId="1BEEBF02" w14:textId="172495FF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F0721" w:rsidRPr="003F0721">
              <w:rPr>
                <w:color w:val="000000"/>
              </w:rPr>
              <w:t>% (1/1</w:t>
            </w:r>
            <w:r>
              <w:rPr>
                <w:color w:val="000000"/>
              </w:rPr>
              <w:t>4</w:t>
            </w:r>
            <w:r w:rsidR="003F0721"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31225F15" w14:textId="20C747E1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4% (1/25)</w:t>
            </w:r>
          </w:p>
        </w:tc>
        <w:tc>
          <w:tcPr>
            <w:tcW w:w="1890" w:type="dxa"/>
          </w:tcPr>
          <w:p w14:paraId="0EA67AAE" w14:textId="30D846AE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22% (2/9)</w:t>
            </w:r>
          </w:p>
        </w:tc>
        <w:tc>
          <w:tcPr>
            <w:tcW w:w="990" w:type="dxa"/>
            <w:vAlign w:val="bottom"/>
          </w:tcPr>
          <w:p w14:paraId="23BD14B8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0.25</w:t>
            </w:r>
          </w:p>
        </w:tc>
      </w:tr>
      <w:tr w:rsidR="003F0721" w:rsidRPr="003F0721" w14:paraId="20D596CB" w14:textId="77777777" w:rsidTr="00C41DDF">
        <w:tc>
          <w:tcPr>
            <w:tcW w:w="2096" w:type="dxa"/>
            <w:vAlign w:val="bottom"/>
          </w:tcPr>
          <w:p w14:paraId="0742F2DC" w14:textId="6BC5EC4D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3</w:t>
            </w:r>
          </w:p>
        </w:tc>
        <w:tc>
          <w:tcPr>
            <w:tcW w:w="2314" w:type="dxa"/>
            <w:vAlign w:val="bottom"/>
          </w:tcPr>
          <w:p w14:paraId="2E6B9C4B" w14:textId="5C12FCE6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(0/1</w:t>
            </w:r>
            <w:r w:rsidR="00930518">
              <w:rPr>
                <w:color w:val="000000"/>
              </w:rPr>
              <w:t>4</w:t>
            </w:r>
            <w:r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7157AFD3" w14:textId="5B190A6A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8% (2/25)</w:t>
            </w:r>
          </w:p>
        </w:tc>
        <w:tc>
          <w:tcPr>
            <w:tcW w:w="1890" w:type="dxa"/>
          </w:tcPr>
          <w:p w14:paraId="4C0135E6" w14:textId="7B7159D4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11% (1/9)</w:t>
            </w:r>
          </w:p>
        </w:tc>
        <w:tc>
          <w:tcPr>
            <w:tcW w:w="990" w:type="dxa"/>
            <w:vAlign w:val="bottom"/>
          </w:tcPr>
          <w:p w14:paraId="657DA952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0.54</w:t>
            </w:r>
          </w:p>
        </w:tc>
      </w:tr>
      <w:tr w:rsidR="003F0721" w:rsidRPr="003F0721" w14:paraId="05A70D2A" w14:textId="77777777" w:rsidTr="00C41DDF">
        <w:tc>
          <w:tcPr>
            <w:tcW w:w="2096" w:type="dxa"/>
            <w:vAlign w:val="bottom"/>
          </w:tcPr>
          <w:p w14:paraId="3D06A1B8" w14:textId="2810087E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4</w:t>
            </w:r>
          </w:p>
        </w:tc>
        <w:tc>
          <w:tcPr>
            <w:tcW w:w="2314" w:type="dxa"/>
            <w:vAlign w:val="bottom"/>
          </w:tcPr>
          <w:p w14:paraId="4276DD9F" w14:textId="58FD870C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(0/1</w:t>
            </w:r>
            <w:r w:rsidR="00930518">
              <w:rPr>
                <w:color w:val="000000"/>
              </w:rPr>
              <w:t>4</w:t>
            </w:r>
            <w:r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6520E511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(0/25)</w:t>
            </w:r>
          </w:p>
        </w:tc>
        <w:tc>
          <w:tcPr>
            <w:tcW w:w="1890" w:type="dxa"/>
            <w:vAlign w:val="bottom"/>
          </w:tcPr>
          <w:p w14:paraId="3A00A1E1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(0/9)</w:t>
            </w:r>
          </w:p>
        </w:tc>
        <w:tc>
          <w:tcPr>
            <w:tcW w:w="990" w:type="dxa"/>
            <w:vAlign w:val="bottom"/>
          </w:tcPr>
          <w:p w14:paraId="454F135F" w14:textId="1E22557E" w:rsidR="003F0721" w:rsidRPr="003F0721" w:rsidRDefault="00873062" w:rsidP="00CB031B">
            <w:pPr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  <w:tr w:rsidR="003F0721" w:rsidRPr="003F0721" w14:paraId="30D746A0" w14:textId="77777777" w:rsidTr="00C41DDF">
        <w:tc>
          <w:tcPr>
            <w:tcW w:w="2096" w:type="dxa"/>
            <w:vAlign w:val="bottom"/>
          </w:tcPr>
          <w:p w14:paraId="74B0BC14" w14:textId="77777777" w:rsidR="003F0721" w:rsidRPr="003F0721" w:rsidRDefault="003F0721" w:rsidP="00CB031B">
            <w:r w:rsidRPr="003F0721">
              <w:rPr>
                <w:color w:val="000000"/>
              </w:rPr>
              <w:t>Rash</w:t>
            </w:r>
          </w:p>
        </w:tc>
        <w:tc>
          <w:tcPr>
            <w:tcW w:w="2314" w:type="dxa"/>
            <w:vAlign w:val="bottom"/>
          </w:tcPr>
          <w:p w14:paraId="3B2C3178" w14:textId="60070BBC" w:rsidR="003F0721" w:rsidRPr="003F0721" w:rsidRDefault="003F0721" w:rsidP="00CB031B">
            <w:r w:rsidRPr="003F0721">
              <w:rPr>
                <w:color w:val="000000"/>
              </w:rPr>
              <w:t>0% (0/1</w:t>
            </w:r>
            <w:r w:rsidR="00930518">
              <w:rPr>
                <w:color w:val="000000"/>
              </w:rPr>
              <w:t>4</w:t>
            </w:r>
            <w:r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29729925" w14:textId="77777777" w:rsidR="003F0721" w:rsidRPr="003F0721" w:rsidRDefault="003F0721" w:rsidP="00CB031B">
            <w:r w:rsidRPr="003F0721">
              <w:rPr>
                <w:color w:val="000000"/>
              </w:rPr>
              <w:t>8% (2/25)</w:t>
            </w:r>
          </w:p>
        </w:tc>
        <w:tc>
          <w:tcPr>
            <w:tcW w:w="1890" w:type="dxa"/>
          </w:tcPr>
          <w:p w14:paraId="2C69DE09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(0/9)</w:t>
            </w:r>
          </w:p>
        </w:tc>
        <w:tc>
          <w:tcPr>
            <w:tcW w:w="990" w:type="dxa"/>
            <w:vAlign w:val="bottom"/>
          </w:tcPr>
          <w:p w14:paraId="7477BE95" w14:textId="77777777" w:rsidR="003F0721" w:rsidRPr="003F0721" w:rsidRDefault="003F0721" w:rsidP="00CB031B">
            <w:r w:rsidRPr="003F0721">
              <w:t>0.42</w:t>
            </w:r>
          </w:p>
        </w:tc>
      </w:tr>
      <w:tr w:rsidR="003F0721" w:rsidRPr="003F0721" w14:paraId="105DEBD1" w14:textId="77777777" w:rsidTr="00C41DDF">
        <w:tc>
          <w:tcPr>
            <w:tcW w:w="2096" w:type="dxa"/>
            <w:vAlign w:val="bottom"/>
          </w:tcPr>
          <w:p w14:paraId="4DBD4290" w14:textId="77777777" w:rsidR="003F0721" w:rsidRPr="003F0721" w:rsidRDefault="003F0721" w:rsidP="00CB031B">
            <w:r w:rsidRPr="003F0721">
              <w:rPr>
                <w:color w:val="000000"/>
              </w:rPr>
              <w:t>Elevated LFTs</w:t>
            </w:r>
          </w:p>
        </w:tc>
        <w:tc>
          <w:tcPr>
            <w:tcW w:w="2314" w:type="dxa"/>
            <w:vAlign w:val="bottom"/>
          </w:tcPr>
          <w:p w14:paraId="70AF715D" w14:textId="1094720D" w:rsidR="003F0721" w:rsidRPr="003F0721" w:rsidRDefault="00930518" w:rsidP="00CB031B">
            <w:r>
              <w:rPr>
                <w:color w:val="000000"/>
              </w:rPr>
              <w:t>14</w:t>
            </w:r>
            <w:r w:rsidR="003F0721" w:rsidRPr="003F0721">
              <w:rPr>
                <w:color w:val="000000"/>
              </w:rPr>
              <w:t>% (2/1</w:t>
            </w:r>
            <w:r>
              <w:rPr>
                <w:color w:val="000000"/>
              </w:rPr>
              <w:t>4</w:t>
            </w:r>
            <w:r w:rsidR="003F0721"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159D01F0" w14:textId="77777777" w:rsidR="003F0721" w:rsidRPr="003F0721" w:rsidRDefault="003F0721" w:rsidP="00CB031B">
            <w:r w:rsidRPr="003F0721">
              <w:rPr>
                <w:color w:val="000000"/>
              </w:rPr>
              <w:t>24% (6/25)</w:t>
            </w:r>
          </w:p>
        </w:tc>
        <w:tc>
          <w:tcPr>
            <w:tcW w:w="1890" w:type="dxa"/>
          </w:tcPr>
          <w:p w14:paraId="435FFF1F" w14:textId="6EF48AAE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  <w:r w:rsidR="003F0721" w:rsidRPr="003F0721">
              <w:rPr>
                <w:color w:val="000000"/>
              </w:rPr>
              <w:t>% (7/9)</w:t>
            </w:r>
          </w:p>
        </w:tc>
        <w:tc>
          <w:tcPr>
            <w:tcW w:w="990" w:type="dxa"/>
            <w:vAlign w:val="bottom"/>
          </w:tcPr>
          <w:p w14:paraId="54CB252C" w14:textId="77777777" w:rsidR="003F0721" w:rsidRPr="003F0721" w:rsidRDefault="003F0721" w:rsidP="00CB031B">
            <w:r w:rsidRPr="003F0721">
              <w:t>0.008</w:t>
            </w:r>
          </w:p>
        </w:tc>
      </w:tr>
      <w:tr w:rsidR="003F0721" w:rsidRPr="003F0721" w14:paraId="3DEF0197" w14:textId="77777777" w:rsidTr="00C41DDF">
        <w:tc>
          <w:tcPr>
            <w:tcW w:w="2096" w:type="dxa"/>
            <w:vAlign w:val="bottom"/>
          </w:tcPr>
          <w:p w14:paraId="7E2C7ACD" w14:textId="7386C0B5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&lt; Grade 2</w:t>
            </w:r>
          </w:p>
        </w:tc>
        <w:tc>
          <w:tcPr>
            <w:tcW w:w="2314" w:type="dxa"/>
            <w:vAlign w:val="bottom"/>
          </w:tcPr>
          <w:p w14:paraId="0B700E6D" w14:textId="45E4F028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F0721" w:rsidRPr="003F0721">
              <w:rPr>
                <w:color w:val="000000"/>
              </w:rPr>
              <w:t>% (1/1</w:t>
            </w:r>
            <w:r>
              <w:rPr>
                <w:color w:val="000000"/>
              </w:rPr>
              <w:t>4</w:t>
            </w:r>
            <w:r w:rsidR="003F0721"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64E61A20" w14:textId="03448664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F0721" w:rsidRPr="003F0721">
              <w:rPr>
                <w:color w:val="000000"/>
              </w:rPr>
              <w:t>% (2/25)</w:t>
            </w:r>
          </w:p>
        </w:tc>
        <w:tc>
          <w:tcPr>
            <w:tcW w:w="1890" w:type="dxa"/>
          </w:tcPr>
          <w:p w14:paraId="6A85361B" w14:textId="3EC664D0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44% (5/9)</w:t>
            </w:r>
          </w:p>
        </w:tc>
        <w:tc>
          <w:tcPr>
            <w:tcW w:w="990" w:type="dxa"/>
            <w:vAlign w:val="bottom"/>
          </w:tcPr>
          <w:p w14:paraId="1379AD03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0.02</w:t>
            </w:r>
          </w:p>
        </w:tc>
      </w:tr>
      <w:tr w:rsidR="003F0721" w:rsidRPr="003F0721" w14:paraId="35551194" w14:textId="77777777" w:rsidTr="00C41DDF">
        <w:tc>
          <w:tcPr>
            <w:tcW w:w="2096" w:type="dxa"/>
            <w:vAlign w:val="bottom"/>
          </w:tcPr>
          <w:p w14:paraId="151CCBDC" w14:textId="145EF1E1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2</w:t>
            </w:r>
          </w:p>
        </w:tc>
        <w:tc>
          <w:tcPr>
            <w:tcW w:w="2314" w:type="dxa"/>
            <w:vAlign w:val="bottom"/>
          </w:tcPr>
          <w:p w14:paraId="0CC56DC6" w14:textId="523CDEAA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(0/1</w:t>
            </w:r>
            <w:r w:rsidR="00930518">
              <w:rPr>
                <w:color w:val="000000"/>
              </w:rPr>
              <w:t>4</w:t>
            </w:r>
            <w:r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0D10F6E9" w14:textId="48BC84EE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F0721" w:rsidRPr="003F0721">
              <w:rPr>
                <w:color w:val="000000"/>
              </w:rPr>
              <w:t>% (2/25)</w:t>
            </w:r>
          </w:p>
        </w:tc>
        <w:tc>
          <w:tcPr>
            <w:tcW w:w="1890" w:type="dxa"/>
          </w:tcPr>
          <w:p w14:paraId="5EDD020A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(0/9)</w:t>
            </w:r>
          </w:p>
        </w:tc>
        <w:tc>
          <w:tcPr>
            <w:tcW w:w="990" w:type="dxa"/>
            <w:vAlign w:val="bottom"/>
          </w:tcPr>
          <w:p w14:paraId="5FA418B7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0.41</w:t>
            </w:r>
          </w:p>
        </w:tc>
      </w:tr>
      <w:tr w:rsidR="003F0721" w:rsidRPr="003F0721" w14:paraId="7BA38245" w14:textId="77777777" w:rsidTr="00C41DDF">
        <w:tc>
          <w:tcPr>
            <w:tcW w:w="2096" w:type="dxa"/>
            <w:vAlign w:val="bottom"/>
          </w:tcPr>
          <w:p w14:paraId="1B90203A" w14:textId="775E0B16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3</w:t>
            </w:r>
          </w:p>
        </w:tc>
        <w:tc>
          <w:tcPr>
            <w:tcW w:w="2314" w:type="dxa"/>
            <w:vAlign w:val="bottom"/>
          </w:tcPr>
          <w:p w14:paraId="03311329" w14:textId="347244FC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F0721" w:rsidRPr="003F0721">
              <w:rPr>
                <w:color w:val="000000"/>
              </w:rPr>
              <w:t>% (1/1</w:t>
            </w:r>
            <w:r>
              <w:rPr>
                <w:color w:val="000000"/>
              </w:rPr>
              <w:t>4</w:t>
            </w:r>
            <w:r w:rsidR="003F0721"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0CB8C751" w14:textId="5303A30D" w:rsidR="003F0721" w:rsidRPr="003F0721" w:rsidRDefault="00930518" w:rsidP="00CB031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F0721" w:rsidRPr="003F0721">
              <w:rPr>
                <w:color w:val="000000"/>
              </w:rPr>
              <w:t>% (2/25)</w:t>
            </w:r>
          </w:p>
        </w:tc>
        <w:tc>
          <w:tcPr>
            <w:tcW w:w="1890" w:type="dxa"/>
          </w:tcPr>
          <w:p w14:paraId="27C3237B" w14:textId="198591EE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22% (2/9)</w:t>
            </w:r>
          </w:p>
        </w:tc>
        <w:tc>
          <w:tcPr>
            <w:tcW w:w="990" w:type="dxa"/>
            <w:vAlign w:val="bottom"/>
          </w:tcPr>
          <w:p w14:paraId="0434E0DF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0.47</w:t>
            </w:r>
          </w:p>
        </w:tc>
      </w:tr>
      <w:tr w:rsidR="003F0721" w:rsidRPr="003F0721" w14:paraId="3A0CFD2D" w14:textId="77777777" w:rsidTr="00C41DDF">
        <w:tc>
          <w:tcPr>
            <w:tcW w:w="2096" w:type="dxa"/>
            <w:vAlign w:val="bottom"/>
          </w:tcPr>
          <w:p w14:paraId="4AC97C8D" w14:textId="6FDB1F24" w:rsidR="003F0721" w:rsidRPr="003F0721" w:rsidRDefault="003F0721" w:rsidP="00CB031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3F0721">
              <w:rPr>
                <w:color w:val="000000"/>
              </w:rPr>
              <w:t>Grade 4</w:t>
            </w:r>
          </w:p>
        </w:tc>
        <w:tc>
          <w:tcPr>
            <w:tcW w:w="2314" w:type="dxa"/>
            <w:vAlign w:val="bottom"/>
          </w:tcPr>
          <w:p w14:paraId="2EBC099C" w14:textId="68A98E3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(0/1</w:t>
            </w:r>
            <w:r w:rsidR="00930518">
              <w:rPr>
                <w:color w:val="000000"/>
              </w:rPr>
              <w:t>4</w:t>
            </w:r>
            <w:r w:rsidRPr="003F0721">
              <w:rPr>
                <w:color w:val="000000"/>
              </w:rPr>
              <w:t>)</w:t>
            </w:r>
          </w:p>
        </w:tc>
        <w:tc>
          <w:tcPr>
            <w:tcW w:w="2070" w:type="dxa"/>
            <w:vAlign w:val="bottom"/>
          </w:tcPr>
          <w:p w14:paraId="7EC97E15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(0/25)</w:t>
            </w:r>
          </w:p>
        </w:tc>
        <w:tc>
          <w:tcPr>
            <w:tcW w:w="1890" w:type="dxa"/>
          </w:tcPr>
          <w:p w14:paraId="12F6F8B9" w14:textId="77777777" w:rsidR="003F0721" w:rsidRPr="003F0721" w:rsidRDefault="003F0721" w:rsidP="00CB031B">
            <w:pPr>
              <w:rPr>
                <w:color w:val="000000"/>
              </w:rPr>
            </w:pPr>
            <w:r w:rsidRPr="003F0721">
              <w:rPr>
                <w:color w:val="000000"/>
              </w:rPr>
              <w:t>0% (0/9)</w:t>
            </w:r>
          </w:p>
        </w:tc>
        <w:tc>
          <w:tcPr>
            <w:tcW w:w="990" w:type="dxa"/>
            <w:vAlign w:val="bottom"/>
          </w:tcPr>
          <w:p w14:paraId="27B085E2" w14:textId="753B0800" w:rsidR="003F0721" w:rsidRPr="003F0721" w:rsidRDefault="00873062" w:rsidP="00CB031B">
            <w:pPr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</w:tr>
    </w:tbl>
    <w:p w14:paraId="17277A8C" w14:textId="77777777" w:rsidR="003F0721" w:rsidRDefault="003F0721" w:rsidP="003F0721"/>
    <w:p w14:paraId="45877099" w14:textId="2910AB51" w:rsidR="003F0721" w:rsidRPr="00D83330" w:rsidRDefault="003F0721" w:rsidP="003F0721">
      <w:pPr>
        <w:spacing w:line="480" w:lineRule="auto"/>
        <w:rPr>
          <w:rFonts w:eastAsia="Arial"/>
          <w:b/>
        </w:rPr>
      </w:pPr>
      <w:r>
        <w:rPr>
          <w:rFonts w:eastAsia="Arial"/>
          <w:b/>
        </w:rPr>
        <w:t xml:space="preserve">Supplemental </w:t>
      </w:r>
      <w:r w:rsidR="008B2D36">
        <w:rPr>
          <w:rFonts w:eastAsia="Arial"/>
          <w:b/>
        </w:rPr>
        <w:t>Table</w:t>
      </w:r>
      <w:r>
        <w:rPr>
          <w:rFonts w:eastAsia="Arial"/>
          <w:b/>
        </w:rPr>
        <w:t xml:space="preserve"> S</w:t>
      </w:r>
      <w:r w:rsidR="006D226A">
        <w:rPr>
          <w:rFonts w:eastAsia="Arial"/>
          <w:b/>
        </w:rPr>
        <w:t>5</w:t>
      </w:r>
      <w:r>
        <w:rPr>
          <w:rFonts w:eastAsia="Arial"/>
          <w:b/>
        </w:rPr>
        <w:t xml:space="preserve">. </w:t>
      </w:r>
      <w:r>
        <w:t xml:space="preserve">Adverse events of severity of neutropenia and elevated LFTs stratified by severity according to CTCAE. </w:t>
      </w:r>
      <w:r w:rsidR="00C41DDF">
        <w:rPr>
          <w:rFonts w:eastAsia="Arial"/>
        </w:rPr>
        <w:t xml:space="preserve">The </w:t>
      </w:r>
      <w:proofErr w:type="spellStart"/>
      <w:r w:rsidR="00C41DDF">
        <w:rPr>
          <w:rFonts w:eastAsia="Arial"/>
        </w:rPr>
        <w:t>IVIG+anakinra</w:t>
      </w:r>
      <w:proofErr w:type="spellEnd"/>
      <w:r w:rsidR="00C41DDF">
        <w:rPr>
          <w:rFonts w:eastAsia="Arial"/>
        </w:rPr>
        <w:t xml:space="preserve"> group includes patients who were treated both with CS and without CS.</w:t>
      </w:r>
    </w:p>
    <w:sectPr w:rsidR="003F0721" w:rsidRPr="00D83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B0FB" w14:textId="77777777" w:rsidR="00446DC1" w:rsidRDefault="00446DC1" w:rsidP="002C6643">
      <w:r>
        <w:separator/>
      </w:r>
    </w:p>
  </w:endnote>
  <w:endnote w:type="continuationSeparator" w:id="0">
    <w:p w14:paraId="2EC7F326" w14:textId="77777777" w:rsidR="00446DC1" w:rsidRDefault="00446DC1" w:rsidP="002C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79A3" w14:textId="77777777" w:rsidR="00446DC1" w:rsidRDefault="00446DC1" w:rsidP="002C6643">
      <w:r>
        <w:separator/>
      </w:r>
    </w:p>
  </w:footnote>
  <w:footnote w:type="continuationSeparator" w:id="0">
    <w:p w14:paraId="39E5FB28" w14:textId="77777777" w:rsidR="00446DC1" w:rsidRDefault="00446DC1" w:rsidP="002C6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A1"/>
    <w:rsid w:val="00080E94"/>
    <w:rsid w:val="000E469D"/>
    <w:rsid w:val="00154A49"/>
    <w:rsid w:val="001559CE"/>
    <w:rsid w:val="001862FF"/>
    <w:rsid w:val="00212B8B"/>
    <w:rsid w:val="0026312E"/>
    <w:rsid w:val="0026639A"/>
    <w:rsid w:val="002B0729"/>
    <w:rsid w:val="002C6643"/>
    <w:rsid w:val="002E301C"/>
    <w:rsid w:val="003703BF"/>
    <w:rsid w:val="0038564E"/>
    <w:rsid w:val="003F0721"/>
    <w:rsid w:val="00446DC1"/>
    <w:rsid w:val="004514F9"/>
    <w:rsid w:val="00493D1A"/>
    <w:rsid w:val="004A7A4F"/>
    <w:rsid w:val="004D3F2A"/>
    <w:rsid w:val="0050116F"/>
    <w:rsid w:val="0052583F"/>
    <w:rsid w:val="0055700D"/>
    <w:rsid w:val="00564C57"/>
    <w:rsid w:val="005D5AE4"/>
    <w:rsid w:val="00615999"/>
    <w:rsid w:val="006A2D97"/>
    <w:rsid w:val="006D226A"/>
    <w:rsid w:val="00771B4F"/>
    <w:rsid w:val="00794DAC"/>
    <w:rsid w:val="007B49FC"/>
    <w:rsid w:val="007B6AE8"/>
    <w:rsid w:val="00873062"/>
    <w:rsid w:val="0087494E"/>
    <w:rsid w:val="008B2D36"/>
    <w:rsid w:val="008E3BB2"/>
    <w:rsid w:val="008E3FD9"/>
    <w:rsid w:val="008F0C15"/>
    <w:rsid w:val="00905620"/>
    <w:rsid w:val="00930518"/>
    <w:rsid w:val="00947CEF"/>
    <w:rsid w:val="00996DDB"/>
    <w:rsid w:val="009E65A1"/>
    <w:rsid w:val="009F6685"/>
    <w:rsid w:val="00A53CB7"/>
    <w:rsid w:val="00A57352"/>
    <w:rsid w:val="00A72FC2"/>
    <w:rsid w:val="00A849C4"/>
    <w:rsid w:val="00AF056E"/>
    <w:rsid w:val="00B86B69"/>
    <w:rsid w:val="00BA7141"/>
    <w:rsid w:val="00BD0FA8"/>
    <w:rsid w:val="00C177C3"/>
    <w:rsid w:val="00C303B4"/>
    <w:rsid w:val="00C3081C"/>
    <w:rsid w:val="00C31DAE"/>
    <w:rsid w:val="00C41DDF"/>
    <w:rsid w:val="00C906C4"/>
    <w:rsid w:val="00CA5B74"/>
    <w:rsid w:val="00D1082E"/>
    <w:rsid w:val="00D24074"/>
    <w:rsid w:val="00D66CBE"/>
    <w:rsid w:val="00D83330"/>
    <w:rsid w:val="00D85820"/>
    <w:rsid w:val="00D96070"/>
    <w:rsid w:val="00DB4B04"/>
    <w:rsid w:val="00E00488"/>
    <w:rsid w:val="00ED6A07"/>
    <w:rsid w:val="00F70BA3"/>
    <w:rsid w:val="00FC347F"/>
    <w:rsid w:val="00F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9CD2"/>
  <w15:chartTrackingRefBased/>
  <w15:docId w15:val="{49E5AD1E-2EE0-394D-B6C5-E6E9DB33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3B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3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3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3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3B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3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3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3BF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3BF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3BF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3BF"/>
    <w:rPr>
      <w:rFonts w:ascii="Times New Roman" w:eastAsia="Times New Roman" w:hAnsi="Times New Roman" w:cs="Times New Roman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3BF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3BF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703B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703BF"/>
    <w:rPr>
      <w:rFonts w:ascii="Times New Roman" w:eastAsia="Times New Roman" w:hAnsi="Times New Roman" w:cs="Times New Roman"/>
      <w:b/>
      <w:sz w:val="72"/>
      <w:szCs w:val="7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03BF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03BF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3703BF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3703BF"/>
    <w:pPr>
      <w:jc w:val="center"/>
    </w:pPr>
    <w:rPr>
      <w:rFonts w:ascii="Arial" w:eastAsia="Calibri" w:hAnsi="Arial" w:cs="Arial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03BF"/>
    <w:rPr>
      <w:rFonts w:ascii="Arial" w:eastAsia="Calibri" w:hAnsi="Arial" w:cs="Arial"/>
      <w:sz w:val="20"/>
    </w:rPr>
  </w:style>
  <w:style w:type="paragraph" w:customStyle="1" w:styleId="EndNoteBibliography">
    <w:name w:val="EndNote Bibliography"/>
    <w:basedOn w:val="Normal"/>
    <w:link w:val="EndNoteBibliographyChar"/>
    <w:rsid w:val="003703BF"/>
    <w:rPr>
      <w:rFonts w:ascii="Arial" w:eastAsia="Calibri" w:hAnsi="Arial" w:cs="Arial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3703BF"/>
    <w:rPr>
      <w:rFonts w:ascii="Arial" w:eastAsia="Calibri" w:hAnsi="Arial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3BF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03BF"/>
    <w:rPr>
      <w:rFonts w:ascii="Calibri" w:eastAsia="Calibri" w:hAnsi="Calibri" w:cs="Calibri"/>
    </w:rPr>
  </w:style>
  <w:style w:type="character" w:customStyle="1" w:styleId="normaltextrun">
    <w:name w:val="normaltextrun"/>
    <w:basedOn w:val="DefaultParagraphFont"/>
    <w:rsid w:val="003703BF"/>
  </w:style>
  <w:style w:type="character" w:styleId="Hyperlink">
    <w:name w:val="Hyperlink"/>
    <w:basedOn w:val="DefaultParagraphFont"/>
    <w:uiPriority w:val="99"/>
    <w:unhideWhenUsed/>
    <w:rsid w:val="003703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3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03B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703B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703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703BF"/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703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3B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0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3BF"/>
    <w:rPr>
      <w:rFonts w:ascii="Times New Roman" w:eastAsia="Times New Roman" w:hAnsi="Times New Roman" w:cs="Times New Roman"/>
    </w:rPr>
  </w:style>
  <w:style w:type="paragraph" w:customStyle="1" w:styleId="para">
    <w:name w:val="para"/>
    <w:basedOn w:val="Normal"/>
    <w:rsid w:val="003703B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3703BF"/>
  </w:style>
  <w:style w:type="paragraph" w:styleId="ListParagraph">
    <w:name w:val="List Paragraph"/>
    <w:basedOn w:val="Normal"/>
    <w:uiPriority w:val="34"/>
    <w:qFormat/>
    <w:rsid w:val="00A53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Dizon, Brian (NIH/NIAMS) [E]</dc:creator>
  <cp:keywords/>
  <dc:description/>
  <cp:lastModifiedBy>Dizon, Brian (NIH/NIAMS) [E]</cp:lastModifiedBy>
  <cp:revision>9</cp:revision>
  <dcterms:created xsi:type="dcterms:W3CDTF">2022-12-05T20:42:00Z</dcterms:created>
  <dcterms:modified xsi:type="dcterms:W3CDTF">2023-01-06T05:42:00Z</dcterms:modified>
</cp:coreProperties>
</file>