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p>
    <w:p>
      <w:pPr>
        <w:rPr>
          <w:rFonts w:hint="eastAsia"/>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1562"/>
        <w:gridCol w:w="670"/>
        <w:gridCol w:w="895"/>
        <w:gridCol w:w="671"/>
        <w:gridCol w:w="1225"/>
        <w:gridCol w:w="671"/>
        <w:gridCol w:w="671"/>
        <w:gridCol w:w="1062"/>
        <w:gridCol w:w="1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8522" w:type="dxa"/>
            <w:gridSpan w:val="9"/>
            <w:tcBorders>
              <w:left w:val="nil"/>
              <w:bottom w:val="nil"/>
              <w:right w:val="nil"/>
            </w:tcBorders>
            <w:vAlign w:val="center"/>
          </w:tcPr>
          <w:p>
            <w:pPr>
              <w:numPr>
                <w:ilvl w:val="0"/>
                <w:numId w:val="1"/>
              </w:numPr>
              <w:ind w:leftChars="0"/>
              <w:jc w:val="center"/>
              <w:rPr>
                <w:rFonts w:hint="default" w:ascii="Arial" w:hAnsi="Arial" w:cs="Arial"/>
                <w:sz w:val="20"/>
                <w:szCs w:val="20"/>
                <w:vertAlign w:val="baseline"/>
              </w:rPr>
            </w:pPr>
            <w:r>
              <w:rPr>
                <w:rFonts w:hint="default" w:ascii="Arial" w:hAnsi="Arial" w:cs="Arial"/>
                <w:b/>
                <w:bCs/>
                <w:sz w:val="20"/>
                <w:szCs w:val="20"/>
                <w:vertAlign w:val="baseline"/>
              </w:rPr>
              <w:t>Risk of Bias in Non</w:t>
            </w:r>
            <w:r>
              <w:rPr>
                <w:rFonts w:hint="eastAsia" w:ascii="Arial" w:hAnsi="Arial" w:cs="Arial"/>
                <w:b/>
                <w:bCs/>
                <w:sz w:val="20"/>
                <w:szCs w:val="20"/>
                <w:vertAlign w:val="baseline"/>
                <w:lang w:val="en-US" w:eastAsia="zh-CN"/>
              </w:rPr>
              <w:t xml:space="preserve"> </w:t>
            </w:r>
            <w:r>
              <w:rPr>
                <w:rFonts w:hint="default" w:ascii="Arial" w:hAnsi="Arial" w:cs="Arial"/>
                <w:b/>
                <w:bCs/>
                <w:sz w:val="20"/>
                <w:szCs w:val="20"/>
                <w:vertAlign w:val="baseline"/>
              </w:rPr>
              <w:t>Randomized studies-of Intervention (ROBINS-I) tool for single-arm trials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485" w:type="dxa"/>
            <w:tcBorders>
              <w:top w:val="nil"/>
              <w:left w:val="nil"/>
              <w:right w:val="nil"/>
            </w:tcBorders>
            <w:vAlign w:val="center"/>
          </w:tcPr>
          <w:p>
            <w:pPr>
              <w:keepNext w:val="0"/>
              <w:keepLines w:val="0"/>
              <w:widowControl/>
              <w:suppressLineNumbers w:val="0"/>
              <w:jc w:val="center"/>
              <w:textAlignment w:val="center"/>
              <w:rPr>
                <w:rFonts w:hint="default" w:ascii="Arial" w:hAnsi="Arial" w:cs="Arial"/>
                <w:b/>
                <w:bCs/>
                <w:sz w:val="20"/>
                <w:szCs w:val="20"/>
                <w:vertAlign w:val="baseline"/>
              </w:rPr>
            </w:pPr>
            <w:r>
              <w:rPr>
                <w:rFonts w:hint="default" w:ascii="Arial" w:hAnsi="Arial" w:cs="Arial"/>
                <w:b/>
                <w:bCs/>
                <w:sz w:val="20"/>
                <w:szCs w:val="20"/>
                <w:vertAlign w:val="baseline"/>
              </w:rPr>
              <w:t>Study</w:t>
            </w:r>
          </w:p>
        </w:tc>
        <w:tc>
          <w:tcPr>
            <w:tcW w:w="708" w:type="dxa"/>
            <w:tcBorders>
              <w:top w:val="nil"/>
              <w:left w:val="nil"/>
              <w:right w:val="nil"/>
            </w:tcBorders>
            <w:vAlign w:val="center"/>
          </w:tcPr>
          <w:p>
            <w:pPr>
              <w:jc w:val="center"/>
              <w:rPr>
                <w:rFonts w:hint="default" w:ascii="Arial" w:hAnsi="Arial" w:cs="Arial"/>
                <w:b/>
                <w:bCs/>
                <w:sz w:val="20"/>
                <w:szCs w:val="20"/>
                <w:vertAlign w:val="baseline"/>
              </w:rPr>
            </w:pPr>
            <w:r>
              <w:rPr>
                <w:rFonts w:hint="default" w:ascii="Arial" w:hAnsi="Arial" w:cs="Arial"/>
                <w:b/>
                <w:bCs/>
                <w:sz w:val="20"/>
                <w:szCs w:val="20"/>
                <w:vertAlign w:val="baseline"/>
              </w:rPr>
              <w:t>Q1</w:t>
            </w:r>
          </w:p>
        </w:tc>
        <w:tc>
          <w:tcPr>
            <w:tcW w:w="853" w:type="dxa"/>
            <w:tcBorders>
              <w:top w:val="nil"/>
              <w:left w:val="nil"/>
              <w:right w:val="nil"/>
            </w:tcBorders>
            <w:vAlign w:val="center"/>
          </w:tcPr>
          <w:p>
            <w:pPr>
              <w:jc w:val="center"/>
              <w:rPr>
                <w:rFonts w:hint="default" w:ascii="Arial" w:hAnsi="Arial" w:cs="Arial" w:eastAsiaTheme="minorEastAsia"/>
                <w:b/>
                <w:bCs/>
                <w:sz w:val="20"/>
                <w:szCs w:val="20"/>
                <w:vertAlign w:val="baseline"/>
                <w:lang w:val="en-US" w:eastAsia="zh-CN"/>
              </w:rPr>
            </w:pPr>
            <w:r>
              <w:rPr>
                <w:rFonts w:hint="default" w:ascii="Arial" w:hAnsi="Arial" w:cs="Arial"/>
                <w:b/>
                <w:bCs/>
                <w:sz w:val="20"/>
                <w:szCs w:val="20"/>
                <w:vertAlign w:val="baseline"/>
                <w:lang w:val="en-US" w:eastAsia="zh-CN"/>
              </w:rPr>
              <w:t>Q2</w:t>
            </w:r>
          </w:p>
        </w:tc>
        <w:tc>
          <w:tcPr>
            <w:tcW w:w="708" w:type="dxa"/>
            <w:tcBorders>
              <w:top w:val="nil"/>
              <w:left w:val="nil"/>
              <w:right w:val="nil"/>
            </w:tcBorders>
            <w:vAlign w:val="center"/>
          </w:tcPr>
          <w:p>
            <w:pPr>
              <w:jc w:val="center"/>
              <w:rPr>
                <w:rFonts w:hint="default" w:ascii="Arial" w:hAnsi="Arial" w:cs="Arial" w:eastAsiaTheme="minorEastAsia"/>
                <w:b/>
                <w:bCs/>
                <w:sz w:val="20"/>
                <w:szCs w:val="20"/>
                <w:vertAlign w:val="baseline"/>
                <w:lang w:val="en-US" w:eastAsia="zh-CN"/>
              </w:rPr>
            </w:pPr>
            <w:r>
              <w:rPr>
                <w:rFonts w:hint="default" w:ascii="Arial" w:hAnsi="Arial" w:cs="Arial"/>
                <w:b/>
                <w:bCs/>
                <w:sz w:val="20"/>
                <w:szCs w:val="20"/>
                <w:vertAlign w:val="baseline"/>
                <w:lang w:val="en-US" w:eastAsia="zh-CN"/>
              </w:rPr>
              <w:t>Q3</w:t>
            </w:r>
          </w:p>
        </w:tc>
        <w:tc>
          <w:tcPr>
            <w:tcW w:w="1228" w:type="dxa"/>
            <w:tcBorders>
              <w:top w:val="nil"/>
              <w:left w:val="nil"/>
              <w:right w:val="nil"/>
            </w:tcBorders>
            <w:vAlign w:val="center"/>
          </w:tcPr>
          <w:p>
            <w:pPr>
              <w:jc w:val="center"/>
              <w:rPr>
                <w:rFonts w:hint="default" w:ascii="Arial" w:hAnsi="Arial" w:cs="Arial" w:eastAsiaTheme="minorEastAsia"/>
                <w:b/>
                <w:bCs/>
                <w:sz w:val="20"/>
                <w:szCs w:val="20"/>
                <w:vertAlign w:val="baseline"/>
                <w:lang w:val="en-US" w:eastAsia="zh-CN"/>
              </w:rPr>
            </w:pPr>
            <w:r>
              <w:rPr>
                <w:rFonts w:hint="default" w:ascii="Arial" w:hAnsi="Arial" w:cs="Arial"/>
                <w:b/>
                <w:bCs/>
                <w:sz w:val="20"/>
                <w:szCs w:val="20"/>
                <w:vertAlign w:val="baseline"/>
                <w:lang w:val="en-US" w:eastAsia="zh-CN"/>
              </w:rPr>
              <w:t>Q4</w:t>
            </w:r>
          </w:p>
        </w:tc>
        <w:tc>
          <w:tcPr>
            <w:tcW w:w="708" w:type="dxa"/>
            <w:tcBorders>
              <w:top w:val="nil"/>
              <w:left w:val="nil"/>
              <w:right w:val="nil"/>
            </w:tcBorders>
            <w:vAlign w:val="center"/>
          </w:tcPr>
          <w:p>
            <w:pPr>
              <w:jc w:val="center"/>
              <w:rPr>
                <w:rFonts w:hint="default" w:ascii="Arial" w:hAnsi="Arial" w:cs="Arial" w:eastAsiaTheme="minorEastAsia"/>
                <w:b/>
                <w:bCs/>
                <w:sz w:val="20"/>
                <w:szCs w:val="20"/>
                <w:vertAlign w:val="baseline"/>
                <w:lang w:val="en-US" w:eastAsia="zh-CN"/>
              </w:rPr>
            </w:pPr>
            <w:r>
              <w:rPr>
                <w:rFonts w:hint="default" w:ascii="Arial" w:hAnsi="Arial" w:cs="Arial"/>
                <w:b/>
                <w:bCs/>
                <w:sz w:val="20"/>
                <w:szCs w:val="20"/>
                <w:vertAlign w:val="baseline"/>
                <w:lang w:val="en-US" w:eastAsia="zh-CN"/>
              </w:rPr>
              <w:t>Q5</w:t>
            </w:r>
          </w:p>
        </w:tc>
        <w:tc>
          <w:tcPr>
            <w:tcW w:w="708" w:type="dxa"/>
            <w:tcBorders>
              <w:top w:val="nil"/>
              <w:left w:val="nil"/>
              <w:right w:val="nil"/>
            </w:tcBorders>
            <w:vAlign w:val="center"/>
          </w:tcPr>
          <w:p>
            <w:pPr>
              <w:jc w:val="center"/>
              <w:rPr>
                <w:rFonts w:hint="default" w:ascii="Arial" w:hAnsi="Arial" w:cs="Arial" w:eastAsiaTheme="minorEastAsia"/>
                <w:b/>
                <w:bCs/>
                <w:sz w:val="20"/>
                <w:szCs w:val="20"/>
                <w:vertAlign w:val="baseline"/>
                <w:lang w:val="en-US" w:eastAsia="zh-CN"/>
              </w:rPr>
            </w:pPr>
            <w:r>
              <w:rPr>
                <w:rFonts w:hint="default" w:ascii="Arial" w:hAnsi="Arial" w:cs="Arial"/>
                <w:b/>
                <w:bCs/>
                <w:sz w:val="20"/>
                <w:szCs w:val="20"/>
                <w:vertAlign w:val="baseline"/>
                <w:lang w:val="en-US" w:eastAsia="zh-CN"/>
              </w:rPr>
              <w:t>Q6</w:t>
            </w:r>
          </w:p>
        </w:tc>
        <w:tc>
          <w:tcPr>
            <w:tcW w:w="1062" w:type="dxa"/>
            <w:tcBorders>
              <w:top w:val="nil"/>
              <w:left w:val="nil"/>
              <w:right w:val="nil"/>
            </w:tcBorders>
            <w:vAlign w:val="center"/>
          </w:tcPr>
          <w:p>
            <w:pPr>
              <w:jc w:val="center"/>
              <w:rPr>
                <w:rFonts w:hint="default" w:ascii="Arial" w:hAnsi="Arial" w:cs="Arial" w:eastAsiaTheme="minorEastAsia"/>
                <w:b/>
                <w:bCs/>
                <w:sz w:val="20"/>
                <w:szCs w:val="20"/>
                <w:vertAlign w:val="baseline"/>
                <w:lang w:val="en-US" w:eastAsia="zh-CN"/>
              </w:rPr>
            </w:pPr>
            <w:r>
              <w:rPr>
                <w:rFonts w:hint="default" w:ascii="Arial" w:hAnsi="Arial" w:cs="Arial"/>
                <w:b/>
                <w:bCs/>
                <w:sz w:val="20"/>
                <w:szCs w:val="20"/>
                <w:vertAlign w:val="baseline"/>
                <w:lang w:val="en-US" w:eastAsia="zh-CN"/>
              </w:rPr>
              <w:t>Q7</w:t>
            </w:r>
          </w:p>
        </w:tc>
        <w:tc>
          <w:tcPr>
            <w:tcW w:w="1062" w:type="dxa"/>
            <w:tcBorders>
              <w:top w:val="nil"/>
              <w:left w:val="nil"/>
              <w:right w:val="nil"/>
            </w:tcBorders>
            <w:vAlign w:val="center"/>
          </w:tcPr>
          <w:p>
            <w:pPr>
              <w:jc w:val="center"/>
              <w:rPr>
                <w:rFonts w:hint="default" w:ascii="Arial" w:hAnsi="Arial" w:cs="Arial"/>
                <w:b/>
                <w:bCs/>
                <w:sz w:val="20"/>
                <w:szCs w:val="20"/>
                <w:vertAlign w:val="baseline"/>
              </w:rPr>
            </w:pPr>
            <w:r>
              <w:rPr>
                <w:rFonts w:hint="default" w:ascii="Arial" w:hAnsi="Arial" w:cs="Arial"/>
                <w:b/>
                <w:bCs/>
                <w:sz w:val="20"/>
                <w:szCs w:val="20"/>
                <w:vertAlign w:val="baseline"/>
              </w:rPr>
              <w:t>overall appraisal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485" w:type="dxa"/>
            <w:tcBorders>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De</w:t>
            </w:r>
            <w:r>
              <w:rPr>
                <w:rFonts w:hint="default" w:ascii="Arial" w:hAnsi="Arial" w:cs="Arial"/>
                <w:sz w:val="20"/>
                <w:szCs w:val="20"/>
                <w:vertAlign w:val="baseline"/>
                <w:lang w:val="en-US" w:eastAsia="zh-CN"/>
              </w:rPr>
              <w:t xml:space="preserve"> </w:t>
            </w:r>
            <w:r>
              <w:rPr>
                <w:rFonts w:hint="default" w:ascii="Arial" w:hAnsi="Arial" w:cs="Arial"/>
                <w:sz w:val="20"/>
                <w:szCs w:val="20"/>
                <w:vertAlign w:val="baseline"/>
              </w:rPr>
              <w:t>la Fuente, et al.</w:t>
            </w:r>
          </w:p>
        </w:tc>
        <w:tc>
          <w:tcPr>
            <w:tcW w:w="708" w:type="dxa"/>
            <w:tcBorders>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Low</w:t>
            </w:r>
          </w:p>
        </w:tc>
        <w:tc>
          <w:tcPr>
            <w:tcW w:w="853" w:type="dxa"/>
            <w:tcBorders>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Low</w:t>
            </w:r>
          </w:p>
        </w:tc>
        <w:tc>
          <w:tcPr>
            <w:tcW w:w="708" w:type="dxa"/>
            <w:tcBorders>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Low</w:t>
            </w:r>
          </w:p>
        </w:tc>
        <w:tc>
          <w:tcPr>
            <w:tcW w:w="1228" w:type="dxa"/>
            <w:tcBorders>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Serious</w:t>
            </w:r>
          </w:p>
        </w:tc>
        <w:tc>
          <w:tcPr>
            <w:tcW w:w="708" w:type="dxa"/>
            <w:tcBorders>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Low</w:t>
            </w:r>
          </w:p>
        </w:tc>
        <w:tc>
          <w:tcPr>
            <w:tcW w:w="708" w:type="dxa"/>
            <w:tcBorders>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Low</w:t>
            </w:r>
          </w:p>
        </w:tc>
        <w:tc>
          <w:tcPr>
            <w:tcW w:w="1062" w:type="dxa"/>
            <w:tcBorders>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Low</w:t>
            </w:r>
          </w:p>
        </w:tc>
        <w:tc>
          <w:tcPr>
            <w:tcW w:w="1062" w:type="dxa"/>
            <w:tcBorders>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Serious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485"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Kaburaki,et al.</w:t>
            </w:r>
          </w:p>
        </w:tc>
        <w:tc>
          <w:tcPr>
            <w:tcW w:w="708"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Low</w:t>
            </w:r>
          </w:p>
        </w:tc>
        <w:tc>
          <w:tcPr>
            <w:tcW w:w="853"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Low</w:t>
            </w:r>
          </w:p>
        </w:tc>
        <w:tc>
          <w:tcPr>
            <w:tcW w:w="708"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Low</w:t>
            </w:r>
          </w:p>
        </w:tc>
        <w:tc>
          <w:tcPr>
            <w:tcW w:w="1228"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Low</w:t>
            </w:r>
          </w:p>
        </w:tc>
        <w:tc>
          <w:tcPr>
            <w:tcW w:w="708"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Low</w:t>
            </w:r>
          </w:p>
        </w:tc>
        <w:tc>
          <w:tcPr>
            <w:tcW w:w="708"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Low</w:t>
            </w:r>
          </w:p>
        </w:tc>
        <w:tc>
          <w:tcPr>
            <w:tcW w:w="1062"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Low</w:t>
            </w:r>
          </w:p>
        </w:tc>
        <w:tc>
          <w:tcPr>
            <w:tcW w:w="1062"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Low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485"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Hoang-Xuan,et al.</w:t>
            </w:r>
          </w:p>
        </w:tc>
        <w:tc>
          <w:tcPr>
            <w:tcW w:w="708"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Low</w:t>
            </w:r>
          </w:p>
        </w:tc>
        <w:tc>
          <w:tcPr>
            <w:tcW w:w="853"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Serious</w:t>
            </w:r>
          </w:p>
        </w:tc>
        <w:tc>
          <w:tcPr>
            <w:tcW w:w="708"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Low</w:t>
            </w:r>
          </w:p>
        </w:tc>
        <w:tc>
          <w:tcPr>
            <w:tcW w:w="1228"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Critical</w:t>
            </w:r>
          </w:p>
        </w:tc>
        <w:tc>
          <w:tcPr>
            <w:tcW w:w="708" w:type="dxa"/>
            <w:tcBorders>
              <w:top w:val="nil"/>
              <w:left w:val="nil"/>
              <w:bottom w:val="nil"/>
              <w:right w:val="nil"/>
            </w:tcBorders>
            <w:vAlign w:val="center"/>
          </w:tcPr>
          <w:p>
            <w:pPr>
              <w:jc w:val="center"/>
              <w:rPr>
                <w:rFonts w:hint="default" w:ascii="Arial" w:hAnsi="Arial" w:cs="Arial" w:eastAsiaTheme="minorEastAsia"/>
                <w:sz w:val="20"/>
                <w:szCs w:val="20"/>
                <w:vertAlign w:val="baseline"/>
                <w:lang w:val="en-US" w:eastAsia="zh-CN"/>
              </w:rPr>
            </w:pPr>
            <w:r>
              <w:rPr>
                <w:rFonts w:hint="default" w:ascii="Arial" w:hAnsi="Arial" w:cs="Arial"/>
                <w:sz w:val="20"/>
                <w:szCs w:val="20"/>
                <w:vertAlign w:val="baseline"/>
              </w:rPr>
              <w:t>Low</w:t>
            </w:r>
          </w:p>
        </w:tc>
        <w:tc>
          <w:tcPr>
            <w:tcW w:w="708"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Low</w:t>
            </w:r>
          </w:p>
        </w:tc>
        <w:tc>
          <w:tcPr>
            <w:tcW w:w="1062"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Critical</w:t>
            </w:r>
          </w:p>
        </w:tc>
        <w:tc>
          <w:tcPr>
            <w:tcW w:w="1062"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Critical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485"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Akiyama,et al.</w:t>
            </w:r>
          </w:p>
        </w:tc>
        <w:tc>
          <w:tcPr>
            <w:tcW w:w="708"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Low</w:t>
            </w:r>
          </w:p>
        </w:tc>
        <w:tc>
          <w:tcPr>
            <w:tcW w:w="853"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Low</w:t>
            </w:r>
          </w:p>
        </w:tc>
        <w:tc>
          <w:tcPr>
            <w:tcW w:w="708"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Low</w:t>
            </w:r>
          </w:p>
        </w:tc>
        <w:tc>
          <w:tcPr>
            <w:tcW w:w="1228"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Critical</w:t>
            </w:r>
          </w:p>
        </w:tc>
        <w:tc>
          <w:tcPr>
            <w:tcW w:w="708"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Low</w:t>
            </w:r>
          </w:p>
        </w:tc>
        <w:tc>
          <w:tcPr>
            <w:tcW w:w="708"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Low</w:t>
            </w:r>
          </w:p>
        </w:tc>
        <w:tc>
          <w:tcPr>
            <w:tcW w:w="1062"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Low</w:t>
            </w:r>
          </w:p>
        </w:tc>
        <w:tc>
          <w:tcPr>
            <w:tcW w:w="1062"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Critical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485"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Taoka,et al.</w:t>
            </w:r>
          </w:p>
        </w:tc>
        <w:tc>
          <w:tcPr>
            <w:tcW w:w="708"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Low</w:t>
            </w:r>
          </w:p>
        </w:tc>
        <w:tc>
          <w:tcPr>
            <w:tcW w:w="853"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Low</w:t>
            </w:r>
          </w:p>
        </w:tc>
        <w:tc>
          <w:tcPr>
            <w:tcW w:w="708"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Low</w:t>
            </w:r>
          </w:p>
        </w:tc>
        <w:tc>
          <w:tcPr>
            <w:tcW w:w="1228"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No Information</w:t>
            </w:r>
          </w:p>
        </w:tc>
        <w:tc>
          <w:tcPr>
            <w:tcW w:w="708"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Low</w:t>
            </w:r>
          </w:p>
        </w:tc>
        <w:tc>
          <w:tcPr>
            <w:tcW w:w="708"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Low</w:t>
            </w:r>
          </w:p>
        </w:tc>
        <w:tc>
          <w:tcPr>
            <w:tcW w:w="1062"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Serious</w:t>
            </w:r>
          </w:p>
        </w:tc>
        <w:tc>
          <w:tcPr>
            <w:tcW w:w="1062"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Serious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485"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Soussain,et al.</w:t>
            </w:r>
          </w:p>
        </w:tc>
        <w:tc>
          <w:tcPr>
            <w:tcW w:w="708"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Low</w:t>
            </w:r>
          </w:p>
        </w:tc>
        <w:tc>
          <w:tcPr>
            <w:tcW w:w="853"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Low</w:t>
            </w:r>
          </w:p>
        </w:tc>
        <w:tc>
          <w:tcPr>
            <w:tcW w:w="708"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Low</w:t>
            </w:r>
          </w:p>
        </w:tc>
        <w:tc>
          <w:tcPr>
            <w:tcW w:w="1228"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Moderate</w:t>
            </w:r>
          </w:p>
        </w:tc>
        <w:tc>
          <w:tcPr>
            <w:tcW w:w="708"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Low</w:t>
            </w:r>
          </w:p>
        </w:tc>
        <w:tc>
          <w:tcPr>
            <w:tcW w:w="708"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Low</w:t>
            </w:r>
          </w:p>
        </w:tc>
        <w:tc>
          <w:tcPr>
            <w:tcW w:w="1062"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Moderate</w:t>
            </w:r>
          </w:p>
        </w:tc>
        <w:tc>
          <w:tcPr>
            <w:tcW w:w="1062"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Moderate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485"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Zhang,et al. (2022)</w:t>
            </w:r>
          </w:p>
        </w:tc>
        <w:tc>
          <w:tcPr>
            <w:tcW w:w="708"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Low</w:t>
            </w:r>
          </w:p>
        </w:tc>
        <w:tc>
          <w:tcPr>
            <w:tcW w:w="853"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Low</w:t>
            </w:r>
          </w:p>
        </w:tc>
        <w:tc>
          <w:tcPr>
            <w:tcW w:w="708"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Low</w:t>
            </w:r>
          </w:p>
        </w:tc>
        <w:tc>
          <w:tcPr>
            <w:tcW w:w="1228"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No Information</w:t>
            </w:r>
          </w:p>
        </w:tc>
        <w:tc>
          <w:tcPr>
            <w:tcW w:w="708"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Low</w:t>
            </w:r>
          </w:p>
        </w:tc>
        <w:tc>
          <w:tcPr>
            <w:tcW w:w="708"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Low</w:t>
            </w:r>
          </w:p>
        </w:tc>
        <w:tc>
          <w:tcPr>
            <w:tcW w:w="1062"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Critical</w:t>
            </w:r>
          </w:p>
        </w:tc>
        <w:tc>
          <w:tcPr>
            <w:tcW w:w="1062"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Critical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485"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Guan,et al.</w:t>
            </w:r>
          </w:p>
        </w:tc>
        <w:tc>
          <w:tcPr>
            <w:tcW w:w="708"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Low</w:t>
            </w:r>
          </w:p>
        </w:tc>
        <w:tc>
          <w:tcPr>
            <w:tcW w:w="853"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Serious</w:t>
            </w:r>
          </w:p>
        </w:tc>
        <w:tc>
          <w:tcPr>
            <w:tcW w:w="708"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Low</w:t>
            </w:r>
          </w:p>
        </w:tc>
        <w:tc>
          <w:tcPr>
            <w:tcW w:w="1228"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Low</w:t>
            </w:r>
          </w:p>
        </w:tc>
        <w:tc>
          <w:tcPr>
            <w:tcW w:w="708"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Low</w:t>
            </w:r>
          </w:p>
        </w:tc>
        <w:tc>
          <w:tcPr>
            <w:tcW w:w="708"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Low</w:t>
            </w:r>
          </w:p>
        </w:tc>
        <w:tc>
          <w:tcPr>
            <w:tcW w:w="1062"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Low</w:t>
            </w:r>
          </w:p>
        </w:tc>
        <w:tc>
          <w:tcPr>
            <w:tcW w:w="1062"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Serious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485"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Zhang,et al. (2021)</w:t>
            </w:r>
          </w:p>
        </w:tc>
        <w:tc>
          <w:tcPr>
            <w:tcW w:w="708"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Low</w:t>
            </w:r>
          </w:p>
        </w:tc>
        <w:tc>
          <w:tcPr>
            <w:tcW w:w="853"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Low</w:t>
            </w:r>
          </w:p>
        </w:tc>
        <w:tc>
          <w:tcPr>
            <w:tcW w:w="708"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Low</w:t>
            </w:r>
          </w:p>
        </w:tc>
        <w:tc>
          <w:tcPr>
            <w:tcW w:w="1228"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Moderate</w:t>
            </w:r>
          </w:p>
        </w:tc>
        <w:tc>
          <w:tcPr>
            <w:tcW w:w="708"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Low</w:t>
            </w:r>
          </w:p>
        </w:tc>
        <w:tc>
          <w:tcPr>
            <w:tcW w:w="708"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Low</w:t>
            </w:r>
          </w:p>
        </w:tc>
        <w:tc>
          <w:tcPr>
            <w:tcW w:w="1062"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Moderate</w:t>
            </w:r>
          </w:p>
        </w:tc>
        <w:tc>
          <w:tcPr>
            <w:tcW w:w="1062" w:type="dxa"/>
            <w:tcBorders>
              <w:top w:val="nil"/>
              <w:left w:val="nil"/>
              <w:bottom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Moderate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485" w:type="dxa"/>
            <w:tcBorders>
              <w:top w:val="nil"/>
              <w:left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Baron,et al.</w:t>
            </w:r>
          </w:p>
        </w:tc>
        <w:tc>
          <w:tcPr>
            <w:tcW w:w="708" w:type="dxa"/>
            <w:tcBorders>
              <w:top w:val="nil"/>
              <w:left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Low</w:t>
            </w:r>
          </w:p>
        </w:tc>
        <w:tc>
          <w:tcPr>
            <w:tcW w:w="853" w:type="dxa"/>
            <w:tcBorders>
              <w:top w:val="nil"/>
              <w:left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Serious</w:t>
            </w:r>
          </w:p>
        </w:tc>
        <w:tc>
          <w:tcPr>
            <w:tcW w:w="708" w:type="dxa"/>
            <w:tcBorders>
              <w:top w:val="nil"/>
              <w:left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Low</w:t>
            </w:r>
          </w:p>
        </w:tc>
        <w:tc>
          <w:tcPr>
            <w:tcW w:w="1228" w:type="dxa"/>
            <w:tcBorders>
              <w:top w:val="nil"/>
              <w:left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Moderate</w:t>
            </w:r>
          </w:p>
        </w:tc>
        <w:tc>
          <w:tcPr>
            <w:tcW w:w="708" w:type="dxa"/>
            <w:tcBorders>
              <w:top w:val="nil"/>
              <w:left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Low</w:t>
            </w:r>
          </w:p>
        </w:tc>
        <w:tc>
          <w:tcPr>
            <w:tcW w:w="708" w:type="dxa"/>
            <w:tcBorders>
              <w:top w:val="nil"/>
              <w:left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Low</w:t>
            </w:r>
          </w:p>
        </w:tc>
        <w:tc>
          <w:tcPr>
            <w:tcW w:w="1062" w:type="dxa"/>
            <w:tcBorders>
              <w:top w:val="nil"/>
              <w:left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Low</w:t>
            </w:r>
          </w:p>
        </w:tc>
        <w:tc>
          <w:tcPr>
            <w:tcW w:w="1062" w:type="dxa"/>
            <w:tcBorders>
              <w:top w:val="nil"/>
              <w:left w:val="nil"/>
              <w:right w:val="nil"/>
            </w:tcBorders>
            <w:vAlign w:val="center"/>
          </w:tcPr>
          <w:p>
            <w:pPr>
              <w:jc w:val="center"/>
              <w:rPr>
                <w:rFonts w:hint="default" w:ascii="Arial" w:hAnsi="Arial" w:cs="Arial"/>
                <w:sz w:val="20"/>
                <w:szCs w:val="20"/>
                <w:vertAlign w:val="baseline"/>
              </w:rPr>
            </w:pPr>
            <w:r>
              <w:rPr>
                <w:rFonts w:hint="default" w:ascii="Arial" w:hAnsi="Arial" w:cs="Arial"/>
                <w:sz w:val="20"/>
                <w:szCs w:val="20"/>
                <w:vertAlign w:val="baseline"/>
              </w:rPr>
              <w:t>Serious</w:t>
            </w:r>
          </w:p>
        </w:tc>
      </w:tr>
    </w:tbl>
    <w:p>
      <w:pPr>
        <w:rPr>
          <w:rFonts w:hint="eastAsia"/>
        </w:rPr>
      </w:pPr>
    </w:p>
    <w:p>
      <w:pPr>
        <w:rPr>
          <w:rFonts w:hint="eastAsia"/>
        </w:rPr>
      </w:pPr>
      <w:r>
        <w:rPr>
          <w:rFonts w:hint="eastAsia"/>
        </w:rPr>
        <w:t>Numbers for questions Q1–Q</w:t>
      </w:r>
      <w:r>
        <w:rPr>
          <w:rFonts w:hint="eastAsia"/>
          <w:lang w:val="en-US" w:eastAsia="zh-CN"/>
        </w:rPr>
        <w:t>7</w:t>
      </w:r>
      <w:r>
        <w:rPr>
          <w:rFonts w:hint="eastAsia"/>
        </w:rPr>
        <w:t xml:space="preserve"> in heading refer to:</w:t>
      </w:r>
      <w:r>
        <w:rPr>
          <w:rFonts w:hint="eastAsia"/>
          <w:lang w:val="en-US" w:eastAsia="zh-CN"/>
        </w:rPr>
        <w:t xml:space="preserve"> </w:t>
      </w:r>
      <w:r>
        <w:rPr>
          <w:rFonts w:hint="eastAsia"/>
        </w:rPr>
        <w:t xml:space="preserve">1) bias due to confounding, 2) bias in selection of participants into the study, 3) bias in classification of interventions, 4) bias due to deviations from intended interventions, 5) bias due to missing data, 6) bias in measurement of outcomes, and 7) bias in selection of the reported results. </w:t>
      </w:r>
    </w:p>
    <w:p>
      <w:pPr>
        <w:rPr>
          <w:rFonts w:hint="eastAsia"/>
        </w:rPr>
      </w:pPr>
    </w:p>
    <w:p>
      <w:pPr>
        <w:rPr>
          <w:rFonts w:hint="eastAsia"/>
        </w:rPr>
      </w:pPr>
    </w:p>
    <w:tbl>
      <w:tblPr>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363"/>
        <w:gridCol w:w="567"/>
        <w:gridCol w:w="567"/>
        <w:gridCol w:w="567"/>
        <w:gridCol w:w="656"/>
        <w:gridCol w:w="567"/>
        <w:gridCol w:w="567"/>
        <w:gridCol w:w="567"/>
        <w:gridCol w:w="658"/>
        <w:gridCol w:w="568"/>
        <w:gridCol w:w="665"/>
        <w:gridCol w:w="120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4" w:hRule="atLeast"/>
        </w:trPr>
        <w:tc>
          <w:tcPr>
            <w:tcW w:w="5000" w:type="pct"/>
            <w:gridSpan w:val="12"/>
            <w:tcBorders>
              <w:top w:val="single" w:color="auto" w:sz="4" w:space="0"/>
              <w:left w:val="nil"/>
              <w:bottom w:val="nil"/>
              <w:right w:val="nil"/>
            </w:tcBorders>
            <w:shd w:val="clear"/>
            <w:vAlign w:val="center"/>
          </w:tcPr>
          <w:p>
            <w:pPr>
              <w:keepNext w:val="0"/>
              <w:keepLines w:val="0"/>
              <w:widowControl/>
              <w:numPr>
                <w:ilvl w:val="0"/>
                <w:numId w:val="1"/>
              </w:numPr>
              <w:suppressLineNumbers w:val="0"/>
              <w:ind w:left="0" w:leftChars="0" w:firstLine="0" w:firstLineChars="0"/>
              <w:jc w:val="center"/>
              <w:textAlignment w:val="center"/>
              <w:rPr>
                <w:rFonts w:hint="default" w:ascii="Arial" w:hAnsi="Arial" w:eastAsia="等线" w:cs="Arial"/>
                <w:b/>
                <w:bCs/>
                <w:i w:val="0"/>
                <w:iCs w:val="0"/>
                <w:color w:val="000000"/>
                <w:kern w:val="0"/>
                <w:sz w:val="20"/>
                <w:szCs w:val="20"/>
                <w:u w:val="none"/>
                <w:bdr w:val="none" w:color="auto" w:sz="0" w:space="0"/>
                <w:lang w:val="en-US" w:eastAsia="zh-CN" w:bidi="ar"/>
              </w:rPr>
            </w:pPr>
            <w:r>
              <w:rPr>
                <w:rFonts w:hint="default" w:ascii="Arial" w:hAnsi="Arial" w:eastAsia="等线" w:cs="Arial"/>
                <w:b/>
                <w:bCs/>
                <w:i w:val="0"/>
                <w:iCs w:val="0"/>
                <w:color w:val="000000"/>
                <w:kern w:val="0"/>
                <w:sz w:val="20"/>
                <w:szCs w:val="20"/>
                <w:u w:val="none"/>
                <w:bdr w:val="none" w:color="auto" w:sz="0" w:space="0"/>
                <w:lang w:val="en-US" w:eastAsia="zh-CN" w:bidi="ar"/>
              </w:rPr>
              <w:t>JBI Critical Appraisal Checklist for Case Series for included retrospective studies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4" w:hRule="atLeast"/>
        </w:trPr>
        <w:tc>
          <w:tcPr>
            <w:tcW w:w="800" w:type="pct"/>
            <w:tcBorders>
              <w:top w:val="nil"/>
              <w:left w:val="nil"/>
              <w:bottom w:val="single" w:color="auto" w:sz="4" w:space="0"/>
              <w:right w:val="nil"/>
            </w:tcBorders>
            <w:shd w:val="clear"/>
            <w:vAlign w:val="center"/>
          </w:tcPr>
          <w:p>
            <w:pPr>
              <w:keepNext w:val="0"/>
              <w:keepLines w:val="0"/>
              <w:widowControl/>
              <w:suppressLineNumbers w:val="0"/>
              <w:jc w:val="center"/>
              <w:textAlignment w:val="center"/>
              <w:rPr>
                <w:rFonts w:hint="default" w:ascii="Arial" w:hAnsi="Arial" w:eastAsia="等线" w:cs="Arial"/>
                <w:b/>
                <w:bCs/>
                <w:i w:val="0"/>
                <w:iCs w:val="0"/>
                <w:color w:val="000000"/>
                <w:sz w:val="20"/>
                <w:szCs w:val="20"/>
                <w:u w:val="none"/>
              </w:rPr>
            </w:pPr>
            <w:r>
              <w:rPr>
                <w:rFonts w:hint="default" w:ascii="Arial" w:hAnsi="Arial" w:cs="Arial"/>
                <w:b/>
                <w:bCs/>
                <w:sz w:val="20"/>
                <w:szCs w:val="20"/>
                <w:vertAlign w:val="baseline"/>
              </w:rPr>
              <w:t>Study</w:t>
            </w:r>
          </w:p>
        </w:tc>
        <w:tc>
          <w:tcPr>
            <w:tcW w:w="333" w:type="pct"/>
            <w:tcBorders>
              <w:top w:val="nil"/>
              <w:left w:val="nil"/>
              <w:bottom w:val="single" w:color="auto" w:sz="4" w:space="0"/>
              <w:right w:val="nil"/>
            </w:tcBorders>
            <w:shd w:val="clear"/>
            <w:vAlign w:val="center"/>
          </w:tcPr>
          <w:p>
            <w:pPr>
              <w:keepNext w:val="0"/>
              <w:keepLines w:val="0"/>
              <w:widowControl/>
              <w:suppressLineNumbers w:val="0"/>
              <w:jc w:val="center"/>
              <w:textAlignment w:val="center"/>
              <w:rPr>
                <w:rFonts w:hint="default" w:ascii="Arial" w:hAnsi="Arial" w:eastAsia="等线" w:cs="Arial"/>
                <w:b/>
                <w:bCs/>
                <w:i w:val="0"/>
                <w:iCs w:val="0"/>
                <w:color w:val="000000"/>
                <w:sz w:val="20"/>
                <w:szCs w:val="20"/>
                <w:u w:val="none"/>
              </w:rPr>
            </w:pPr>
            <w:r>
              <w:rPr>
                <w:rFonts w:hint="default" w:ascii="Arial" w:hAnsi="Arial" w:eastAsia="等线" w:cs="Arial"/>
                <w:b/>
                <w:bCs/>
                <w:i w:val="0"/>
                <w:iCs w:val="0"/>
                <w:color w:val="000000"/>
                <w:kern w:val="0"/>
                <w:sz w:val="20"/>
                <w:szCs w:val="20"/>
                <w:u w:val="none"/>
                <w:bdr w:val="none" w:color="auto" w:sz="0" w:space="0"/>
                <w:lang w:val="en-US" w:eastAsia="zh-CN" w:bidi="ar"/>
              </w:rPr>
              <w:t>Q1</w:t>
            </w:r>
          </w:p>
        </w:tc>
        <w:tc>
          <w:tcPr>
            <w:tcW w:w="333" w:type="pct"/>
            <w:tcBorders>
              <w:top w:val="nil"/>
              <w:left w:val="nil"/>
              <w:bottom w:val="single" w:color="auto" w:sz="4" w:space="0"/>
              <w:right w:val="nil"/>
            </w:tcBorders>
            <w:shd w:val="clear"/>
            <w:vAlign w:val="center"/>
          </w:tcPr>
          <w:p>
            <w:pPr>
              <w:keepNext w:val="0"/>
              <w:keepLines w:val="0"/>
              <w:widowControl/>
              <w:suppressLineNumbers w:val="0"/>
              <w:jc w:val="center"/>
              <w:textAlignment w:val="center"/>
              <w:rPr>
                <w:rFonts w:hint="default" w:ascii="Arial" w:hAnsi="Arial" w:eastAsia="等线" w:cs="Arial"/>
                <w:b/>
                <w:bCs/>
                <w:i w:val="0"/>
                <w:iCs w:val="0"/>
                <w:color w:val="000000"/>
                <w:sz w:val="20"/>
                <w:szCs w:val="20"/>
                <w:u w:val="none"/>
              </w:rPr>
            </w:pPr>
            <w:r>
              <w:rPr>
                <w:rFonts w:hint="default" w:ascii="Arial" w:hAnsi="Arial" w:eastAsia="等线" w:cs="Arial"/>
                <w:b/>
                <w:bCs/>
                <w:i w:val="0"/>
                <w:iCs w:val="0"/>
                <w:color w:val="000000"/>
                <w:kern w:val="0"/>
                <w:sz w:val="20"/>
                <w:szCs w:val="20"/>
                <w:u w:val="none"/>
                <w:bdr w:val="none" w:color="auto" w:sz="0" w:space="0"/>
                <w:lang w:val="en-US" w:eastAsia="zh-CN" w:bidi="ar"/>
              </w:rPr>
              <w:t>Q2</w:t>
            </w:r>
          </w:p>
        </w:tc>
        <w:tc>
          <w:tcPr>
            <w:tcW w:w="333" w:type="pct"/>
            <w:tcBorders>
              <w:top w:val="nil"/>
              <w:left w:val="nil"/>
              <w:bottom w:val="single" w:color="auto" w:sz="4" w:space="0"/>
              <w:right w:val="nil"/>
            </w:tcBorders>
            <w:shd w:val="clear"/>
            <w:vAlign w:val="center"/>
          </w:tcPr>
          <w:p>
            <w:pPr>
              <w:keepNext w:val="0"/>
              <w:keepLines w:val="0"/>
              <w:widowControl/>
              <w:suppressLineNumbers w:val="0"/>
              <w:jc w:val="center"/>
              <w:textAlignment w:val="center"/>
              <w:rPr>
                <w:rFonts w:hint="default" w:ascii="Arial" w:hAnsi="Arial" w:eastAsia="等线" w:cs="Arial"/>
                <w:b/>
                <w:bCs/>
                <w:i w:val="0"/>
                <w:iCs w:val="0"/>
                <w:color w:val="000000"/>
                <w:sz w:val="20"/>
                <w:szCs w:val="20"/>
                <w:u w:val="none"/>
              </w:rPr>
            </w:pPr>
            <w:r>
              <w:rPr>
                <w:rFonts w:hint="default" w:ascii="Arial" w:hAnsi="Arial" w:eastAsia="等线" w:cs="Arial"/>
                <w:b/>
                <w:bCs/>
                <w:i w:val="0"/>
                <w:iCs w:val="0"/>
                <w:color w:val="000000"/>
                <w:kern w:val="0"/>
                <w:sz w:val="20"/>
                <w:szCs w:val="20"/>
                <w:u w:val="none"/>
                <w:bdr w:val="none" w:color="auto" w:sz="0" w:space="0"/>
                <w:lang w:val="en-US" w:eastAsia="zh-CN" w:bidi="ar"/>
              </w:rPr>
              <w:t>Q3</w:t>
            </w:r>
          </w:p>
        </w:tc>
        <w:tc>
          <w:tcPr>
            <w:tcW w:w="385" w:type="pct"/>
            <w:tcBorders>
              <w:top w:val="nil"/>
              <w:left w:val="nil"/>
              <w:bottom w:val="single" w:color="auto" w:sz="4" w:space="0"/>
              <w:right w:val="nil"/>
            </w:tcBorders>
            <w:shd w:val="clear"/>
            <w:vAlign w:val="center"/>
          </w:tcPr>
          <w:p>
            <w:pPr>
              <w:keepNext w:val="0"/>
              <w:keepLines w:val="0"/>
              <w:widowControl/>
              <w:suppressLineNumbers w:val="0"/>
              <w:jc w:val="center"/>
              <w:textAlignment w:val="center"/>
              <w:rPr>
                <w:rFonts w:hint="default" w:ascii="Arial" w:hAnsi="Arial" w:eastAsia="等线" w:cs="Arial"/>
                <w:b/>
                <w:bCs/>
                <w:i w:val="0"/>
                <w:iCs w:val="0"/>
                <w:color w:val="000000"/>
                <w:sz w:val="20"/>
                <w:szCs w:val="20"/>
                <w:u w:val="none"/>
              </w:rPr>
            </w:pPr>
            <w:r>
              <w:rPr>
                <w:rFonts w:hint="default" w:ascii="Arial" w:hAnsi="Arial" w:eastAsia="等线" w:cs="Arial"/>
                <w:b/>
                <w:bCs/>
                <w:i w:val="0"/>
                <w:iCs w:val="0"/>
                <w:color w:val="000000"/>
                <w:kern w:val="0"/>
                <w:sz w:val="20"/>
                <w:szCs w:val="20"/>
                <w:u w:val="none"/>
                <w:bdr w:val="none" w:color="auto" w:sz="0" w:space="0"/>
                <w:lang w:val="en-US" w:eastAsia="zh-CN" w:bidi="ar"/>
              </w:rPr>
              <w:t>Q4</w:t>
            </w:r>
          </w:p>
        </w:tc>
        <w:tc>
          <w:tcPr>
            <w:tcW w:w="333" w:type="pct"/>
            <w:tcBorders>
              <w:top w:val="nil"/>
              <w:left w:val="nil"/>
              <w:bottom w:val="single" w:color="auto" w:sz="4" w:space="0"/>
              <w:right w:val="nil"/>
            </w:tcBorders>
            <w:shd w:val="clear"/>
            <w:vAlign w:val="center"/>
          </w:tcPr>
          <w:p>
            <w:pPr>
              <w:keepNext w:val="0"/>
              <w:keepLines w:val="0"/>
              <w:widowControl/>
              <w:suppressLineNumbers w:val="0"/>
              <w:jc w:val="center"/>
              <w:textAlignment w:val="center"/>
              <w:rPr>
                <w:rFonts w:hint="default" w:ascii="Arial" w:hAnsi="Arial" w:eastAsia="等线" w:cs="Arial"/>
                <w:b/>
                <w:bCs/>
                <w:i w:val="0"/>
                <w:iCs w:val="0"/>
                <w:color w:val="000000"/>
                <w:sz w:val="20"/>
                <w:szCs w:val="20"/>
                <w:u w:val="none"/>
              </w:rPr>
            </w:pPr>
            <w:r>
              <w:rPr>
                <w:rFonts w:hint="default" w:ascii="Arial" w:hAnsi="Arial" w:eastAsia="等线" w:cs="Arial"/>
                <w:b/>
                <w:bCs/>
                <w:i w:val="0"/>
                <w:iCs w:val="0"/>
                <w:color w:val="000000"/>
                <w:kern w:val="0"/>
                <w:sz w:val="20"/>
                <w:szCs w:val="20"/>
                <w:u w:val="none"/>
                <w:bdr w:val="none" w:color="auto" w:sz="0" w:space="0"/>
                <w:lang w:val="en-US" w:eastAsia="zh-CN" w:bidi="ar"/>
              </w:rPr>
              <w:t>Q5</w:t>
            </w:r>
          </w:p>
        </w:tc>
        <w:tc>
          <w:tcPr>
            <w:tcW w:w="333" w:type="pct"/>
            <w:tcBorders>
              <w:top w:val="nil"/>
              <w:left w:val="nil"/>
              <w:bottom w:val="single" w:color="auto" w:sz="4" w:space="0"/>
              <w:right w:val="nil"/>
            </w:tcBorders>
            <w:shd w:val="clear"/>
            <w:vAlign w:val="center"/>
          </w:tcPr>
          <w:p>
            <w:pPr>
              <w:keepNext w:val="0"/>
              <w:keepLines w:val="0"/>
              <w:widowControl/>
              <w:suppressLineNumbers w:val="0"/>
              <w:jc w:val="center"/>
              <w:textAlignment w:val="center"/>
              <w:rPr>
                <w:rFonts w:hint="default" w:ascii="Arial" w:hAnsi="Arial" w:eastAsia="等线" w:cs="Arial"/>
                <w:b/>
                <w:bCs/>
                <w:i w:val="0"/>
                <w:iCs w:val="0"/>
                <w:color w:val="000000"/>
                <w:sz w:val="20"/>
                <w:szCs w:val="20"/>
                <w:u w:val="none"/>
              </w:rPr>
            </w:pPr>
            <w:r>
              <w:rPr>
                <w:rFonts w:hint="default" w:ascii="Arial" w:hAnsi="Arial" w:eastAsia="等线" w:cs="Arial"/>
                <w:b/>
                <w:bCs/>
                <w:i w:val="0"/>
                <w:iCs w:val="0"/>
                <w:color w:val="000000"/>
                <w:kern w:val="0"/>
                <w:sz w:val="20"/>
                <w:szCs w:val="20"/>
                <w:u w:val="none"/>
                <w:bdr w:val="none" w:color="auto" w:sz="0" w:space="0"/>
                <w:lang w:val="en-US" w:eastAsia="zh-CN" w:bidi="ar"/>
              </w:rPr>
              <w:t>Q6</w:t>
            </w:r>
          </w:p>
        </w:tc>
        <w:tc>
          <w:tcPr>
            <w:tcW w:w="333" w:type="pct"/>
            <w:tcBorders>
              <w:top w:val="nil"/>
              <w:left w:val="nil"/>
              <w:bottom w:val="single" w:color="auto" w:sz="4" w:space="0"/>
              <w:right w:val="nil"/>
            </w:tcBorders>
            <w:shd w:val="clear"/>
            <w:vAlign w:val="center"/>
          </w:tcPr>
          <w:p>
            <w:pPr>
              <w:keepNext w:val="0"/>
              <w:keepLines w:val="0"/>
              <w:widowControl/>
              <w:suppressLineNumbers w:val="0"/>
              <w:jc w:val="center"/>
              <w:textAlignment w:val="center"/>
              <w:rPr>
                <w:rFonts w:hint="default" w:ascii="Arial" w:hAnsi="Arial" w:eastAsia="等线" w:cs="Arial"/>
                <w:b/>
                <w:bCs/>
                <w:i w:val="0"/>
                <w:iCs w:val="0"/>
                <w:color w:val="000000"/>
                <w:sz w:val="20"/>
                <w:szCs w:val="20"/>
                <w:u w:val="none"/>
              </w:rPr>
            </w:pPr>
            <w:r>
              <w:rPr>
                <w:rFonts w:hint="default" w:ascii="Arial" w:hAnsi="Arial" w:eastAsia="等线" w:cs="Arial"/>
                <w:b/>
                <w:bCs/>
                <w:i w:val="0"/>
                <w:iCs w:val="0"/>
                <w:color w:val="000000"/>
                <w:kern w:val="0"/>
                <w:sz w:val="20"/>
                <w:szCs w:val="20"/>
                <w:u w:val="none"/>
                <w:bdr w:val="none" w:color="auto" w:sz="0" w:space="0"/>
                <w:lang w:val="en-US" w:eastAsia="zh-CN" w:bidi="ar"/>
              </w:rPr>
              <w:t>Q7</w:t>
            </w:r>
          </w:p>
        </w:tc>
        <w:tc>
          <w:tcPr>
            <w:tcW w:w="386" w:type="pct"/>
            <w:tcBorders>
              <w:top w:val="nil"/>
              <w:left w:val="nil"/>
              <w:bottom w:val="single" w:color="auto" w:sz="4" w:space="0"/>
              <w:right w:val="nil"/>
            </w:tcBorders>
            <w:shd w:val="clear"/>
            <w:vAlign w:val="center"/>
          </w:tcPr>
          <w:p>
            <w:pPr>
              <w:keepNext w:val="0"/>
              <w:keepLines w:val="0"/>
              <w:widowControl/>
              <w:suppressLineNumbers w:val="0"/>
              <w:jc w:val="center"/>
              <w:textAlignment w:val="center"/>
              <w:rPr>
                <w:rFonts w:hint="default" w:ascii="Arial" w:hAnsi="Arial" w:eastAsia="等线" w:cs="Arial"/>
                <w:b/>
                <w:bCs/>
                <w:i w:val="0"/>
                <w:iCs w:val="0"/>
                <w:color w:val="000000"/>
                <w:sz w:val="20"/>
                <w:szCs w:val="20"/>
                <w:u w:val="none"/>
              </w:rPr>
            </w:pPr>
            <w:r>
              <w:rPr>
                <w:rFonts w:hint="default" w:ascii="Arial" w:hAnsi="Arial" w:eastAsia="等线" w:cs="Arial"/>
                <w:b/>
                <w:bCs/>
                <w:i w:val="0"/>
                <w:iCs w:val="0"/>
                <w:color w:val="000000"/>
                <w:kern w:val="0"/>
                <w:sz w:val="20"/>
                <w:szCs w:val="20"/>
                <w:u w:val="none"/>
                <w:bdr w:val="none" w:color="auto" w:sz="0" w:space="0"/>
                <w:lang w:val="en-US" w:eastAsia="zh-CN" w:bidi="ar"/>
              </w:rPr>
              <w:t>Q8</w:t>
            </w:r>
          </w:p>
        </w:tc>
        <w:tc>
          <w:tcPr>
            <w:tcW w:w="333" w:type="pct"/>
            <w:tcBorders>
              <w:top w:val="nil"/>
              <w:left w:val="nil"/>
              <w:bottom w:val="single" w:color="auto" w:sz="4" w:space="0"/>
              <w:right w:val="nil"/>
            </w:tcBorders>
            <w:shd w:val="clear"/>
            <w:vAlign w:val="center"/>
          </w:tcPr>
          <w:p>
            <w:pPr>
              <w:keepNext w:val="0"/>
              <w:keepLines w:val="0"/>
              <w:widowControl/>
              <w:suppressLineNumbers w:val="0"/>
              <w:jc w:val="center"/>
              <w:textAlignment w:val="center"/>
              <w:rPr>
                <w:rFonts w:hint="default" w:ascii="Arial" w:hAnsi="Arial" w:eastAsia="等线" w:cs="Arial"/>
                <w:b/>
                <w:bCs/>
                <w:i w:val="0"/>
                <w:iCs w:val="0"/>
                <w:color w:val="000000"/>
                <w:sz w:val="20"/>
                <w:szCs w:val="20"/>
                <w:u w:val="none"/>
              </w:rPr>
            </w:pPr>
            <w:r>
              <w:rPr>
                <w:rFonts w:hint="default" w:ascii="Arial" w:hAnsi="Arial" w:eastAsia="等线" w:cs="Arial"/>
                <w:b/>
                <w:bCs/>
                <w:i w:val="0"/>
                <w:iCs w:val="0"/>
                <w:color w:val="000000"/>
                <w:kern w:val="0"/>
                <w:sz w:val="20"/>
                <w:szCs w:val="20"/>
                <w:u w:val="none"/>
                <w:bdr w:val="none" w:color="auto" w:sz="0" w:space="0"/>
                <w:lang w:val="en-US" w:eastAsia="zh-CN" w:bidi="ar"/>
              </w:rPr>
              <w:t>Q9</w:t>
            </w:r>
          </w:p>
        </w:tc>
        <w:tc>
          <w:tcPr>
            <w:tcW w:w="390" w:type="pct"/>
            <w:tcBorders>
              <w:top w:val="nil"/>
              <w:left w:val="nil"/>
              <w:bottom w:val="single" w:color="auto" w:sz="4" w:space="0"/>
              <w:right w:val="nil"/>
            </w:tcBorders>
            <w:shd w:val="clear"/>
            <w:vAlign w:val="center"/>
          </w:tcPr>
          <w:p>
            <w:pPr>
              <w:keepNext w:val="0"/>
              <w:keepLines w:val="0"/>
              <w:widowControl/>
              <w:suppressLineNumbers w:val="0"/>
              <w:jc w:val="center"/>
              <w:textAlignment w:val="center"/>
              <w:rPr>
                <w:rFonts w:hint="default" w:ascii="Arial" w:hAnsi="Arial" w:eastAsia="等线" w:cs="Arial"/>
                <w:b/>
                <w:bCs/>
                <w:i w:val="0"/>
                <w:iCs w:val="0"/>
                <w:color w:val="000000"/>
                <w:sz w:val="20"/>
                <w:szCs w:val="20"/>
                <w:u w:val="none"/>
              </w:rPr>
            </w:pPr>
            <w:r>
              <w:rPr>
                <w:rFonts w:hint="default" w:ascii="Arial" w:hAnsi="Arial" w:eastAsia="等线" w:cs="Arial"/>
                <w:b/>
                <w:bCs/>
                <w:i w:val="0"/>
                <w:iCs w:val="0"/>
                <w:color w:val="000000"/>
                <w:kern w:val="0"/>
                <w:sz w:val="20"/>
                <w:szCs w:val="20"/>
                <w:u w:val="none"/>
                <w:bdr w:val="none" w:color="auto" w:sz="0" w:space="0"/>
                <w:lang w:val="en-US" w:eastAsia="zh-CN" w:bidi="ar"/>
              </w:rPr>
              <w:t>Q10</w:t>
            </w:r>
          </w:p>
        </w:tc>
        <w:tc>
          <w:tcPr>
            <w:tcW w:w="704" w:type="pct"/>
            <w:tcBorders>
              <w:top w:val="nil"/>
              <w:left w:val="nil"/>
              <w:bottom w:val="single" w:color="auto" w:sz="4" w:space="0"/>
              <w:right w:val="nil"/>
            </w:tcBorders>
            <w:shd w:val="clear"/>
            <w:vAlign w:val="center"/>
          </w:tcPr>
          <w:p>
            <w:pPr>
              <w:keepNext w:val="0"/>
              <w:keepLines w:val="0"/>
              <w:widowControl/>
              <w:suppressLineNumbers w:val="0"/>
              <w:jc w:val="center"/>
              <w:textAlignment w:val="center"/>
              <w:rPr>
                <w:rFonts w:hint="default" w:ascii="Arial" w:hAnsi="Arial" w:eastAsia="等线" w:cs="Arial"/>
                <w:b/>
                <w:bCs/>
                <w:i w:val="0"/>
                <w:iCs w:val="0"/>
                <w:color w:val="000000"/>
                <w:sz w:val="20"/>
                <w:szCs w:val="20"/>
                <w:u w:val="none"/>
              </w:rPr>
            </w:pPr>
            <w:r>
              <w:rPr>
                <w:rFonts w:hint="default" w:ascii="Arial" w:hAnsi="Arial" w:eastAsia="等线" w:cs="Arial"/>
                <w:b/>
                <w:bCs/>
                <w:i w:val="0"/>
                <w:iCs w:val="0"/>
                <w:color w:val="000000"/>
                <w:kern w:val="0"/>
                <w:sz w:val="20"/>
                <w:szCs w:val="20"/>
                <w:u w:val="none"/>
                <w:bdr w:val="none" w:color="auto" w:sz="0" w:space="0"/>
                <w:lang w:val="en-US" w:eastAsia="zh-CN" w:bidi="ar"/>
              </w:rPr>
              <w:t>overall appraisal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800" w:type="pct"/>
            <w:tcBorders>
              <w:top w:val="single" w:color="auto" w:sz="4" w:space="0"/>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Zhou,et al.</w:t>
            </w:r>
          </w:p>
        </w:tc>
        <w:tc>
          <w:tcPr>
            <w:tcW w:w="333" w:type="pct"/>
            <w:tcBorders>
              <w:top w:val="single" w:color="auto" w:sz="4" w:space="0"/>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333" w:type="pct"/>
            <w:tcBorders>
              <w:top w:val="single" w:color="auto" w:sz="4" w:space="0"/>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333" w:type="pct"/>
            <w:tcBorders>
              <w:top w:val="single" w:color="auto" w:sz="4" w:space="0"/>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385" w:type="pct"/>
            <w:tcBorders>
              <w:top w:val="single" w:color="auto" w:sz="4" w:space="0"/>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333" w:type="pct"/>
            <w:tcBorders>
              <w:top w:val="single" w:color="auto" w:sz="4" w:space="0"/>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333" w:type="pct"/>
            <w:tcBorders>
              <w:top w:val="single" w:color="auto" w:sz="4" w:space="0"/>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333" w:type="pct"/>
            <w:tcBorders>
              <w:top w:val="single" w:color="auto" w:sz="4" w:space="0"/>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386" w:type="pct"/>
            <w:tcBorders>
              <w:top w:val="single" w:color="auto" w:sz="4" w:space="0"/>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333" w:type="pct"/>
            <w:tcBorders>
              <w:top w:val="single" w:color="auto" w:sz="4" w:space="0"/>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390" w:type="pct"/>
            <w:tcBorders>
              <w:top w:val="single" w:color="auto" w:sz="4" w:space="0"/>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704" w:type="pct"/>
            <w:tcBorders>
              <w:top w:val="single" w:color="auto" w:sz="4" w:space="0"/>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Inclued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800" w:type="pct"/>
            <w:tcBorders>
              <w:top w:val="nil"/>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Anthony,et al.</w:t>
            </w:r>
          </w:p>
        </w:tc>
        <w:tc>
          <w:tcPr>
            <w:tcW w:w="333" w:type="pct"/>
            <w:tcBorders>
              <w:top w:val="nil"/>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333" w:type="pct"/>
            <w:tcBorders>
              <w:top w:val="nil"/>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333" w:type="pct"/>
            <w:tcBorders>
              <w:top w:val="nil"/>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385" w:type="pct"/>
            <w:tcBorders>
              <w:top w:val="nil"/>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No</w:t>
            </w:r>
          </w:p>
        </w:tc>
        <w:tc>
          <w:tcPr>
            <w:tcW w:w="333" w:type="pct"/>
            <w:tcBorders>
              <w:top w:val="nil"/>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333" w:type="pct"/>
            <w:tcBorders>
              <w:top w:val="nil"/>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333" w:type="pct"/>
            <w:tcBorders>
              <w:top w:val="nil"/>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No</w:t>
            </w:r>
          </w:p>
        </w:tc>
        <w:tc>
          <w:tcPr>
            <w:tcW w:w="386" w:type="pct"/>
            <w:tcBorders>
              <w:top w:val="nil"/>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333" w:type="pct"/>
            <w:tcBorders>
              <w:top w:val="nil"/>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390" w:type="pct"/>
            <w:tcBorders>
              <w:top w:val="nil"/>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704" w:type="pct"/>
            <w:tcBorders>
              <w:top w:val="nil"/>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Inclued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800" w:type="pct"/>
            <w:tcBorders>
              <w:top w:val="nil"/>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Hsu,et al.</w:t>
            </w:r>
          </w:p>
        </w:tc>
        <w:tc>
          <w:tcPr>
            <w:tcW w:w="333" w:type="pct"/>
            <w:tcBorders>
              <w:top w:val="nil"/>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333" w:type="pct"/>
            <w:tcBorders>
              <w:top w:val="nil"/>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333" w:type="pct"/>
            <w:tcBorders>
              <w:top w:val="nil"/>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385" w:type="pct"/>
            <w:tcBorders>
              <w:top w:val="nil"/>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333" w:type="pct"/>
            <w:tcBorders>
              <w:top w:val="nil"/>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333" w:type="pct"/>
            <w:tcBorders>
              <w:top w:val="nil"/>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333" w:type="pct"/>
            <w:tcBorders>
              <w:top w:val="nil"/>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386" w:type="pct"/>
            <w:tcBorders>
              <w:top w:val="nil"/>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333" w:type="pct"/>
            <w:tcBorders>
              <w:top w:val="nil"/>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390" w:type="pct"/>
            <w:tcBorders>
              <w:top w:val="nil"/>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704" w:type="pct"/>
            <w:tcBorders>
              <w:top w:val="nil"/>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Inclued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800" w:type="pct"/>
            <w:tcBorders>
              <w:top w:val="nil"/>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Ma,et al.</w:t>
            </w:r>
          </w:p>
        </w:tc>
        <w:tc>
          <w:tcPr>
            <w:tcW w:w="333" w:type="pct"/>
            <w:tcBorders>
              <w:top w:val="nil"/>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333" w:type="pct"/>
            <w:tcBorders>
              <w:top w:val="nil"/>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333" w:type="pct"/>
            <w:tcBorders>
              <w:top w:val="nil"/>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385" w:type="pct"/>
            <w:tcBorders>
              <w:top w:val="nil"/>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333" w:type="pct"/>
            <w:tcBorders>
              <w:top w:val="nil"/>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333" w:type="pct"/>
            <w:tcBorders>
              <w:top w:val="nil"/>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333" w:type="pct"/>
            <w:tcBorders>
              <w:top w:val="nil"/>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386" w:type="pct"/>
            <w:tcBorders>
              <w:top w:val="nil"/>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333" w:type="pct"/>
            <w:tcBorders>
              <w:top w:val="nil"/>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390" w:type="pct"/>
            <w:tcBorders>
              <w:top w:val="nil"/>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704" w:type="pct"/>
            <w:tcBorders>
              <w:top w:val="nil"/>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Inclued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800" w:type="pct"/>
            <w:tcBorders>
              <w:top w:val="nil"/>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Lam,et al.</w:t>
            </w:r>
          </w:p>
        </w:tc>
        <w:tc>
          <w:tcPr>
            <w:tcW w:w="333" w:type="pct"/>
            <w:tcBorders>
              <w:top w:val="nil"/>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333" w:type="pct"/>
            <w:tcBorders>
              <w:top w:val="nil"/>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333" w:type="pct"/>
            <w:tcBorders>
              <w:top w:val="nil"/>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385" w:type="pct"/>
            <w:tcBorders>
              <w:top w:val="nil"/>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No</w:t>
            </w:r>
          </w:p>
        </w:tc>
        <w:tc>
          <w:tcPr>
            <w:tcW w:w="333" w:type="pct"/>
            <w:tcBorders>
              <w:top w:val="nil"/>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333" w:type="pct"/>
            <w:tcBorders>
              <w:top w:val="nil"/>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333" w:type="pct"/>
            <w:tcBorders>
              <w:top w:val="nil"/>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386" w:type="pct"/>
            <w:tcBorders>
              <w:top w:val="nil"/>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333" w:type="pct"/>
            <w:tcBorders>
              <w:top w:val="nil"/>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390" w:type="pct"/>
            <w:tcBorders>
              <w:top w:val="nil"/>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704" w:type="pct"/>
            <w:tcBorders>
              <w:top w:val="nil"/>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Inclued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800" w:type="pct"/>
            <w:tcBorders>
              <w:top w:val="nil"/>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Wang,et al.</w:t>
            </w:r>
          </w:p>
        </w:tc>
        <w:tc>
          <w:tcPr>
            <w:tcW w:w="333" w:type="pct"/>
            <w:tcBorders>
              <w:top w:val="nil"/>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333" w:type="pct"/>
            <w:tcBorders>
              <w:top w:val="nil"/>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333" w:type="pct"/>
            <w:tcBorders>
              <w:top w:val="nil"/>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385" w:type="pct"/>
            <w:tcBorders>
              <w:top w:val="nil"/>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333" w:type="pct"/>
            <w:tcBorders>
              <w:top w:val="nil"/>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333" w:type="pct"/>
            <w:tcBorders>
              <w:top w:val="nil"/>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333" w:type="pct"/>
            <w:tcBorders>
              <w:top w:val="nil"/>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No</w:t>
            </w:r>
          </w:p>
        </w:tc>
        <w:tc>
          <w:tcPr>
            <w:tcW w:w="386" w:type="pct"/>
            <w:tcBorders>
              <w:top w:val="nil"/>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333" w:type="pct"/>
            <w:tcBorders>
              <w:top w:val="nil"/>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390" w:type="pct"/>
            <w:tcBorders>
              <w:top w:val="nil"/>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704" w:type="pct"/>
            <w:tcBorders>
              <w:top w:val="nil"/>
              <w:left w:val="nil"/>
              <w:bottom w:val="nil"/>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Inclued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00" w:type="pct"/>
            <w:tcBorders>
              <w:top w:val="nil"/>
              <w:left w:val="nil"/>
              <w:bottom w:val="single" w:color="auto" w:sz="4" w:space="0"/>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Cheah,et al.</w:t>
            </w:r>
          </w:p>
        </w:tc>
        <w:tc>
          <w:tcPr>
            <w:tcW w:w="333" w:type="pct"/>
            <w:tcBorders>
              <w:top w:val="nil"/>
              <w:left w:val="nil"/>
              <w:bottom w:val="single" w:color="auto" w:sz="4" w:space="0"/>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333" w:type="pct"/>
            <w:tcBorders>
              <w:top w:val="nil"/>
              <w:left w:val="nil"/>
              <w:bottom w:val="single" w:color="auto" w:sz="4" w:space="0"/>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333" w:type="pct"/>
            <w:tcBorders>
              <w:top w:val="nil"/>
              <w:left w:val="nil"/>
              <w:bottom w:val="single" w:color="auto" w:sz="4" w:space="0"/>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385" w:type="pct"/>
            <w:tcBorders>
              <w:top w:val="nil"/>
              <w:left w:val="nil"/>
              <w:bottom w:val="single" w:color="auto" w:sz="4" w:space="0"/>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333" w:type="pct"/>
            <w:tcBorders>
              <w:top w:val="nil"/>
              <w:left w:val="nil"/>
              <w:bottom w:val="single" w:color="auto" w:sz="4" w:space="0"/>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333" w:type="pct"/>
            <w:tcBorders>
              <w:top w:val="nil"/>
              <w:left w:val="nil"/>
              <w:bottom w:val="single" w:color="auto" w:sz="4" w:space="0"/>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333" w:type="pct"/>
            <w:tcBorders>
              <w:top w:val="nil"/>
              <w:left w:val="nil"/>
              <w:bottom w:val="single" w:color="auto" w:sz="4" w:space="0"/>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No</w:t>
            </w:r>
          </w:p>
        </w:tc>
        <w:tc>
          <w:tcPr>
            <w:tcW w:w="386" w:type="pct"/>
            <w:tcBorders>
              <w:top w:val="nil"/>
              <w:left w:val="nil"/>
              <w:bottom w:val="single" w:color="auto" w:sz="4" w:space="0"/>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333" w:type="pct"/>
            <w:tcBorders>
              <w:top w:val="nil"/>
              <w:left w:val="nil"/>
              <w:bottom w:val="single" w:color="auto" w:sz="4" w:space="0"/>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390" w:type="pct"/>
            <w:tcBorders>
              <w:top w:val="nil"/>
              <w:left w:val="nil"/>
              <w:bottom w:val="single" w:color="auto" w:sz="4" w:space="0"/>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Yes</w:t>
            </w:r>
          </w:p>
        </w:tc>
        <w:tc>
          <w:tcPr>
            <w:tcW w:w="704" w:type="pct"/>
            <w:tcBorders>
              <w:top w:val="nil"/>
              <w:left w:val="nil"/>
              <w:bottom w:val="single" w:color="auto" w:sz="4" w:space="0"/>
              <w:right w:val="nil"/>
            </w:tcBorders>
            <w:shd w:val="clear"/>
            <w:vAlign w:val="center"/>
          </w:tcPr>
          <w:p>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Arial" w:hAnsi="Arial" w:eastAsia="等线" w:cs="Arial"/>
                <w:i w:val="0"/>
                <w:iCs w:val="0"/>
                <w:color w:val="000000"/>
                <w:kern w:val="0"/>
                <w:sz w:val="20"/>
                <w:szCs w:val="20"/>
                <w:u w:val="none"/>
                <w:bdr w:val="none" w:color="auto" w:sz="0" w:space="0"/>
                <w:lang w:val="en-US" w:eastAsia="zh-CN" w:bidi="ar"/>
              </w:rPr>
              <w:t>Inclued</w:t>
            </w:r>
          </w:p>
        </w:tc>
      </w:tr>
    </w:tbl>
    <w:p>
      <w:pPr>
        <w:rPr>
          <w:rFonts w:hint="eastAsia"/>
        </w:rPr>
      </w:pPr>
    </w:p>
    <w:p>
      <w:pPr>
        <w:rPr>
          <w:rFonts w:hint="eastAsia"/>
        </w:rPr>
      </w:pPr>
      <w:bookmarkStart w:id="0" w:name="OLE_LINK1"/>
      <w:r>
        <w:rPr>
          <w:rFonts w:hint="eastAsia"/>
        </w:rPr>
        <w:t>Numbers for questions Q1–Q10 in heading refer to:</w:t>
      </w:r>
      <w:bookmarkEnd w:id="0"/>
      <w:r>
        <w:rPr>
          <w:rFonts w:hint="eastAsia"/>
        </w:rPr>
        <w:t xml:space="preserve"> Q1, were there clear criteria for inclusion in the case series? Q2, was the condition measured in a standard, reliable way for all</w:t>
      </w:r>
    </w:p>
    <w:p>
      <w:pPr>
        <w:rPr>
          <w:rFonts w:hint="eastAsia"/>
        </w:rPr>
      </w:pPr>
      <w:r>
        <w:rPr>
          <w:rFonts w:hint="eastAsia"/>
        </w:rPr>
        <w:t>participants included in the case series? Q3, were valid methods used for identification of the condition for all participants included in the case series? Q4, did the case series have</w:t>
      </w:r>
    </w:p>
    <w:p>
      <w:pPr>
        <w:rPr>
          <w:rFonts w:hint="eastAsia"/>
        </w:rPr>
      </w:pPr>
      <w:r>
        <w:rPr>
          <w:rFonts w:hint="eastAsia"/>
        </w:rPr>
        <w:t>consecutive inclusion of participants? Q5, did the case series have complete inclusion of participants? Q6, was there clear reporting of the demographics of the participants in the study?</w:t>
      </w:r>
    </w:p>
    <w:p>
      <w:pPr>
        <w:rPr>
          <w:rFonts w:hint="eastAsia"/>
        </w:rPr>
      </w:pPr>
      <w:r>
        <w:rPr>
          <w:rFonts w:hint="eastAsia"/>
        </w:rPr>
        <w:t>Q7, was there clear reporting of clinical information of the participants? Q8, were the outcomes or follow up results of cases clearly reported? Q9, was there clear reporting of the presenting</w:t>
      </w:r>
    </w:p>
    <w:p>
      <w:r>
        <w:rPr>
          <w:rFonts w:hint="eastAsia"/>
        </w:rPr>
        <w:t>site(s)/clinic(s) demographic information? Q10, was statistical analysi</w:t>
      </w:r>
      <w:bookmarkStart w:id="1" w:name="_GoBack"/>
      <w:bookmarkEnd w:id="1"/>
      <w:r>
        <w:rPr>
          <w:rFonts w:hint="eastAsia"/>
        </w:rPr>
        <w:t>s appropriate?</w:t>
      </w:r>
    </w:p>
    <w:sectPr>
      <w:pgSz w:w="11906" w:h="16838"/>
      <w:pgMar w:top="1440" w:right="1800" w:bottom="1440" w:left="1800" w:header="851" w:footer="992" w:gutter="0"/>
      <w:pgBorders w:offsetFrom="page">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dvOT1deab444 . I">
    <w:altName w:val="Segoe Print"/>
    <w:panose1 w:val="00000000000000000000"/>
    <w:charset w:val="00"/>
    <w:family w:val="auto"/>
    <w:pitch w:val="default"/>
    <w:sig w:usb0="00000000" w:usb1="00000000" w:usb2="00000000" w:usb3="00000000" w:csb0="00000000" w:csb1="00000000"/>
  </w:font>
  <w:font w:name="AdvOT1deab444 . I + 20">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dvOT1deab444 . I + fb">
    <w:altName w:val="Segoe Print"/>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AdvOT34fe1490 . B">
    <w:altName w:val="Segoe Print"/>
    <w:panose1 w:val="00000000000000000000"/>
    <w:charset w:val="00"/>
    <w:family w:val="auto"/>
    <w:pitch w:val="default"/>
    <w:sig w:usb0="00000000" w:usb1="00000000" w:usb2="00000000" w:usb3="00000000" w:csb0="00000000" w:csb1="00000000"/>
  </w:font>
  <w:font w:name="AdvTTa9c1b374">
    <w:altName w:val="Segoe Print"/>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87BC33"/>
    <w:multiLevelType w:val="singleLevel"/>
    <w:tmpl w:val="BD87BC33"/>
    <w:lvl w:ilvl="0" w:tentative="0">
      <w:start w:val="1"/>
      <w:numFmt w:val="upperLetter"/>
      <w:suff w:val="space"/>
      <w:lvlText w:val="%1."/>
      <w:lvlJc w:val="left"/>
      <w:rPr>
        <w:rFonts w:hint="default"/>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MzZTY3ZmU0ZjEzZTVlMmE4MGQ2ODFiNmY4YjRmMDcifQ=="/>
  </w:docVars>
  <w:rsids>
    <w:rsidRoot w:val="00000000"/>
    <w:rsid w:val="099454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2023-02-18T01:05:50Z</dcterms:created>
  <dc:creator>ASUS</dc:creator>
  <cp:lastModifiedBy>G.J</cp:lastModifiedBy>
  <dcterms:modified xsi:type="dcterms:W3CDTF">2023-02-18T03:19:58Z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F6E1C3AD6C3940A28CA210934CADACC2</vt:lpwstr>
  </property>
</Properties>
</file>