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Electronic Supplementary Information</w:t>
      </w:r>
    </w:p>
    <w:p>
      <w:pPr>
        <w:tabs>
          <w:tab w:val="left" w:pos="3672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Furan-Dihydroquinazolinone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based Fluorescent Nanoprobe for Selective Recognition of 4-nitrophenol: A Spectofluorimetric Approach</w:t>
      </w:r>
    </w:p>
    <w:p>
      <w:pPr>
        <w:spacing w:after="0" w:line="48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>
      <w:pPr>
        <w:spacing w:after="0" w:line="48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Saubai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B. Wakshe</w:t>
      </w:r>
      <w:r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a,1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Pravin R. Dongare</w:t>
      </w:r>
      <w:r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a,1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Anil H. Gore</w:t>
      </w:r>
      <w:r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Gurunath V.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Mote</w:t>
      </w:r>
      <w:r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c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Prashant V.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Anbhule</w:t>
      </w:r>
      <w:r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Govind B.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Kolekar</w:t>
      </w:r>
      <w:r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*</w:t>
      </w:r>
    </w:p>
    <w:p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vertAlign w:val="superscript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vertAlign w:val="superscript"/>
        </w:rPr>
      </w:pPr>
    </w:p>
    <w:p>
      <w:pPr>
        <w:spacing w:after="0" w:line="48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Fluorescence</w:t>
      </w:r>
      <w:proofErr w:type="spellEnd"/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Spectroscopy Research Laboratory, Department of Chemistry, Shivaji University, Kolhapur, 416004, MS, India</w:t>
      </w:r>
    </w:p>
    <w:p>
      <w:pPr>
        <w:spacing w:after="0" w:line="48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</w:pPr>
    </w:p>
    <w:p>
      <w:pPr>
        <w:spacing w:after="0" w:line="48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Tarsadia Institute of Chemical Science, Uka Tarsadia University, Bardoli, 394350, Gujarat, India</w:t>
      </w:r>
    </w:p>
    <w:p>
      <w:pPr>
        <w:spacing w:after="0" w:line="48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  <w:vertAlign w:val="superscript"/>
        </w:rPr>
      </w:pPr>
    </w:p>
    <w:p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D. Y. Patil Agriculture and Technical University, Talsande, Kolhapur, 416112, MS, India</w:t>
      </w:r>
    </w:p>
    <w:p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*For Correspondence</w:t>
      </w:r>
    </w:p>
    <w:p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Govind B. Kolekar,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Fluorescence Spectroscopy Research Laboratory, Department of Chemistry, Shivaji University, Kolhapur, 416004, MS, India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gbkolekar@yahoo.co.in</w:t>
        </w:r>
      </w:hyperlink>
    </w:p>
    <w:p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Saubai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B. Wakshe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Pravin R. Dongare</w:t>
      </w:r>
      <w:r>
        <w:rPr>
          <w:rFonts w:ascii="Times New Roman" w:hAnsi="Times New Roman" w:cs="Times New Roman"/>
          <w:sz w:val="24"/>
          <w:szCs w:val="24"/>
        </w:rPr>
        <w:t xml:space="preserve"> equally contributed to this work.</w:t>
      </w:r>
    </w:p>
    <w:p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Figure Captions</w:t>
      </w:r>
    </w:p>
    <w:p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S1: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 NMR spectrum of FDHQ.</w:t>
      </w:r>
    </w:p>
    <w:p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S2: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 NMR spectrum of FDHQ.</w:t>
      </w:r>
    </w:p>
    <w:p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S3: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Zeta potential curve of FDHQNPs.</w:t>
      </w:r>
    </w:p>
    <w:p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S1:</w:t>
      </w:r>
      <w:r>
        <w:rPr>
          <w:rFonts w:ascii="Times New Roman" w:hAnsi="Times New Roman" w:cs="Times New Roman"/>
          <w:sz w:val="24"/>
          <w:szCs w:val="24"/>
        </w:rPr>
        <w:t xml:space="preserve"> The analytical performance of the various types of fluorophores reported in the literature for 4-nitrophenol detection.</w:t>
      </w:r>
    </w:p>
    <w:p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noProof/>
          <w:color w:val="000000" w:themeColor="text1"/>
        </w:rPr>
        <w:drawing>
          <wp:inline distT="0" distB="0" distL="0" distR="0">
            <wp:extent cx="5486400" cy="3986701"/>
            <wp:effectExtent l="19050" t="19050" r="0" b="0"/>
            <wp:docPr id="7" name="Picture 7" descr="G:\SBW Chapter\Manuscript 2\1 HNM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SBW Chapter\Manuscript 2\1 HNMR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867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S1: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 NMR spectrum of FDHQ.</w:t>
      </w:r>
    </w:p>
    <w:p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486400" cy="3981157"/>
            <wp:effectExtent l="19050" t="19050" r="0" b="635"/>
            <wp:docPr id="8" name="Picture 8" descr="G:\SBW Chapter\Manuscript 2\13 CNM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SBW Chapter\Manuscript 2\13 CNMR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8115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S2: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 NMR spectrum of FDHQ.</w:t>
      </w:r>
    </w:p>
    <w:p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86400" cy="2651760"/>
            <wp:effectExtent l="19050" t="19050" r="0" b="0"/>
            <wp:docPr id="1" name="Picture 1" descr="G:\SBW Chapter\Manuscript 2\New folder\New folder\zeta potent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BW Chapter\Manuscript 2\New folder\New folder\zeta potentia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517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after="0" w:line="48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S3: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Zeta potential curve of FDHQNPs.</w:t>
      </w:r>
    </w:p>
    <w:p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S1:</w:t>
      </w:r>
      <w:r>
        <w:rPr>
          <w:rFonts w:ascii="Times New Roman" w:hAnsi="Times New Roman" w:cs="Times New Roman"/>
          <w:sz w:val="24"/>
          <w:szCs w:val="24"/>
        </w:rPr>
        <w:t xml:space="preserve"> The analytical performance of the various types of fluorophores reported in the literature for 4-nitrophenol detection.</w:t>
      </w:r>
    </w:p>
    <w:tbl>
      <w:tblPr>
        <w:tblStyle w:val="LightShading"/>
        <w:tblW w:w="9000" w:type="dxa"/>
        <w:tblInd w:w="1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90"/>
        <w:gridCol w:w="1620"/>
        <w:gridCol w:w="1800"/>
        <w:gridCol w:w="1350"/>
        <w:gridCol w:w="1980"/>
        <w:gridCol w:w="126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Sr. No.</w:t>
            </w:r>
          </w:p>
        </w:tc>
        <w:tc>
          <w:tcPr>
            <w:tcW w:w="162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Probe used for the detection</w:t>
            </w:r>
          </w:p>
        </w:tc>
        <w:tc>
          <w:tcPr>
            <w:tcW w:w="180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Linear Range</w:t>
            </w:r>
          </w:p>
        </w:tc>
        <w:tc>
          <w:tcPr>
            <w:tcW w:w="135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Detection limit</w:t>
            </w:r>
          </w:p>
        </w:tc>
        <w:tc>
          <w:tcPr>
            <w:tcW w:w="1980" w:type="dxa"/>
            <w:shd w:val="clear" w:color="auto" w:fill="FFFFFF" w:themeFill="background1"/>
          </w:tcPr>
          <w:p>
            <w:pPr>
              <w:spacing w:before="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Real Sample</w:t>
            </w:r>
          </w:p>
        </w:tc>
        <w:tc>
          <w:tcPr>
            <w:tcW w:w="126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Ref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 No.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N-GQDs</w:t>
            </w:r>
          </w:p>
        </w:tc>
        <w:tc>
          <w:tcPr>
            <w:tcW w:w="180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0-20 μM</w:t>
            </w:r>
          </w:p>
        </w:tc>
        <w:tc>
          <w:tcPr>
            <w:tcW w:w="135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0.29 μM</w:t>
            </w:r>
          </w:p>
        </w:tc>
        <w:tc>
          <w:tcPr>
            <w:tcW w:w="1980" w:type="dxa"/>
            <w:shd w:val="clear" w:color="auto" w:fill="FFFFFF" w:themeFill="background1"/>
          </w:tcPr>
          <w:p>
            <w:pPr>
              <w:spacing w:before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Water sample</w:t>
            </w:r>
          </w:p>
        </w:tc>
        <w:tc>
          <w:tcPr>
            <w:tcW w:w="126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62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FL-MIPIL</w:t>
            </w:r>
          </w:p>
        </w:tc>
        <w:tc>
          <w:tcPr>
            <w:tcW w:w="180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0.001-7.5 μM</w:t>
            </w:r>
          </w:p>
        </w:tc>
        <w:tc>
          <w:tcPr>
            <w:tcW w:w="135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0.5 nM</w:t>
            </w:r>
          </w:p>
        </w:tc>
        <w:tc>
          <w:tcPr>
            <w:tcW w:w="1980" w:type="dxa"/>
            <w:shd w:val="clear" w:color="auto" w:fill="FFFFFF" w:themeFill="background1"/>
          </w:tcPr>
          <w:p>
            <w:pPr>
              <w:spacing w:before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Lake, rain and waste water, urine samples</w:t>
            </w:r>
          </w:p>
        </w:tc>
        <w:tc>
          <w:tcPr>
            <w:tcW w:w="126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62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C-dot</w:t>
            </w:r>
          </w:p>
        </w:tc>
        <w:tc>
          <w:tcPr>
            <w:tcW w:w="180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0.1-50 μM</w:t>
            </w:r>
          </w:p>
        </w:tc>
        <w:tc>
          <w:tcPr>
            <w:tcW w:w="135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0.028 μM</w:t>
            </w:r>
          </w:p>
        </w:tc>
        <w:tc>
          <w:tcPr>
            <w:tcW w:w="1980" w:type="dxa"/>
            <w:shd w:val="clear" w:color="auto" w:fill="FFFFFF" w:themeFill="background1"/>
          </w:tcPr>
          <w:p>
            <w:pPr>
              <w:spacing w:before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Spiked river and sea water</w:t>
            </w:r>
          </w:p>
        </w:tc>
        <w:tc>
          <w:tcPr>
            <w:tcW w:w="126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62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GNCs@BSA</w:t>
            </w:r>
            <w:proofErr w:type="spellEnd"/>
          </w:p>
        </w:tc>
        <w:tc>
          <w:tcPr>
            <w:tcW w:w="180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50-5000 nM</w:t>
            </w:r>
          </w:p>
        </w:tc>
        <w:tc>
          <w:tcPr>
            <w:tcW w:w="135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0.013 μM</w:t>
            </w:r>
          </w:p>
        </w:tc>
        <w:tc>
          <w:tcPr>
            <w:tcW w:w="1980" w:type="dxa"/>
            <w:shd w:val="clear" w:color="auto" w:fill="FFFFFF" w:themeFill="background1"/>
          </w:tcPr>
          <w:p>
            <w:pPr>
              <w:spacing w:before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Tap and river water</w:t>
            </w:r>
          </w:p>
        </w:tc>
        <w:tc>
          <w:tcPr>
            <w:tcW w:w="1260" w:type="dxa"/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bottom w:val="nil"/>
            </w:tcBorders>
            <w:shd w:val="clear" w:color="auto" w:fill="FFFFFF" w:themeFill="background1"/>
          </w:tcPr>
          <w:p>
            <w:pPr>
              <w:spacing w:before="60"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bottom w:val="nil"/>
            </w:tcBorders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MF-MIPs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0.08-10 μM</w:t>
            </w:r>
          </w:p>
        </w:tc>
        <w:tc>
          <w:tcPr>
            <w:tcW w:w="1350" w:type="dxa"/>
            <w:tcBorders>
              <w:bottom w:val="nil"/>
            </w:tcBorders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0.023 μM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FFFFFF" w:themeFill="background1"/>
          </w:tcPr>
          <w:p>
            <w:pPr>
              <w:spacing w:before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Food samples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spacing w:before="60"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FDHQNPs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 μg.mL</w:t>
            </w:r>
            <w:r>
              <w:rPr>
                <w:rFonts w:ascii="Cambria Math" w:hAnsi="Cambria Math" w:cs="Cambria Math"/>
                <w:color w:val="auto"/>
                <w:sz w:val="24"/>
                <w:szCs w:val="24"/>
              </w:rPr>
              <w:t>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0.016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spacing w:before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River and Industrial waste water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spacing w:before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This work</w:t>
            </w:r>
          </w:p>
        </w:tc>
      </w:tr>
    </w:tbl>
    <w:p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References</w:t>
      </w:r>
    </w:p>
    <w:p>
      <w:pPr>
        <w:pStyle w:val="ListParagraph"/>
        <w:widowControl/>
        <w:numPr>
          <w:ilvl w:val="0"/>
          <w:numId w:val="3"/>
        </w:numPr>
        <w:autoSpaceDE/>
        <w:autoSpaceDN/>
        <w:spacing w:after="200" w:line="360" w:lineRule="auto"/>
        <w:ind w:left="540" w:hanging="5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F. Wang, X. Fu, X. Chai, Q. Han, H. Wang, Q. </w:t>
      </w:r>
      <w:proofErr w:type="spellStart"/>
      <w:r>
        <w:rPr>
          <w:sz w:val="24"/>
          <w:szCs w:val="24"/>
        </w:rPr>
        <w:t>Hao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bCs/>
          <w:i/>
          <w:color w:val="202124"/>
          <w:sz w:val="24"/>
          <w:szCs w:val="24"/>
          <w:shd w:val="clear" w:color="auto" w:fill="FFFFFF"/>
        </w:rPr>
        <w:t>Microchem</w:t>
      </w:r>
      <w:proofErr w:type="spellEnd"/>
      <w:r>
        <w:rPr>
          <w:bCs/>
          <w:i/>
          <w:color w:val="202124"/>
          <w:sz w:val="24"/>
          <w:szCs w:val="24"/>
          <w:shd w:val="clear" w:color="auto" w:fill="FFFFFF"/>
        </w:rPr>
        <w:t>.</w:t>
      </w:r>
      <w:r>
        <w:rPr>
          <w:i/>
          <w:color w:val="202124"/>
          <w:sz w:val="24"/>
          <w:szCs w:val="24"/>
          <w:shd w:val="clear" w:color="auto" w:fill="FFFFFF"/>
        </w:rPr>
        <w:t> </w:t>
      </w:r>
      <w:r>
        <w:rPr>
          <w:bCs/>
          <w:i/>
          <w:color w:val="202124"/>
          <w:sz w:val="24"/>
          <w:szCs w:val="24"/>
          <w:shd w:val="clear" w:color="auto" w:fill="FFFFFF"/>
        </w:rPr>
        <w:t>J.</w:t>
      </w:r>
      <w:r>
        <w:rPr>
          <w:sz w:val="24"/>
          <w:szCs w:val="24"/>
        </w:rPr>
        <w:t xml:space="preserve">, 168, </w:t>
      </w:r>
      <w:r>
        <w:rPr>
          <w:b/>
          <w:sz w:val="24"/>
          <w:szCs w:val="24"/>
        </w:rPr>
        <w:t>(2021)</w:t>
      </w:r>
      <w:r>
        <w:rPr>
          <w:sz w:val="24"/>
          <w:szCs w:val="24"/>
        </w:rPr>
        <w:t>, 106389.</w:t>
      </w:r>
    </w:p>
    <w:p>
      <w:pPr>
        <w:pStyle w:val="ListParagraph"/>
        <w:widowControl/>
        <w:numPr>
          <w:ilvl w:val="0"/>
          <w:numId w:val="3"/>
        </w:numPr>
        <w:autoSpaceDE/>
        <w:autoSpaceDN/>
        <w:spacing w:after="200" w:line="360" w:lineRule="auto"/>
        <w:ind w:left="540" w:hanging="5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H. Dai, Z. Deng, Y. Zeng, J. Zhang, Y. Yang, Q. Ma, W. Hu, L. Guo, L. Li, S. Wan, H. Liu, </w:t>
      </w:r>
      <w:r>
        <w:rPr>
          <w:bCs/>
          <w:i/>
          <w:color w:val="202124"/>
          <w:sz w:val="24"/>
          <w:szCs w:val="24"/>
          <w:shd w:val="clear" w:color="auto" w:fill="FFFFFF"/>
        </w:rPr>
        <w:t>J.</w:t>
      </w:r>
      <w:r>
        <w:rPr>
          <w:i/>
          <w:color w:val="202124"/>
          <w:sz w:val="24"/>
          <w:szCs w:val="24"/>
          <w:shd w:val="clear" w:color="auto" w:fill="FFFFFF"/>
        </w:rPr>
        <w:t> </w:t>
      </w:r>
      <w:r>
        <w:rPr>
          <w:bCs/>
          <w:i/>
          <w:color w:val="202124"/>
          <w:sz w:val="24"/>
          <w:szCs w:val="24"/>
          <w:shd w:val="clear" w:color="auto" w:fill="FFFFFF"/>
        </w:rPr>
        <w:t>Hazard.</w:t>
      </w:r>
      <w:r>
        <w:rPr>
          <w:i/>
          <w:color w:val="202124"/>
          <w:sz w:val="24"/>
          <w:szCs w:val="24"/>
          <w:shd w:val="clear" w:color="auto" w:fill="FFFFFF"/>
        </w:rPr>
        <w:t> </w:t>
      </w:r>
      <w:r>
        <w:rPr>
          <w:bCs/>
          <w:i/>
          <w:color w:val="202124"/>
          <w:sz w:val="24"/>
          <w:szCs w:val="24"/>
          <w:shd w:val="clear" w:color="auto" w:fill="FFFFFF"/>
        </w:rPr>
        <w:t>Mater.</w:t>
      </w:r>
      <w:r>
        <w:rPr>
          <w:sz w:val="24"/>
          <w:szCs w:val="24"/>
        </w:rPr>
        <w:t xml:space="preserve">, 398, </w:t>
      </w:r>
      <w:r>
        <w:rPr>
          <w:b/>
          <w:sz w:val="24"/>
          <w:szCs w:val="24"/>
        </w:rPr>
        <w:t>(2020)</w:t>
      </w:r>
      <w:r>
        <w:rPr>
          <w:sz w:val="24"/>
          <w:szCs w:val="24"/>
        </w:rPr>
        <w:t>, 122854.</w:t>
      </w:r>
    </w:p>
    <w:p>
      <w:pPr>
        <w:pStyle w:val="ListParagraph"/>
        <w:widowControl/>
        <w:numPr>
          <w:ilvl w:val="0"/>
          <w:numId w:val="3"/>
        </w:numPr>
        <w:autoSpaceDE/>
        <w:autoSpaceDN/>
        <w:spacing w:after="200" w:line="360" w:lineRule="auto"/>
        <w:ind w:left="540" w:hanging="5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G. H. G. Ahmed, R. B. </w:t>
      </w:r>
      <w:proofErr w:type="spellStart"/>
      <w:r>
        <w:rPr>
          <w:sz w:val="24"/>
          <w:szCs w:val="24"/>
        </w:rPr>
        <w:t>Laíño</w:t>
      </w:r>
      <w:proofErr w:type="spellEnd"/>
      <w:r>
        <w:rPr>
          <w:sz w:val="24"/>
          <w:szCs w:val="24"/>
        </w:rPr>
        <w:t xml:space="preserve">, J. A. G. </w:t>
      </w:r>
      <w:proofErr w:type="spellStart"/>
      <w:r>
        <w:rPr>
          <w:sz w:val="24"/>
          <w:szCs w:val="24"/>
        </w:rPr>
        <w:t>Calzón</w:t>
      </w:r>
      <w:proofErr w:type="spellEnd"/>
      <w:r>
        <w:rPr>
          <w:sz w:val="24"/>
          <w:szCs w:val="24"/>
        </w:rPr>
        <w:t xml:space="preserve">, M. E. D. </w:t>
      </w:r>
      <w:proofErr w:type="spellStart"/>
      <w:r>
        <w:rPr>
          <w:sz w:val="24"/>
          <w:szCs w:val="24"/>
        </w:rPr>
        <w:t>García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Microchim. Acta.</w:t>
      </w:r>
      <w:r>
        <w:rPr>
          <w:sz w:val="24"/>
          <w:szCs w:val="24"/>
        </w:rPr>
        <w:t xml:space="preserve">, 182, </w:t>
      </w:r>
      <w:r>
        <w:rPr>
          <w:b/>
          <w:sz w:val="24"/>
          <w:szCs w:val="24"/>
        </w:rPr>
        <w:t>(2015)</w:t>
      </w:r>
      <w:r>
        <w:rPr>
          <w:sz w:val="24"/>
          <w:szCs w:val="24"/>
        </w:rPr>
        <w:t>, 51.</w:t>
      </w:r>
    </w:p>
    <w:p>
      <w:pPr>
        <w:pStyle w:val="ListParagraph"/>
        <w:widowControl/>
        <w:numPr>
          <w:ilvl w:val="0"/>
          <w:numId w:val="3"/>
        </w:numPr>
        <w:autoSpaceDE/>
        <w:autoSpaceDN/>
        <w:spacing w:after="200" w:line="360" w:lineRule="auto"/>
        <w:ind w:left="540" w:hanging="5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T. </w:t>
      </w:r>
      <w:proofErr w:type="spellStart"/>
      <w:r>
        <w:rPr>
          <w:sz w:val="24"/>
          <w:szCs w:val="24"/>
        </w:rPr>
        <w:t>Shu</w:t>
      </w:r>
      <w:proofErr w:type="spellEnd"/>
      <w:r>
        <w:rPr>
          <w:sz w:val="24"/>
          <w:szCs w:val="24"/>
        </w:rPr>
        <w:t xml:space="preserve">, J. Wang, X. Lin, Z. Zhou, F. Liang, L. Su, X. Zhang,  </w:t>
      </w:r>
      <w:r>
        <w:rPr>
          <w:i/>
          <w:sz w:val="24"/>
          <w:szCs w:val="24"/>
        </w:rPr>
        <w:t>J. Mater. Chem. C.</w:t>
      </w:r>
      <w:r>
        <w:rPr>
          <w:sz w:val="24"/>
          <w:szCs w:val="24"/>
        </w:rPr>
        <w:t xml:space="preserve">, 6, </w:t>
      </w:r>
      <w:r>
        <w:rPr>
          <w:b/>
          <w:sz w:val="24"/>
          <w:szCs w:val="24"/>
        </w:rPr>
        <w:t>(2018)</w:t>
      </w:r>
      <w:r>
        <w:rPr>
          <w:sz w:val="24"/>
          <w:szCs w:val="24"/>
        </w:rPr>
        <w:t>, 5033.</w:t>
      </w:r>
    </w:p>
    <w:p>
      <w:pPr>
        <w:pStyle w:val="ListParagraph"/>
        <w:widowControl/>
        <w:numPr>
          <w:ilvl w:val="0"/>
          <w:numId w:val="3"/>
        </w:numPr>
        <w:autoSpaceDE/>
        <w:autoSpaceDN/>
        <w:spacing w:after="200" w:line="360" w:lineRule="auto"/>
        <w:ind w:left="540" w:hanging="5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W. Zhu, Y. Zhou, S. Liu, M. Luo, J. Du, J. Fan, H. </w:t>
      </w:r>
      <w:proofErr w:type="spellStart"/>
      <w:r>
        <w:rPr>
          <w:sz w:val="24"/>
          <w:szCs w:val="24"/>
        </w:rPr>
        <w:t>Xiong</w:t>
      </w:r>
      <w:proofErr w:type="spellEnd"/>
      <w:r>
        <w:rPr>
          <w:sz w:val="24"/>
          <w:szCs w:val="24"/>
        </w:rPr>
        <w:t xml:space="preserve">, H. Peng, </w:t>
      </w:r>
      <w:r>
        <w:rPr>
          <w:bCs/>
          <w:i/>
          <w:color w:val="202124"/>
          <w:sz w:val="24"/>
          <w:szCs w:val="24"/>
          <w:shd w:val="clear" w:color="auto" w:fill="FFFFFF"/>
        </w:rPr>
        <w:t>Food Chem</w:t>
      </w:r>
      <w:r>
        <w:rPr>
          <w:i/>
          <w:color w:val="202124"/>
          <w:sz w:val="24"/>
          <w:szCs w:val="24"/>
          <w:shd w:val="clear" w:color="auto" w:fill="FFFFFF"/>
        </w:rPr>
        <w:t>.</w:t>
      </w:r>
      <w:r>
        <w:rPr>
          <w:sz w:val="24"/>
          <w:szCs w:val="24"/>
        </w:rPr>
        <w:t xml:space="preserve">, 348, </w:t>
      </w:r>
      <w:r>
        <w:rPr>
          <w:b/>
          <w:sz w:val="24"/>
          <w:szCs w:val="24"/>
        </w:rPr>
        <w:t>(2021)</w:t>
      </w:r>
      <w:r>
        <w:rPr>
          <w:sz w:val="24"/>
          <w:szCs w:val="24"/>
        </w:rPr>
        <w:t>, 129126.</w:t>
      </w: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>
      <w:footerReference w:type="default" r:id="rId12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710376"/>
      <w:docPartObj>
        <w:docPartGallery w:val="Page Numbers (Bottom of Page)"/>
        <w:docPartUnique/>
      </w:docPartObj>
    </w:sdtPr>
    <w:sdtContent>
      <w:p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816F6"/>
    <w:multiLevelType w:val="hybridMultilevel"/>
    <w:tmpl w:val="0606893E"/>
    <w:lvl w:ilvl="0" w:tplc="45AAD64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06A08"/>
    <w:multiLevelType w:val="hybridMultilevel"/>
    <w:tmpl w:val="049C4602"/>
    <w:lvl w:ilvl="0" w:tplc="07FA3F42">
      <w:start w:val="4"/>
      <w:numFmt w:val="decimal"/>
      <w:lvlText w:val="%1)"/>
      <w:lvlJc w:val="left"/>
      <w:pPr>
        <w:ind w:left="241" w:hanging="317"/>
        <w:jc w:val="left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en-US" w:eastAsia="en-US" w:bidi="ar-SA"/>
      </w:rPr>
    </w:lvl>
    <w:lvl w:ilvl="1" w:tplc="2664418C">
      <w:numFmt w:val="bullet"/>
      <w:lvlText w:val="•"/>
      <w:lvlJc w:val="left"/>
      <w:pPr>
        <w:ind w:left="1242" w:hanging="317"/>
      </w:pPr>
      <w:rPr>
        <w:rFonts w:hint="default"/>
        <w:lang w:val="en-US" w:eastAsia="en-US" w:bidi="ar-SA"/>
      </w:rPr>
    </w:lvl>
    <w:lvl w:ilvl="2" w:tplc="212E26C2">
      <w:numFmt w:val="bullet"/>
      <w:lvlText w:val="•"/>
      <w:lvlJc w:val="left"/>
      <w:pPr>
        <w:ind w:left="2244" w:hanging="317"/>
      </w:pPr>
      <w:rPr>
        <w:rFonts w:hint="default"/>
        <w:lang w:val="en-US" w:eastAsia="en-US" w:bidi="ar-SA"/>
      </w:rPr>
    </w:lvl>
    <w:lvl w:ilvl="3" w:tplc="4E28D054">
      <w:numFmt w:val="bullet"/>
      <w:lvlText w:val="•"/>
      <w:lvlJc w:val="left"/>
      <w:pPr>
        <w:ind w:left="3246" w:hanging="317"/>
      </w:pPr>
      <w:rPr>
        <w:rFonts w:hint="default"/>
        <w:lang w:val="en-US" w:eastAsia="en-US" w:bidi="ar-SA"/>
      </w:rPr>
    </w:lvl>
    <w:lvl w:ilvl="4" w:tplc="9B1608F8">
      <w:numFmt w:val="bullet"/>
      <w:lvlText w:val="•"/>
      <w:lvlJc w:val="left"/>
      <w:pPr>
        <w:ind w:left="4248" w:hanging="317"/>
      </w:pPr>
      <w:rPr>
        <w:rFonts w:hint="default"/>
        <w:lang w:val="en-US" w:eastAsia="en-US" w:bidi="ar-SA"/>
      </w:rPr>
    </w:lvl>
    <w:lvl w:ilvl="5" w:tplc="722EE2C6">
      <w:numFmt w:val="bullet"/>
      <w:lvlText w:val="•"/>
      <w:lvlJc w:val="left"/>
      <w:pPr>
        <w:ind w:left="5250" w:hanging="317"/>
      </w:pPr>
      <w:rPr>
        <w:rFonts w:hint="default"/>
        <w:lang w:val="en-US" w:eastAsia="en-US" w:bidi="ar-SA"/>
      </w:rPr>
    </w:lvl>
    <w:lvl w:ilvl="6" w:tplc="48C40768">
      <w:numFmt w:val="bullet"/>
      <w:lvlText w:val="•"/>
      <w:lvlJc w:val="left"/>
      <w:pPr>
        <w:ind w:left="6252" w:hanging="317"/>
      </w:pPr>
      <w:rPr>
        <w:rFonts w:hint="default"/>
        <w:lang w:val="en-US" w:eastAsia="en-US" w:bidi="ar-SA"/>
      </w:rPr>
    </w:lvl>
    <w:lvl w:ilvl="7" w:tplc="A14EB996">
      <w:numFmt w:val="bullet"/>
      <w:lvlText w:val="•"/>
      <w:lvlJc w:val="left"/>
      <w:pPr>
        <w:ind w:left="7254" w:hanging="317"/>
      </w:pPr>
      <w:rPr>
        <w:rFonts w:hint="default"/>
        <w:lang w:val="en-US" w:eastAsia="en-US" w:bidi="ar-SA"/>
      </w:rPr>
    </w:lvl>
    <w:lvl w:ilvl="8" w:tplc="696CDE7C">
      <w:numFmt w:val="bullet"/>
      <w:lvlText w:val="•"/>
      <w:lvlJc w:val="left"/>
      <w:pPr>
        <w:ind w:left="8256" w:hanging="317"/>
      </w:pPr>
      <w:rPr>
        <w:rFonts w:hint="default"/>
        <w:lang w:val="en-US" w:eastAsia="en-US" w:bidi="ar-SA"/>
      </w:rPr>
    </w:lvl>
  </w:abstractNum>
  <w:abstractNum w:abstractNumId="2">
    <w:nsid w:val="5B174726"/>
    <w:multiLevelType w:val="hybridMultilevel"/>
    <w:tmpl w:val="897AA386"/>
    <w:lvl w:ilvl="0" w:tplc="C60AE5A0">
      <w:start w:val="1"/>
      <w:numFmt w:val="decimal"/>
      <w:lvlText w:val="%1)"/>
      <w:lvlJc w:val="left"/>
      <w:pPr>
        <w:ind w:left="493" w:hanging="252"/>
        <w:jc w:val="left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en-US" w:eastAsia="en-US" w:bidi="ar-SA"/>
      </w:rPr>
    </w:lvl>
    <w:lvl w:ilvl="1" w:tplc="ACC0BA8A">
      <w:numFmt w:val="bullet"/>
      <w:lvlText w:val="•"/>
      <w:lvlJc w:val="left"/>
      <w:pPr>
        <w:ind w:left="1476" w:hanging="252"/>
      </w:pPr>
      <w:rPr>
        <w:rFonts w:hint="default"/>
        <w:lang w:val="en-US" w:eastAsia="en-US" w:bidi="ar-SA"/>
      </w:rPr>
    </w:lvl>
    <w:lvl w:ilvl="2" w:tplc="EC703620">
      <w:numFmt w:val="bullet"/>
      <w:lvlText w:val="•"/>
      <w:lvlJc w:val="left"/>
      <w:pPr>
        <w:ind w:left="2452" w:hanging="252"/>
      </w:pPr>
      <w:rPr>
        <w:rFonts w:hint="default"/>
        <w:lang w:val="en-US" w:eastAsia="en-US" w:bidi="ar-SA"/>
      </w:rPr>
    </w:lvl>
    <w:lvl w:ilvl="3" w:tplc="E516141E">
      <w:numFmt w:val="bullet"/>
      <w:lvlText w:val="•"/>
      <w:lvlJc w:val="left"/>
      <w:pPr>
        <w:ind w:left="3428" w:hanging="252"/>
      </w:pPr>
      <w:rPr>
        <w:rFonts w:hint="default"/>
        <w:lang w:val="en-US" w:eastAsia="en-US" w:bidi="ar-SA"/>
      </w:rPr>
    </w:lvl>
    <w:lvl w:ilvl="4" w:tplc="4914D16C">
      <w:numFmt w:val="bullet"/>
      <w:lvlText w:val="•"/>
      <w:lvlJc w:val="left"/>
      <w:pPr>
        <w:ind w:left="4404" w:hanging="252"/>
      </w:pPr>
      <w:rPr>
        <w:rFonts w:hint="default"/>
        <w:lang w:val="en-US" w:eastAsia="en-US" w:bidi="ar-SA"/>
      </w:rPr>
    </w:lvl>
    <w:lvl w:ilvl="5" w:tplc="BD225174">
      <w:numFmt w:val="bullet"/>
      <w:lvlText w:val="•"/>
      <w:lvlJc w:val="left"/>
      <w:pPr>
        <w:ind w:left="5380" w:hanging="252"/>
      </w:pPr>
      <w:rPr>
        <w:rFonts w:hint="default"/>
        <w:lang w:val="en-US" w:eastAsia="en-US" w:bidi="ar-SA"/>
      </w:rPr>
    </w:lvl>
    <w:lvl w:ilvl="6" w:tplc="3D6A8EF2">
      <w:numFmt w:val="bullet"/>
      <w:lvlText w:val="•"/>
      <w:lvlJc w:val="left"/>
      <w:pPr>
        <w:ind w:left="6356" w:hanging="252"/>
      </w:pPr>
      <w:rPr>
        <w:rFonts w:hint="default"/>
        <w:lang w:val="en-US" w:eastAsia="en-US" w:bidi="ar-SA"/>
      </w:rPr>
    </w:lvl>
    <w:lvl w:ilvl="7" w:tplc="6D5CD2DA">
      <w:numFmt w:val="bullet"/>
      <w:lvlText w:val="•"/>
      <w:lvlJc w:val="left"/>
      <w:pPr>
        <w:ind w:left="7332" w:hanging="252"/>
      </w:pPr>
      <w:rPr>
        <w:rFonts w:hint="default"/>
        <w:lang w:val="en-US" w:eastAsia="en-US" w:bidi="ar-SA"/>
      </w:rPr>
    </w:lvl>
    <w:lvl w:ilvl="8" w:tplc="80583622">
      <w:numFmt w:val="bullet"/>
      <w:lvlText w:val="•"/>
      <w:lvlJc w:val="left"/>
      <w:pPr>
        <w:ind w:left="8308" w:hanging="252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sz w:val="23"/>
      <w:szCs w:val="23"/>
    </w:rPr>
  </w:style>
  <w:style w:type="paragraph" w:styleId="ListParagraph">
    <w:name w:val="List Paragraph"/>
    <w:basedOn w:val="Normal"/>
    <w:uiPriority w:val="34"/>
    <w:qFormat/>
    <w:pPr>
      <w:widowControl w:val="0"/>
      <w:autoSpaceDE w:val="0"/>
      <w:autoSpaceDN w:val="0"/>
      <w:spacing w:after="0" w:line="240" w:lineRule="auto"/>
      <w:ind w:left="241"/>
    </w:pPr>
    <w:rPr>
      <w:rFonts w:ascii="Times New Roman" w:eastAsia="Times New Roman" w:hAnsi="Times New Roman" w:cs="Times New Roman"/>
    </w:r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bkolekar@yahoo.co.in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Pravin</cp:lastModifiedBy>
  <cp:revision>124</cp:revision>
  <cp:lastPrinted>2021-06-23T14:24:00Z</cp:lastPrinted>
  <dcterms:created xsi:type="dcterms:W3CDTF">2019-08-04T06:50:00Z</dcterms:created>
  <dcterms:modified xsi:type="dcterms:W3CDTF">2023-04-03T14:00:00Z</dcterms:modified>
</cp:coreProperties>
</file>