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08B8" w14:textId="77777777" w:rsidR="00B16DBC" w:rsidRDefault="000000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Supplementary material</w:t>
      </w:r>
    </w:p>
    <w:p w14:paraId="66A126E6" w14:textId="0A1E5A3A" w:rsidR="00B16DBC" w:rsidRDefault="000000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Table S1 Controlled ovarian stimulation (COS) protocols</w:t>
      </w:r>
      <w:sdt>
        <w:sdtPr>
          <w:rPr>
            <w:rFonts w:ascii="Times New Roman" w:hAnsi="Times New Roman"/>
            <w:sz w:val="18"/>
            <w:szCs w:val="18"/>
          </w:rPr>
          <w:tag w:val="MENDELEY_CITATION_v3_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"/>
          <w:id w:val="601220105"/>
          <w:placeholder>
            <w:docPart w:val="DefaultPlaceholder_-1854013440"/>
          </w:placeholder>
        </w:sdtPr>
        <w:sdtContent>
          <w:r w:rsidR="0027235F" w:rsidRPr="0027235F">
            <w:rPr>
              <w:rFonts w:ascii="Times New Roman" w:hAnsi="Times New Roman"/>
              <w:sz w:val="18"/>
              <w:szCs w:val="18"/>
            </w:rPr>
            <w:t>[1]</w:t>
          </w:r>
        </w:sdtContent>
      </w:sdt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778"/>
      </w:tblGrid>
      <w:tr w:rsidR="00B16DBC" w14:paraId="0608A76E" w14:textId="77777777">
        <w:tc>
          <w:tcPr>
            <w:tcW w:w="2518" w:type="dxa"/>
            <w:tcBorders>
              <w:bottom w:val="single" w:sz="4" w:space="0" w:color="auto"/>
            </w:tcBorders>
          </w:tcPr>
          <w:p w14:paraId="4F5E3E44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hint="eastAsia"/>
                <w:sz w:val="18"/>
                <w:szCs w:val="18"/>
              </w:rPr>
              <w:t>ame of protocols</w:t>
            </w:r>
          </w:p>
        </w:tc>
        <w:tc>
          <w:tcPr>
            <w:tcW w:w="5778" w:type="dxa"/>
            <w:tcBorders>
              <w:bottom w:val="single" w:sz="4" w:space="0" w:color="auto"/>
            </w:tcBorders>
          </w:tcPr>
          <w:p w14:paraId="6D879915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rocedure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</w:p>
        </w:tc>
      </w:tr>
      <w:tr w:rsidR="00B16DBC" w14:paraId="69A9253E" w14:textId="77777777">
        <w:tc>
          <w:tcPr>
            <w:tcW w:w="2518" w:type="dxa"/>
            <w:tcBorders>
              <w:top w:val="single" w:sz="4" w:space="0" w:color="auto"/>
            </w:tcBorders>
          </w:tcPr>
          <w:p w14:paraId="150BD08D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Long-acting GnRH-a luteal phase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long protocol</w:t>
            </w:r>
          </w:p>
        </w:tc>
        <w:tc>
          <w:tcPr>
            <w:tcW w:w="5778" w:type="dxa"/>
            <w:tcBorders>
              <w:top w:val="single" w:sz="4" w:space="0" w:color="auto"/>
            </w:tcBorders>
          </w:tcPr>
          <w:p w14:paraId="014C5D6F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5-7 days after the ovulation in the previous menstrual cycle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patients were treated with a daily injection of 0.8-1.875 mg gonadotropin-releasing hormone agonist. Sex hormones and ultrasound were tested on day14 after reaching the criteria of descending regulation (follicle diameter ≤ about 5 mm; endometrial thickness ≤ 5 mm; serum E2 &lt; 183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pmol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/L, FSH &lt; 5 U/L, LH &lt; 5 U/L), 150-225 U/d gonadotropins to initiate ovulation promotion.</w:t>
            </w:r>
          </w:p>
        </w:tc>
      </w:tr>
      <w:tr w:rsidR="00B16DBC" w14:paraId="22DCBB42" w14:textId="77777777">
        <w:tc>
          <w:tcPr>
            <w:tcW w:w="2518" w:type="dxa"/>
          </w:tcPr>
          <w:p w14:paraId="1906A507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Short-acting GnRH-a luteal phase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long protocol </w:t>
            </w:r>
          </w:p>
        </w:tc>
        <w:tc>
          <w:tcPr>
            <w:tcW w:w="5778" w:type="dxa"/>
          </w:tcPr>
          <w:p w14:paraId="2EF5B2E5" w14:textId="77777777" w:rsidR="00B16DBC" w:rsidRDefault="00000000">
            <w:pPr>
              <w:spacing w:line="480" w:lineRule="auto"/>
              <w:rPr>
                <w:rFonts w:ascii="Times New Roman" w:eastAsia="宋体" w:hAnsi="Times New Roman"/>
                <w:color w:val="auto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Patients were treated with a daily injection of 0.05 mg or 0.1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mg  gonadotropin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-releasing hormone agonist in the middle of the luteal phase of the previous menstrual cycle. The entire injection period lasted 14 days. The serum hormone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levels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and B-ultrasound were checked on the 3rd to 5th day of the menstruation cycle, and then, gonadotropin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was used after the down-regulation standard was reached (FSH ≤5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/ml, LH ≤5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/ml, E2 ≤50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/ml, progesterone ≤1.5 ng/ml, and EMT ≤5 mm). The initial dose of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was 150–225 IU per day. The dose of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was adjusted according to the growth of the follicle and the hormone results.</w:t>
            </w:r>
          </w:p>
        </w:tc>
      </w:tr>
      <w:tr w:rsidR="00B16DBC" w14:paraId="11F7DF02" w14:textId="77777777">
        <w:tc>
          <w:tcPr>
            <w:tcW w:w="2518" w:type="dxa"/>
          </w:tcPr>
          <w:p w14:paraId="09089212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hyperlink r:id="rId7" w:tgtFrame="_blank" w:history="1">
              <w:r>
                <w:rPr>
                  <w:rFonts w:ascii="Times New Roman" w:hAnsi="Times New Roman"/>
                  <w:sz w:val="18"/>
                  <w:szCs w:val="18"/>
                </w:rPr>
                <w:t>GnRH-antagonist protocol</w:t>
              </w:r>
            </w:hyperlink>
          </w:p>
        </w:tc>
        <w:tc>
          <w:tcPr>
            <w:tcW w:w="5778" w:type="dxa"/>
          </w:tcPr>
          <w:p w14:paraId="28D86DC5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750–300IU r-FSH was initiated on the second or third day of the menstrual cycle, with the initial dose of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being determined on the female age, BMI, basal follicle number, basal FSH, and the ovarian response evaluated by transvaginal ultrasonography and serum hormone level. When the dominant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follicle diameter was ≥14 mm, E2 ≥400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/ml, or LH ≥10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/ml, a subcutaneous injection of GnRH-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antagonist was started daily at 0.25 mg until the trigger day.</w:t>
            </w:r>
          </w:p>
        </w:tc>
      </w:tr>
      <w:tr w:rsidR="00B16DBC" w14:paraId="4AC08141" w14:textId="77777777">
        <w:tc>
          <w:tcPr>
            <w:tcW w:w="2518" w:type="dxa"/>
          </w:tcPr>
          <w:p w14:paraId="6D330B4B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arly-follicle-phase GnRH-a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long </w:t>
            </w:r>
            <w:r>
              <w:rPr>
                <w:rFonts w:ascii="Times New Roman" w:hAnsi="Times New Roman"/>
                <w:sz w:val="18"/>
                <w:szCs w:val="18"/>
              </w:rPr>
              <w:t>protoco</w:t>
            </w:r>
            <w:r>
              <w:rPr>
                <w:rFonts w:ascii="Times New Roman" w:hAnsi="Times New Roman" w:hint="eastAsia"/>
                <w:sz w:val="18"/>
                <w:szCs w:val="18"/>
              </w:rPr>
              <w:t>l</w:t>
            </w:r>
          </w:p>
          <w:p w14:paraId="5A452598" w14:textId="77777777" w:rsidR="00B16DBC" w:rsidRDefault="00B16DBC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8" w:type="dxa"/>
          </w:tcPr>
          <w:p w14:paraId="29C0210C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Patients received a single intramuscular injection of 3.75 mg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long-acting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triptorelin acetate on day 2 or 3 of the cycle. After 30–42 days of downregulation, an ultrasound scan, and serum concentration tests were confirmed, and the criteria were as follows: endometrial thickness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>≤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>5 mm; follicles 5–7 mm; serum concentration of E2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/ml; progesterone 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>1 ng/ml; and LH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 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mIU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/ml. </w:t>
            </w:r>
          </w:p>
        </w:tc>
      </w:tr>
      <w:tr w:rsidR="00B16DBC" w14:paraId="5C6F57BE" w14:textId="77777777">
        <w:tc>
          <w:tcPr>
            <w:tcW w:w="2518" w:type="dxa"/>
          </w:tcPr>
          <w:p w14:paraId="562B87C8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Natural or semi-natural cycle</w:t>
            </w:r>
          </w:p>
        </w:tc>
        <w:tc>
          <w:tcPr>
            <w:tcW w:w="5778" w:type="dxa"/>
          </w:tcPr>
          <w:p w14:paraId="5F04F672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Basal ovarian statu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was </w:t>
            </w:r>
            <w:r>
              <w:rPr>
                <w:rFonts w:ascii="Times New Roman" w:hAnsi="Times New Roman"/>
                <w:sz w:val="18"/>
                <w:szCs w:val="18"/>
              </w:rPr>
              <w:t>check</w:t>
            </w:r>
            <w:r>
              <w:rPr>
                <w:rFonts w:ascii="Times New Roman" w:hAnsi="Times New Roman" w:hint="eastAsia"/>
                <w:sz w:val="18"/>
                <w:szCs w:val="18"/>
              </w:rPr>
              <w:t>ed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from day 2, and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follicle development was monitored by </w:t>
            </w:r>
            <w:r>
              <w:rPr>
                <w:rFonts w:ascii="Times New Roman" w:hAnsi="Times New Roman"/>
                <w:sz w:val="18"/>
                <w:szCs w:val="18"/>
              </w:rPr>
              <w:t>ultrasound from day 10 of the menstrual cycle. GnRH antagonist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or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Gn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 xml:space="preserve"> was used </w:t>
            </w:r>
            <w:r>
              <w:rPr>
                <w:rFonts w:ascii="Times New Roman" w:hAnsi="Times New Roman"/>
                <w:sz w:val="18"/>
                <w:szCs w:val="18"/>
              </w:rPr>
              <w:t>if follicular growth was unqualified. The trigger point was follicle development to 16~18mm in diameter.</w:t>
            </w:r>
          </w:p>
        </w:tc>
      </w:tr>
      <w:tr w:rsidR="00B16DBC" w14:paraId="1F036242" w14:textId="77777777">
        <w:tc>
          <w:tcPr>
            <w:tcW w:w="2518" w:type="dxa"/>
          </w:tcPr>
          <w:p w14:paraId="3685F62E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Prolonged protocol</w:t>
            </w:r>
          </w:p>
        </w:tc>
        <w:tc>
          <w:tcPr>
            <w:tcW w:w="5778" w:type="dxa"/>
          </w:tcPr>
          <w:p w14:paraId="4C421A9A" w14:textId="77777777" w:rsidR="00B16DBC" w:rsidRDefault="00000000">
            <w:pPr>
              <w:spacing w:line="480" w:lineRule="auto"/>
              <w:rPr>
                <w:rFonts w:ascii="Times New Roman" w:eastAsia="宋体" w:hAnsi="Times New Roman"/>
                <w:color w:val="auto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Patients were treated with a daily injection of 3.75 mg triptorelin acetate on </w:t>
            </w: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ays 1 to 5 of the menstrual cycle for 2~4 times per 28 days.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was started around day 14 after the last injection.</w:t>
            </w:r>
          </w:p>
        </w:tc>
      </w:tr>
      <w:tr w:rsidR="00B16DBC" w14:paraId="5DFB23F9" w14:textId="77777777">
        <w:tc>
          <w:tcPr>
            <w:tcW w:w="2518" w:type="dxa"/>
          </w:tcPr>
          <w:p w14:paraId="5FDD4F6C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Mild stimulation protocol</w:t>
            </w:r>
          </w:p>
        </w:tc>
        <w:tc>
          <w:tcPr>
            <w:tcW w:w="5778" w:type="dxa"/>
          </w:tcPr>
          <w:p w14:paraId="483CCD15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ither 50–100 mg/day oral clomiphene citrate or 2.5–5 mg/day letrozole was administered for five consecutive days from the 2nd or 3rd day of the menstrual cycle, after which gonadotropin was injected until the trigger day.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The dose of gonadotropin was adjusted according to the number and size of developing follicles on ultrasound as well as serum concentrations of sexual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hormones</w:t>
            </w:r>
            <w:proofErr w:type="gramEnd"/>
          </w:p>
          <w:p w14:paraId="5F947937" w14:textId="77777777" w:rsidR="00B16DBC" w:rsidRDefault="00B16DBC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324B5A5C" w14:textId="77777777">
        <w:tc>
          <w:tcPr>
            <w:tcW w:w="2518" w:type="dxa"/>
          </w:tcPr>
          <w:p w14:paraId="069FDE01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PPOS protocol</w:t>
            </w:r>
          </w:p>
        </w:tc>
        <w:tc>
          <w:tcPr>
            <w:tcW w:w="5778" w:type="dxa"/>
          </w:tcPr>
          <w:p w14:paraId="3E1477F9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Patients received 10 mg/day oral medroxyprogesterone acetate or 20 mg/day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dydrogesterone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and received daily ovarian stimulation by injection of gonadotropin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at 150–225 IU/day from the 2nd or 3rd day of the menstrual cycle until the trigger day.</w:t>
            </w:r>
          </w:p>
        </w:tc>
      </w:tr>
      <w:tr w:rsidR="00B16DBC" w14:paraId="64E7D87B" w14:textId="77777777">
        <w:tc>
          <w:tcPr>
            <w:tcW w:w="2518" w:type="dxa"/>
          </w:tcPr>
          <w:p w14:paraId="0FD6392B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Ovulation induction</w:t>
            </w:r>
          </w:p>
        </w:tc>
        <w:tc>
          <w:tcPr>
            <w:tcW w:w="5778" w:type="dxa"/>
          </w:tcPr>
          <w:p w14:paraId="285BCD83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Only u</w:t>
            </w:r>
            <w:r>
              <w:rPr>
                <w:rFonts w:ascii="Times New Roman" w:hAnsi="Times New Roman"/>
                <w:sz w:val="18"/>
                <w:szCs w:val="18"/>
              </w:rPr>
              <w:t>se ovulation-stimulating drugs</w:t>
            </w:r>
            <w:r>
              <w:rPr>
                <w:rFonts w:ascii="Times New Roman" w:hAnsi="Times New Roman" w:hint="eastAsia"/>
                <w:sz w:val="18"/>
                <w:szCs w:val="18"/>
              </w:rPr>
              <w:t>.</w:t>
            </w:r>
          </w:p>
        </w:tc>
      </w:tr>
    </w:tbl>
    <w:p w14:paraId="2D68C1DF" w14:textId="77777777" w:rsidR="00B16DBC" w:rsidRDefault="000000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Table S2 Baseline characteristics</w:t>
      </w:r>
    </w:p>
    <w:tbl>
      <w:tblPr>
        <w:tblStyle w:val="a5"/>
        <w:tblW w:w="8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1818"/>
        <w:gridCol w:w="11"/>
        <w:gridCol w:w="1856"/>
        <w:gridCol w:w="709"/>
        <w:gridCol w:w="760"/>
        <w:gridCol w:w="10"/>
      </w:tblGrid>
      <w:tr w:rsidR="00B16DBC" w14:paraId="3E7B110F" w14:textId="77777777">
        <w:trPr>
          <w:gridAfter w:val="1"/>
          <w:wAfter w:w="10" w:type="dxa"/>
          <w:trHeight w:val="239"/>
        </w:trPr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E26407" w14:textId="77777777" w:rsidR="00B16DBC" w:rsidRDefault="00B16DBC">
            <w:pPr>
              <w:spacing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5624161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Thyroid cancer group</w:t>
            </w:r>
          </w:p>
          <w:p w14:paraId="417151D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(n=64)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5E8AB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Control group</w:t>
            </w:r>
          </w:p>
          <w:p w14:paraId="4CFD4D6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(n=17022)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8E381D" w14:textId="77777777" w:rsidR="00B16DBC" w:rsidRDefault="00000000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SMD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B7B03" w14:textId="77777777" w:rsidR="00B16DBC" w:rsidRDefault="00000000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B16DBC" w14:paraId="5208AE0B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124A46AA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Year</w:t>
            </w:r>
          </w:p>
        </w:tc>
        <w:tc>
          <w:tcPr>
            <w:tcW w:w="1829" w:type="dxa"/>
            <w:gridSpan w:val="2"/>
            <w:vAlign w:val="center"/>
          </w:tcPr>
          <w:p w14:paraId="4685B5E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 [2019, 2021]</w:t>
            </w:r>
          </w:p>
        </w:tc>
        <w:tc>
          <w:tcPr>
            <w:tcW w:w="1856" w:type="dxa"/>
            <w:noWrap/>
            <w:vAlign w:val="center"/>
          </w:tcPr>
          <w:p w14:paraId="12A0706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2017 [2016, 201</w:t>
            </w:r>
            <w:r>
              <w:rPr>
                <w:rFonts w:ascii="Times New Roman" w:hAnsi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  <w:noWrap/>
            <w:vAlign w:val="center"/>
          </w:tcPr>
          <w:p w14:paraId="3005FC10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1.032</w:t>
            </w:r>
          </w:p>
        </w:tc>
        <w:tc>
          <w:tcPr>
            <w:tcW w:w="770" w:type="dxa"/>
            <w:gridSpan w:val="2"/>
            <w:vAlign w:val="center"/>
          </w:tcPr>
          <w:p w14:paraId="70A3ABF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B16DBC" w14:paraId="7737F389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3209C652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Years of infertility</w:t>
            </w:r>
          </w:p>
        </w:tc>
        <w:tc>
          <w:tcPr>
            <w:tcW w:w="1829" w:type="dxa"/>
            <w:gridSpan w:val="2"/>
            <w:vAlign w:val="center"/>
          </w:tcPr>
          <w:p w14:paraId="3C0A07F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[2.00, 6.00]</w:t>
            </w:r>
          </w:p>
        </w:tc>
        <w:tc>
          <w:tcPr>
            <w:tcW w:w="1856" w:type="dxa"/>
            <w:noWrap/>
            <w:vAlign w:val="center"/>
          </w:tcPr>
          <w:p w14:paraId="67E04FD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[2.00, 6.00]</w:t>
            </w:r>
          </w:p>
        </w:tc>
        <w:tc>
          <w:tcPr>
            <w:tcW w:w="709" w:type="dxa"/>
            <w:noWrap/>
            <w:vAlign w:val="center"/>
          </w:tcPr>
          <w:p w14:paraId="2363E56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0.041</w:t>
            </w:r>
          </w:p>
        </w:tc>
        <w:tc>
          <w:tcPr>
            <w:tcW w:w="770" w:type="dxa"/>
            <w:gridSpan w:val="2"/>
            <w:vAlign w:val="center"/>
          </w:tcPr>
          <w:p w14:paraId="4A63F19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B16DBC" w14:paraId="5FD95699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3886CC20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Number of cycles</w:t>
            </w:r>
          </w:p>
        </w:tc>
        <w:tc>
          <w:tcPr>
            <w:tcW w:w="1829" w:type="dxa"/>
            <w:gridSpan w:val="2"/>
            <w:vAlign w:val="center"/>
          </w:tcPr>
          <w:p w14:paraId="2651BD1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[1.00, 2.00]</w:t>
            </w:r>
          </w:p>
        </w:tc>
        <w:tc>
          <w:tcPr>
            <w:tcW w:w="1856" w:type="dxa"/>
            <w:noWrap/>
            <w:vAlign w:val="center"/>
          </w:tcPr>
          <w:p w14:paraId="28D10B6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[1.00, 2.00]</w:t>
            </w:r>
          </w:p>
        </w:tc>
        <w:tc>
          <w:tcPr>
            <w:tcW w:w="709" w:type="dxa"/>
            <w:noWrap/>
            <w:vAlign w:val="center"/>
          </w:tcPr>
          <w:p w14:paraId="76AF50A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0.045</w:t>
            </w:r>
          </w:p>
        </w:tc>
        <w:tc>
          <w:tcPr>
            <w:tcW w:w="770" w:type="dxa"/>
            <w:gridSpan w:val="2"/>
            <w:vAlign w:val="center"/>
          </w:tcPr>
          <w:p w14:paraId="3EB5CF2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0.594</w:t>
            </w:r>
          </w:p>
        </w:tc>
      </w:tr>
      <w:tr w:rsidR="00B16DBC" w14:paraId="32FEEF99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2FDC0B57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</w:t>
            </w:r>
          </w:p>
        </w:tc>
        <w:tc>
          <w:tcPr>
            <w:tcW w:w="1829" w:type="dxa"/>
            <w:gridSpan w:val="2"/>
            <w:vAlign w:val="center"/>
          </w:tcPr>
          <w:p w14:paraId="27ABE7B1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6" w:type="dxa"/>
            <w:noWrap/>
            <w:vAlign w:val="center"/>
          </w:tcPr>
          <w:p w14:paraId="08E43809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64676BB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4845A60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771C0839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793A9BFE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Female age (years)</w:t>
            </w:r>
          </w:p>
        </w:tc>
        <w:tc>
          <w:tcPr>
            <w:tcW w:w="1829" w:type="dxa"/>
            <w:gridSpan w:val="2"/>
            <w:vAlign w:val="center"/>
          </w:tcPr>
          <w:p w14:paraId="587F503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[29.75, 36.00]</w:t>
            </w:r>
          </w:p>
        </w:tc>
        <w:tc>
          <w:tcPr>
            <w:tcW w:w="1856" w:type="dxa"/>
            <w:noWrap/>
            <w:vAlign w:val="center"/>
          </w:tcPr>
          <w:p w14:paraId="2734377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 [30.00, 39.00]</w:t>
            </w:r>
          </w:p>
        </w:tc>
        <w:tc>
          <w:tcPr>
            <w:tcW w:w="709" w:type="dxa"/>
            <w:noWrap/>
            <w:vAlign w:val="center"/>
          </w:tcPr>
          <w:p w14:paraId="194013D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0.197</w:t>
            </w:r>
          </w:p>
        </w:tc>
        <w:tc>
          <w:tcPr>
            <w:tcW w:w="770" w:type="dxa"/>
            <w:gridSpan w:val="2"/>
            <w:vAlign w:val="center"/>
          </w:tcPr>
          <w:p w14:paraId="4A45E98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0.089</w:t>
            </w:r>
          </w:p>
        </w:tc>
      </w:tr>
      <w:tr w:rsidR="00B16DBC" w14:paraId="6483F877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09747769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 age (years)</w:t>
            </w:r>
          </w:p>
        </w:tc>
        <w:tc>
          <w:tcPr>
            <w:tcW w:w="1829" w:type="dxa"/>
            <w:gridSpan w:val="2"/>
            <w:vAlign w:val="center"/>
          </w:tcPr>
          <w:p w14:paraId="54159EA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 [31.00, 41.00]</w:t>
            </w:r>
          </w:p>
        </w:tc>
        <w:tc>
          <w:tcPr>
            <w:tcW w:w="1856" w:type="dxa"/>
            <w:noWrap/>
            <w:vAlign w:val="center"/>
          </w:tcPr>
          <w:p w14:paraId="5C737C2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 [32.00, 41.00]</w:t>
            </w:r>
          </w:p>
        </w:tc>
        <w:tc>
          <w:tcPr>
            <w:tcW w:w="709" w:type="dxa"/>
            <w:noWrap/>
            <w:vAlign w:val="center"/>
          </w:tcPr>
          <w:p w14:paraId="556DB83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0.119</w:t>
            </w:r>
          </w:p>
        </w:tc>
        <w:tc>
          <w:tcPr>
            <w:tcW w:w="770" w:type="dxa"/>
            <w:gridSpan w:val="2"/>
            <w:vAlign w:val="center"/>
          </w:tcPr>
          <w:p w14:paraId="6D40A84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0.319</w:t>
            </w:r>
          </w:p>
        </w:tc>
      </w:tr>
      <w:tr w:rsidR="00B16DBC" w14:paraId="2A31D50D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35DFDD40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Body-mass index</w:t>
            </w:r>
          </w:p>
        </w:tc>
        <w:tc>
          <w:tcPr>
            <w:tcW w:w="1829" w:type="dxa"/>
            <w:gridSpan w:val="2"/>
            <w:vAlign w:val="center"/>
          </w:tcPr>
          <w:p w14:paraId="6837A8E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56" w:type="dxa"/>
            <w:noWrap/>
            <w:vAlign w:val="center"/>
          </w:tcPr>
          <w:p w14:paraId="3A5893A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7324EAF8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6A57179D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9F09504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54C72698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Female Body-mass index (kg/m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29" w:type="dxa"/>
            <w:gridSpan w:val="2"/>
            <w:vAlign w:val="center"/>
          </w:tcPr>
          <w:p w14:paraId="77206B0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21.7 [19.88, 23.70]</w:t>
            </w:r>
          </w:p>
        </w:tc>
        <w:tc>
          <w:tcPr>
            <w:tcW w:w="1856" w:type="dxa"/>
            <w:noWrap/>
            <w:vAlign w:val="center"/>
          </w:tcPr>
          <w:p w14:paraId="31B62B1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21.5 [19.70, 23.50]</w:t>
            </w:r>
          </w:p>
        </w:tc>
        <w:tc>
          <w:tcPr>
            <w:tcW w:w="709" w:type="dxa"/>
            <w:noWrap/>
            <w:vAlign w:val="center"/>
          </w:tcPr>
          <w:p w14:paraId="34A07C8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0.055</w:t>
            </w:r>
          </w:p>
        </w:tc>
        <w:tc>
          <w:tcPr>
            <w:tcW w:w="770" w:type="dxa"/>
            <w:gridSpan w:val="2"/>
            <w:vAlign w:val="center"/>
          </w:tcPr>
          <w:p w14:paraId="0BD733F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0.623</w:t>
            </w:r>
          </w:p>
        </w:tc>
      </w:tr>
      <w:tr w:rsidR="00B16DBC" w14:paraId="6ABB9EDC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7D91ACF1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 Body-mass index (kg/m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29" w:type="dxa"/>
            <w:gridSpan w:val="2"/>
            <w:vAlign w:val="center"/>
          </w:tcPr>
          <w:p w14:paraId="58A4885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24.65 [22.62, 26.07]</w:t>
            </w:r>
          </w:p>
        </w:tc>
        <w:tc>
          <w:tcPr>
            <w:tcW w:w="1856" w:type="dxa"/>
            <w:noWrap/>
            <w:vAlign w:val="center"/>
          </w:tcPr>
          <w:p w14:paraId="3B1070D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23.9 [21.80, 26.10]</w:t>
            </w:r>
          </w:p>
        </w:tc>
        <w:tc>
          <w:tcPr>
            <w:tcW w:w="709" w:type="dxa"/>
            <w:noWrap/>
            <w:vAlign w:val="center"/>
          </w:tcPr>
          <w:p w14:paraId="00C6ABA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0.155</w:t>
            </w:r>
          </w:p>
        </w:tc>
        <w:tc>
          <w:tcPr>
            <w:tcW w:w="770" w:type="dxa"/>
            <w:gridSpan w:val="2"/>
            <w:vAlign w:val="center"/>
          </w:tcPr>
          <w:p w14:paraId="60B3BF3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0.262</w:t>
            </w:r>
          </w:p>
        </w:tc>
      </w:tr>
      <w:tr w:rsidR="00B16DBC" w14:paraId="76AE8183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3ACA4938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COS protocols</w:t>
            </w:r>
          </w:p>
        </w:tc>
        <w:tc>
          <w:tcPr>
            <w:tcW w:w="1829" w:type="dxa"/>
            <w:gridSpan w:val="2"/>
            <w:vAlign w:val="center"/>
          </w:tcPr>
          <w:p w14:paraId="7D67C760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1158AC82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DEA9CE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26250E9E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0B553A0F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1FAB6EAF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Long-acting GnRH-a luteal phase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long protocol</w:t>
            </w:r>
          </w:p>
        </w:tc>
        <w:tc>
          <w:tcPr>
            <w:tcW w:w="1829" w:type="dxa"/>
            <w:gridSpan w:val="2"/>
            <w:vAlign w:val="center"/>
          </w:tcPr>
          <w:p w14:paraId="0EC1FF3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(28.1)</w:t>
            </w:r>
          </w:p>
        </w:tc>
        <w:tc>
          <w:tcPr>
            <w:tcW w:w="1856" w:type="dxa"/>
            <w:noWrap/>
            <w:vAlign w:val="center"/>
          </w:tcPr>
          <w:p w14:paraId="43690AC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5885 (34.6)</w:t>
            </w:r>
          </w:p>
        </w:tc>
        <w:tc>
          <w:tcPr>
            <w:tcW w:w="709" w:type="dxa"/>
            <w:noWrap/>
            <w:vAlign w:val="center"/>
          </w:tcPr>
          <w:p w14:paraId="2FCEF1F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0.139</w:t>
            </w:r>
          </w:p>
        </w:tc>
        <w:tc>
          <w:tcPr>
            <w:tcW w:w="770" w:type="dxa"/>
            <w:gridSpan w:val="2"/>
            <w:vAlign w:val="center"/>
          </w:tcPr>
          <w:p w14:paraId="31259F1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0.342</w:t>
            </w:r>
          </w:p>
        </w:tc>
      </w:tr>
      <w:tr w:rsidR="00B16DBC" w14:paraId="22D17C7B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5FA0F8DC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Natural or 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emi-natural cycle</w:t>
            </w:r>
          </w:p>
        </w:tc>
        <w:tc>
          <w:tcPr>
            <w:tcW w:w="1829" w:type="dxa"/>
            <w:gridSpan w:val="2"/>
            <w:vAlign w:val="center"/>
          </w:tcPr>
          <w:p w14:paraId="3D77FE9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(1.6)</w:t>
            </w:r>
          </w:p>
        </w:tc>
        <w:tc>
          <w:tcPr>
            <w:tcW w:w="1856" w:type="dxa"/>
            <w:noWrap/>
            <w:vAlign w:val="center"/>
          </w:tcPr>
          <w:p w14:paraId="3F6ECB8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313 (1.8)</w:t>
            </w:r>
          </w:p>
        </w:tc>
        <w:tc>
          <w:tcPr>
            <w:tcW w:w="709" w:type="dxa"/>
            <w:noWrap/>
            <w:vAlign w:val="center"/>
          </w:tcPr>
          <w:p w14:paraId="18840B9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  <w:tc>
          <w:tcPr>
            <w:tcW w:w="770" w:type="dxa"/>
            <w:gridSpan w:val="2"/>
            <w:vAlign w:val="center"/>
          </w:tcPr>
          <w:p w14:paraId="1CBD3CC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.000</w:t>
            </w:r>
          </w:p>
        </w:tc>
      </w:tr>
      <w:tr w:rsidR="00B16DBC" w14:paraId="2840EC87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59A13A85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Mild stimulation protocol</w:t>
            </w:r>
          </w:p>
        </w:tc>
        <w:tc>
          <w:tcPr>
            <w:tcW w:w="1829" w:type="dxa"/>
            <w:gridSpan w:val="2"/>
            <w:vAlign w:val="center"/>
          </w:tcPr>
          <w:p w14:paraId="194EF73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(14.1)</w:t>
            </w:r>
          </w:p>
        </w:tc>
        <w:tc>
          <w:tcPr>
            <w:tcW w:w="1856" w:type="dxa"/>
            <w:noWrap/>
            <w:vAlign w:val="center"/>
          </w:tcPr>
          <w:p w14:paraId="056F500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2498 (14.7)</w:t>
            </w:r>
          </w:p>
        </w:tc>
        <w:tc>
          <w:tcPr>
            <w:tcW w:w="709" w:type="dxa"/>
            <w:noWrap/>
            <w:vAlign w:val="center"/>
          </w:tcPr>
          <w:p w14:paraId="1A5DDBD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0.017</w:t>
            </w:r>
          </w:p>
        </w:tc>
        <w:tc>
          <w:tcPr>
            <w:tcW w:w="770" w:type="dxa"/>
            <w:gridSpan w:val="2"/>
            <w:vAlign w:val="center"/>
          </w:tcPr>
          <w:p w14:paraId="1DC84D0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.000</w:t>
            </w:r>
          </w:p>
        </w:tc>
      </w:tr>
      <w:tr w:rsidR="00B16DBC" w14:paraId="20A1BAB5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5DBEB3BC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Short-acting GnRH-a luteal phase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long protocol</w:t>
            </w:r>
          </w:p>
        </w:tc>
        <w:tc>
          <w:tcPr>
            <w:tcW w:w="1829" w:type="dxa"/>
            <w:gridSpan w:val="2"/>
            <w:vAlign w:val="center"/>
          </w:tcPr>
          <w:p w14:paraId="7802121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(3.1)</w:t>
            </w:r>
          </w:p>
        </w:tc>
        <w:tc>
          <w:tcPr>
            <w:tcW w:w="1856" w:type="dxa"/>
            <w:noWrap/>
            <w:vAlign w:val="center"/>
          </w:tcPr>
          <w:p w14:paraId="027C80D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1584 (9.3)</w:t>
            </w:r>
          </w:p>
        </w:tc>
        <w:tc>
          <w:tcPr>
            <w:tcW w:w="709" w:type="dxa"/>
            <w:noWrap/>
            <w:vAlign w:val="center"/>
          </w:tcPr>
          <w:p w14:paraId="7D68012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0.258</w:t>
            </w:r>
          </w:p>
        </w:tc>
        <w:tc>
          <w:tcPr>
            <w:tcW w:w="770" w:type="dxa"/>
            <w:gridSpan w:val="2"/>
            <w:vAlign w:val="center"/>
          </w:tcPr>
          <w:p w14:paraId="1A0082A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0.138</w:t>
            </w:r>
          </w:p>
        </w:tc>
      </w:tr>
      <w:tr w:rsidR="00B16DBC" w14:paraId="0D3B5960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77846A66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Prolonged </w:t>
            </w:r>
            <w:r>
              <w:rPr>
                <w:rFonts w:ascii="Times New Roman" w:hAnsi="Times New Roman" w:hint="eastAsia"/>
                <w:sz w:val="18"/>
                <w:szCs w:val="18"/>
              </w:rPr>
              <w:t>protocol</w:t>
            </w:r>
          </w:p>
        </w:tc>
        <w:tc>
          <w:tcPr>
            <w:tcW w:w="1829" w:type="dxa"/>
            <w:gridSpan w:val="2"/>
            <w:vAlign w:val="center"/>
          </w:tcPr>
          <w:p w14:paraId="2DF2B12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(4.7)</w:t>
            </w:r>
          </w:p>
        </w:tc>
        <w:tc>
          <w:tcPr>
            <w:tcW w:w="1856" w:type="dxa"/>
            <w:noWrap/>
            <w:vAlign w:val="center"/>
          </w:tcPr>
          <w:p w14:paraId="528421B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614 (3.6)</w:t>
            </w:r>
          </w:p>
        </w:tc>
        <w:tc>
          <w:tcPr>
            <w:tcW w:w="709" w:type="dxa"/>
            <w:noWrap/>
            <w:vAlign w:val="center"/>
          </w:tcPr>
          <w:p w14:paraId="320ECB9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770" w:type="dxa"/>
            <w:gridSpan w:val="2"/>
            <w:vAlign w:val="center"/>
          </w:tcPr>
          <w:p w14:paraId="7CA6273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0.899</w:t>
            </w:r>
          </w:p>
        </w:tc>
      </w:tr>
      <w:tr w:rsidR="00B16DBC" w14:paraId="63671D3E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38E07D09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Ovulation induction</w:t>
            </w:r>
          </w:p>
        </w:tc>
        <w:tc>
          <w:tcPr>
            <w:tcW w:w="1829" w:type="dxa"/>
            <w:gridSpan w:val="2"/>
            <w:vAlign w:val="center"/>
          </w:tcPr>
          <w:p w14:paraId="17298ED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(6.2)</w:t>
            </w:r>
          </w:p>
        </w:tc>
        <w:tc>
          <w:tcPr>
            <w:tcW w:w="1856" w:type="dxa"/>
            <w:noWrap/>
            <w:vAlign w:val="center"/>
          </w:tcPr>
          <w:p w14:paraId="3059E6B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1033 (6.1)</w:t>
            </w:r>
          </w:p>
        </w:tc>
        <w:tc>
          <w:tcPr>
            <w:tcW w:w="709" w:type="dxa"/>
            <w:noWrap/>
            <w:vAlign w:val="center"/>
          </w:tcPr>
          <w:p w14:paraId="03F5943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0.008</w:t>
            </w:r>
          </w:p>
        </w:tc>
        <w:tc>
          <w:tcPr>
            <w:tcW w:w="770" w:type="dxa"/>
            <w:gridSpan w:val="2"/>
            <w:vAlign w:val="center"/>
          </w:tcPr>
          <w:p w14:paraId="7F43B44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.000</w:t>
            </w:r>
          </w:p>
        </w:tc>
      </w:tr>
      <w:tr w:rsidR="00B16DBC" w14:paraId="06CEE220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05D9C8A4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PPOS protocol</w:t>
            </w:r>
          </w:p>
        </w:tc>
        <w:tc>
          <w:tcPr>
            <w:tcW w:w="1829" w:type="dxa"/>
            <w:gridSpan w:val="2"/>
            <w:vAlign w:val="center"/>
          </w:tcPr>
          <w:p w14:paraId="0EF2EB6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(1.6)</w:t>
            </w:r>
          </w:p>
        </w:tc>
        <w:tc>
          <w:tcPr>
            <w:tcW w:w="1856" w:type="dxa"/>
            <w:noWrap/>
            <w:vAlign w:val="center"/>
          </w:tcPr>
          <w:p w14:paraId="183CE41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353 (2.1)</w:t>
            </w:r>
          </w:p>
        </w:tc>
        <w:tc>
          <w:tcPr>
            <w:tcW w:w="709" w:type="dxa"/>
            <w:noWrap/>
            <w:vAlign w:val="center"/>
          </w:tcPr>
          <w:p w14:paraId="7307503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0.038</w:t>
            </w:r>
          </w:p>
        </w:tc>
        <w:tc>
          <w:tcPr>
            <w:tcW w:w="770" w:type="dxa"/>
            <w:gridSpan w:val="2"/>
            <w:vAlign w:val="center"/>
          </w:tcPr>
          <w:p w14:paraId="7A9D7CE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.000</w:t>
            </w:r>
          </w:p>
        </w:tc>
      </w:tr>
      <w:tr w:rsidR="00B16DBC" w14:paraId="4C289B6A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49C59E7F" w14:textId="77777777" w:rsidR="00B16DBC" w:rsidRDefault="00000000">
            <w:pPr>
              <w:widowControl/>
              <w:spacing w:line="480" w:lineRule="auto"/>
              <w:ind w:firstLineChars="100" w:firstLine="20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hyperlink r:id="rId8" w:tgtFrame="_blank" w:history="1">
              <w:r>
                <w:rPr>
                  <w:rFonts w:ascii="Times New Roman" w:hAnsi="Times New Roman"/>
                  <w:sz w:val="18"/>
                  <w:szCs w:val="18"/>
                </w:rPr>
                <w:t>GnRH-antagonist protocol</w:t>
              </w:r>
            </w:hyperlink>
          </w:p>
        </w:tc>
        <w:tc>
          <w:tcPr>
            <w:tcW w:w="1829" w:type="dxa"/>
            <w:gridSpan w:val="2"/>
            <w:vAlign w:val="center"/>
          </w:tcPr>
          <w:p w14:paraId="3D5E42C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(32.8)</w:t>
            </w:r>
          </w:p>
        </w:tc>
        <w:tc>
          <w:tcPr>
            <w:tcW w:w="1856" w:type="dxa"/>
            <w:noWrap/>
            <w:vAlign w:val="center"/>
          </w:tcPr>
          <w:p w14:paraId="6435BC6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3939 (23.1)</w:t>
            </w:r>
          </w:p>
        </w:tc>
        <w:tc>
          <w:tcPr>
            <w:tcW w:w="709" w:type="dxa"/>
            <w:noWrap/>
            <w:vAlign w:val="center"/>
          </w:tcPr>
          <w:p w14:paraId="7C8A17B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0.217</w:t>
            </w:r>
          </w:p>
        </w:tc>
        <w:tc>
          <w:tcPr>
            <w:tcW w:w="770" w:type="dxa"/>
            <w:gridSpan w:val="2"/>
            <w:vAlign w:val="center"/>
          </w:tcPr>
          <w:p w14:paraId="58BC557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0.093</w:t>
            </w:r>
          </w:p>
        </w:tc>
      </w:tr>
      <w:tr w:rsidR="00B16DBC" w14:paraId="634EE11B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4CDF06C7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arly-follicle-phase GnRH-a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long </w:t>
            </w:r>
            <w:r>
              <w:rPr>
                <w:rFonts w:ascii="Times New Roman" w:hAnsi="Times New Roman"/>
                <w:sz w:val="18"/>
                <w:szCs w:val="18"/>
              </w:rPr>
              <w:t>protoco</w:t>
            </w:r>
            <w:r>
              <w:rPr>
                <w:rFonts w:ascii="Times New Roman" w:hAnsi="Times New Roman" w:hint="eastAsia"/>
                <w:sz w:val="18"/>
                <w:szCs w:val="18"/>
              </w:rPr>
              <w:t>l</w:t>
            </w:r>
          </w:p>
        </w:tc>
        <w:tc>
          <w:tcPr>
            <w:tcW w:w="1829" w:type="dxa"/>
            <w:gridSpan w:val="2"/>
            <w:vAlign w:val="center"/>
          </w:tcPr>
          <w:p w14:paraId="2313CEE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(7.8)</w:t>
            </w:r>
          </w:p>
        </w:tc>
        <w:tc>
          <w:tcPr>
            <w:tcW w:w="1856" w:type="dxa"/>
            <w:noWrap/>
            <w:vAlign w:val="center"/>
          </w:tcPr>
          <w:p w14:paraId="49F4EF6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585 (3.4)</w:t>
            </w:r>
          </w:p>
        </w:tc>
        <w:tc>
          <w:tcPr>
            <w:tcW w:w="709" w:type="dxa"/>
            <w:noWrap/>
            <w:vAlign w:val="center"/>
          </w:tcPr>
          <w:p w14:paraId="5491DFF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0.191</w:t>
            </w:r>
          </w:p>
        </w:tc>
        <w:tc>
          <w:tcPr>
            <w:tcW w:w="770" w:type="dxa"/>
            <w:gridSpan w:val="2"/>
            <w:vAlign w:val="center"/>
          </w:tcPr>
          <w:p w14:paraId="7B4A0FD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0.116</w:t>
            </w:r>
          </w:p>
        </w:tc>
      </w:tr>
      <w:tr w:rsidR="00B16DBC" w14:paraId="3A5624D8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641EAA97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Other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protocols</w:t>
            </w:r>
          </w:p>
        </w:tc>
        <w:tc>
          <w:tcPr>
            <w:tcW w:w="1829" w:type="dxa"/>
            <w:gridSpan w:val="2"/>
            <w:vAlign w:val="center"/>
          </w:tcPr>
          <w:p w14:paraId="07833E4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(0)</w:t>
            </w:r>
          </w:p>
        </w:tc>
        <w:tc>
          <w:tcPr>
            <w:tcW w:w="1856" w:type="dxa"/>
            <w:noWrap/>
            <w:vAlign w:val="center"/>
          </w:tcPr>
          <w:p w14:paraId="50F8A79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 (1.3)</w:t>
            </w:r>
          </w:p>
        </w:tc>
        <w:tc>
          <w:tcPr>
            <w:tcW w:w="709" w:type="dxa"/>
            <w:noWrap/>
            <w:vAlign w:val="center"/>
          </w:tcPr>
          <w:p w14:paraId="6E434E5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0.163</w:t>
            </w:r>
          </w:p>
        </w:tc>
        <w:tc>
          <w:tcPr>
            <w:tcW w:w="770" w:type="dxa"/>
            <w:gridSpan w:val="2"/>
            <w:vAlign w:val="center"/>
          </w:tcPr>
          <w:p w14:paraId="27210F5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0.709</w:t>
            </w:r>
          </w:p>
        </w:tc>
      </w:tr>
      <w:tr w:rsidR="00B16DBC" w14:paraId="5A9EE6C7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15D03AB4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Types of infertility</w:t>
            </w:r>
          </w:p>
        </w:tc>
        <w:tc>
          <w:tcPr>
            <w:tcW w:w="1829" w:type="dxa"/>
            <w:gridSpan w:val="2"/>
            <w:vAlign w:val="center"/>
          </w:tcPr>
          <w:p w14:paraId="7068C2C3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6" w:type="dxa"/>
            <w:noWrap/>
            <w:vAlign w:val="center"/>
          </w:tcPr>
          <w:p w14:paraId="7E049598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EBD1A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41D6704C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CCDDACE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1D0851F6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Primary</w:t>
            </w:r>
          </w:p>
        </w:tc>
        <w:tc>
          <w:tcPr>
            <w:tcW w:w="1829" w:type="dxa"/>
            <w:gridSpan w:val="2"/>
            <w:vAlign w:val="center"/>
          </w:tcPr>
          <w:p w14:paraId="633D12E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 (43.8)</w:t>
            </w:r>
          </w:p>
        </w:tc>
        <w:tc>
          <w:tcPr>
            <w:tcW w:w="1856" w:type="dxa"/>
            <w:noWrap/>
            <w:vAlign w:val="center"/>
          </w:tcPr>
          <w:p w14:paraId="390AD4C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6032 (35.4)</w:t>
            </w:r>
          </w:p>
        </w:tc>
        <w:tc>
          <w:tcPr>
            <w:tcW w:w="709" w:type="dxa"/>
            <w:noWrap/>
            <w:vAlign w:val="center"/>
          </w:tcPr>
          <w:p w14:paraId="6F928EB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0.171</w:t>
            </w:r>
          </w:p>
        </w:tc>
        <w:tc>
          <w:tcPr>
            <w:tcW w:w="770" w:type="dxa"/>
            <w:gridSpan w:val="2"/>
            <w:vAlign w:val="center"/>
          </w:tcPr>
          <w:p w14:paraId="647AF9C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0.209</w:t>
            </w:r>
          </w:p>
        </w:tc>
      </w:tr>
      <w:tr w:rsidR="00B16DBC" w14:paraId="74D9B73D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604FE68D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Secondary</w:t>
            </w:r>
          </w:p>
        </w:tc>
        <w:tc>
          <w:tcPr>
            <w:tcW w:w="1829" w:type="dxa"/>
            <w:gridSpan w:val="2"/>
            <w:vAlign w:val="center"/>
          </w:tcPr>
          <w:p w14:paraId="744CA7A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 (56.2)</w:t>
            </w:r>
          </w:p>
        </w:tc>
        <w:tc>
          <w:tcPr>
            <w:tcW w:w="1856" w:type="dxa"/>
            <w:noWrap/>
            <w:vAlign w:val="center"/>
          </w:tcPr>
          <w:p w14:paraId="3BC7C7B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10990 (64.6)</w:t>
            </w:r>
          </w:p>
        </w:tc>
        <w:tc>
          <w:tcPr>
            <w:tcW w:w="709" w:type="dxa"/>
            <w:noWrap/>
            <w:vAlign w:val="center"/>
          </w:tcPr>
          <w:p w14:paraId="7A45BDF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0.171</w:t>
            </w:r>
          </w:p>
        </w:tc>
        <w:tc>
          <w:tcPr>
            <w:tcW w:w="770" w:type="dxa"/>
            <w:gridSpan w:val="2"/>
            <w:vAlign w:val="center"/>
          </w:tcPr>
          <w:p w14:paraId="6095FB6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0.209</w:t>
            </w:r>
          </w:p>
        </w:tc>
      </w:tr>
      <w:tr w:rsidR="00B16DBC" w14:paraId="359C878C" w14:textId="77777777">
        <w:trPr>
          <w:trHeight w:val="239"/>
        </w:trPr>
        <w:tc>
          <w:tcPr>
            <w:tcW w:w="3114" w:type="dxa"/>
            <w:gridSpan w:val="2"/>
            <w:noWrap/>
          </w:tcPr>
          <w:p w14:paraId="5F579ACA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Indication for IVF</w:t>
            </w:r>
          </w:p>
        </w:tc>
        <w:tc>
          <w:tcPr>
            <w:tcW w:w="1829" w:type="dxa"/>
            <w:gridSpan w:val="2"/>
            <w:vAlign w:val="center"/>
          </w:tcPr>
          <w:p w14:paraId="3EDA2C7F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52E9DA4E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68B7D4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7C612384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8F73B19" w14:textId="77777777">
        <w:trPr>
          <w:trHeight w:val="239"/>
        </w:trPr>
        <w:tc>
          <w:tcPr>
            <w:tcW w:w="2547" w:type="dxa"/>
            <w:noWrap/>
          </w:tcPr>
          <w:p w14:paraId="5108E4CB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Ovulatory dysfunction </w:t>
            </w:r>
          </w:p>
        </w:tc>
        <w:tc>
          <w:tcPr>
            <w:tcW w:w="567" w:type="dxa"/>
          </w:tcPr>
          <w:p w14:paraId="5D3E1EE7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333477F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(28.1)</w:t>
            </w:r>
          </w:p>
        </w:tc>
        <w:tc>
          <w:tcPr>
            <w:tcW w:w="1856" w:type="dxa"/>
            <w:noWrap/>
            <w:vAlign w:val="center"/>
          </w:tcPr>
          <w:p w14:paraId="7EEBBFE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3077 (18.1)</w:t>
            </w:r>
          </w:p>
        </w:tc>
        <w:tc>
          <w:tcPr>
            <w:tcW w:w="709" w:type="dxa"/>
            <w:noWrap/>
            <w:vAlign w:val="center"/>
          </w:tcPr>
          <w:p w14:paraId="352D29E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0.24</w:t>
            </w:r>
          </w:p>
        </w:tc>
        <w:tc>
          <w:tcPr>
            <w:tcW w:w="770" w:type="dxa"/>
            <w:gridSpan w:val="2"/>
            <w:vAlign w:val="center"/>
          </w:tcPr>
          <w:p w14:paraId="20AE476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0.055</w:t>
            </w:r>
          </w:p>
        </w:tc>
      </w:tr>
      <w:tr w:rsidR="00B16DBC" w14:paraId="0F56191B" w14:textId="77777777">
        <w:trPr>
          <w:trHeight w:val="239"/>
        </w:trPr>
        <w:tc>
          <w:tcPr>
            <w:tcW w:w="2547" w:type="dxa"/>
            <w:noWrap/>
          </w:tcPr>
          <w:p w14:paraId="1FA31CC1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92D674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4F39FEC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 (71.9)</w:t>
            </w:r>
          </w:p>
        </w:tc>
        <w:tc>
          <w:tcPr>
            <w:tcW w:w="1856" w:type="dxa"/>
            <w:noWrap/>
            <w:vAlign w:val="center"/>
          </w:tcPr>
          <w:p w14:paraId="7EEFDB9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13945 (81.9)</w:t>
            </w:r>
          </w:p>
        </w:tc>
        <w:tc>
          <w:tcPr>
            <w:tcW w:w="709" w:type="dxa"/>
            <w:noWrap/>
            <w:vAlign w:val="center"/>
          </w:tcPr>
          <w:p w14:paraId="52C79AF3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4E90428E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052CE78" w14:textId="77777777">
        <w:trPr>
          <w:trHeight w:val="239"/>
        </w:trPr>
        <w:tc>
          <w:tcPr>
            <w:tcW w:w="2547" w:type="dxa"/>
            <w:noWrap/>
          </w:tcPr>
          <w:p w14:paraId="750DDA47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Oviduct factors</w:t>
            </w:r>
          </w:p>
        </w:tc>
        <w:tc>
          <w:tcPr>
            <w:tcW w:w="567" w:type="dxa"/>
          </w:tcPr>
          <w:p w14:paraId="2F7BBBD9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38E2369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 (64.1)</w:t>
            </w:r>
          </w:p>
        </w:tc>
        <w:tc>
          <w:tcPr>
            <w:tcW w:w="1856" w:type="dxa"/>
            <w:noWrap/>
            <w:vAlign w:val="center"/>
          </w:tcPr>
          <w:p w14:paraId="595538F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11182 (65.7)</w:t>
            </w:r>
          </w:p>
        </w:tc>
        <w:tc>
          <w:tcPr>
            <w:tcW w:w="709" w:type="dxa"/>
            <w:noWrap/>
            <w:vAlign w:val="center"/>
          </w:tcPr>
          <w:p w14:paraId="35781E9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770" w:type="dxa"/>
            <w:gridSpan w:val="2"/>
            <w:vAlign w:val="center"/>
          </w:tcPr>
          <w:p w14:paraId="5C3AA18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0.887</w:t>
            </w:r>
          </w:p>
        </w:tc>
      </w:tr>
      <w:tr w:rsidR="00B16DBC" w14:paraId="1C64A562" w14:textId="77777777">
        <w:trPr>
          <w:trHeight w:val="239"/>
        </w:trPr>
        <w:tc>
          <w:tcPr>
            <w:tcW w:w="2547" w:type="dxa"/>
            <w:noWrap/>
          </w:tcPr>
          <w:p w14:paraId="13C7AE0F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E6D2E78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6D9C943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(35.9)</w:t>
            </w:r>
          </w:p>
        </w:tc>
        <w:tc>
          <w:tcPr>
            <w:tcW w:w="1856" w:type="dxa"/>
            <w:noWrap/>
            <w:vAlign w:val="center"/>
          </w:tcPr>
          <w:p w14:paraId="2AEE43D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5840 (34.3)</w:t>
            </w:r>
          </w:p>
        </w:tc>
        <w:tc>
          <w:tcPr>
            <w:tcW w:w="709" w:type="dxa"/>
            <w:noWrap/>
            <w:vAlign w:val="center"/>
          </w:tcPr>
          <w:p w14:paraId="11AE5F50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698B345C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6F0A7DFD" w14:textId="77777777">
        <w:trPr>
          <w:trHeight w:val="239"/>
        </w:trPr>
        <w:tc>
          <w:tcPr>
            <w:tcW w:w="2547" w:type="dxa"/>
            <w:noWrap/>
          </w:tcPr>
          <w:p w14:paraId="5C297305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Uterus diseases</w:t>
            </w:r>
          </w:p>
        </w:tc>
        <w:tc>
          <w:tcPr>
            <w:tcW w:w="567" w:type="dxa"/>
          </w:tcPr>
          <w:p w14:paraId="3D2E7F87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3BDF296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(29.7)</w:t>
            </w:r>
          </w:p>
        </w:tc>
        <w:tc>
          <w:tcPr>
            <w:tcW w:w="1856" w:type="dxa"/>
            <w:noWrap/>
            <w:vAlign w:val="center"/>
          </w:tcPr>
          <w:p w14:paraId="7B44E3B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3765 (22.1)</w:t>
            </w:r>
          </w:p>
        </w:tc>
        <w:tc>
          <w:tcPr>
            <w:tcW w:w="709" w:type="dxa"/>
            <w:noWrap/>
            <w:vAlign w:val="center"/>
          </w:tcPr>
          <w:p w14:paraId="1CE1726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0.173</w:t>
            </w:r>
          </w:p>
        </w:tc>
        <w:tc>
          <w:tcPr>
            <w:tcW w:w="770" w:type="dxa"/>
            <w:gridSpan w:val="2"/>
            <w:vAlign w:val="center"/>
          </w:tcPr>
          <w:p w14:paraId="0FEF6BE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0.192</w:t>
            </w:r>
          </w:p>
        </w:tc>
      </w:tr>
      <w:tr w:rsidR="00B16DBC" w14:paraId="698130B6" w14:textId="77777777">
        <w:trPr>
          <w:trHeight w:val="239"/>
        </w:trPr>
        <w:tc>
          <w:tcPr>
            <w:tcW w:w="2547" w:type="dxa"/>
            <w:noWrap/>
          </w:tcPr>
          <w:p w14:paraId="0090384B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7CC3F9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31B002A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 (70.3)</w:t>
            </w:r>
          </w:p>
        </w:tc>
        <w:tc>
          <w:tcPr>
            <w:tcW w:w="1856" w:type="dxa"/>
            <w:noWrap/>
            <w:vAlign w:val="center"/>
          </w:tcPr>
          <w:p w14:paraId="4862CFE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13257 (77.9)</w:t>
            </w:r>
          </w:p>
        </w:tc>
        <w:tc>
          <w:tcPr>
            <w:tcW w:w="709" w:type="dxa"/>
            <w:noWrap/>
            <w:vAlign w:val="center"/>
          </w:tcPr>
          <w:p w14:paraId="11CFC2B1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6A6CC2FC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05899605" w14:textId="77777777">
        <w:trPr>
          <w:trHeight w:val="239"/>
        </w:trPr>
        <w:tc>
          <w:tcPr>
            <w:tcW w:w="2547" w:type="dxa"/>
            <w:noWrap/>
          </w:tcPr>
          <w:p w14:paraId="1C3696ED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Cervical factors</w:t>
            </w:r>
          </w:p>
        </w:tc>
        <w:tc>
          <w:tcPr>
            <w:tcW w:w="567" w:type="dxa"/>
          </w:tcPr>
          <w:p w14:paraId="7548CFA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0552ED1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(6.2)</w:t>
            </w:r>
          </w:p>
        </w:tc>
        <w:tc>
          <w:tcPr>
            <w:tcW w:w="1856" w:type="dxa"/>
            <w:noWrap/>
            <w:vAlign w:val="center"/>
          </w:tcPr>
          <w:p w14:paraId="595D966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651 (3.8)</w:t>
            </w:r>
          </w:p>
        </w:tc>
        <w:tc>
          <w:tcPr>
            <w:tcW w:w="709" w:type="dxa"/>
            <w:noWrap/>
            <w:vAlign w:val="center"/>
          </w:tcPr>
          <w:p w14:paraId="765F65C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0.111</w:t>
            </w:r>
          </w:p>
        </w:tc>
        <w:tc>
          <w:tcPr>
            <w:tcW w:w="770" w:type="dxa"/>
            <w:gridSpan w:val="2"/>
            <w:vAlign w:val="center"/>
          </w:tcPr>
          <w:p w14:paraId="44D048E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0.495</w:t>
            </w:r>
          </w:p>
        </w:tc>
      </w:tr>
      <w:tr w:rsidR="00B16DBC" w14:paraId="1B915652" w14:textId="77777777">
        <w:trPr>
          <w:trHeight w:val="239"/>
        </w:trPr>
        <w:tc>
          <w:tcPr>
            <w:tcW w:w="2547" w:type="dxa"/>
            <w:noWrap/>
          </w:tcPr>
          <w:p w14:paraId="0A4CF7F7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D17068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0ED2300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 (93.8)</w:t>
            </w:r>
          </w:p>
        </w:tc>
        <w:tc>
          <w:tcPr>
            <w:tcW w:w="1856" w:type="dxa"/>
            <w:noWrap/>
            <w:vAlign w:val="center"/>
          </w:tcPr>
          <w:p w14:paraId="30896C1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16371 (96.2)</w:t>
            </w:r>
          </w:p>
        </w:tc>
        <w:tc>
          <w:tcPr>
            <w:tcW w:w="709" w:type="dxa"/>
            <w:noWrap/>
            <w:vAlign w:val="center"/>
          </w:tcPr>
          <w:p w14:paraId="230559C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1F51AE1D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625192D0" w14:textId="77777777">
        <w:trPr>
          <w:trHeight w:val="239"/>
        </w:trPr>
        <w:tc>
          <w:tcPr>
            <w:tcW w:w="2547" w:type="dxa"/>
            <w:noWrap/>
          </w:tcPr>
          <w:p w14:paraId="31A93BB7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Endometriosis </w:t>
            </w:r>
          </w:p>
        </w:tc>
        <w:tc>
          <w:tcPr>
            <w:tcW w:w="567" w:type="dxa"/>
          </w:tcPr>
          <w:p w14:paraId="4464B099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65D7C49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(20.3)</w:t>
            </w:r>
          </w:p>
        </w:tc>
        <w:tc>
          <w:tcPr>
            <w:tcW w:w="1856" w:type="dxa"/>
            <w:noWrap/>
            <w:vAlign w:val="center"/>
          </w:tcPr>
          <w:p w14:paraId="219E652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2134 (12.5)</w:t>
            </w:r>
          </w:p>
        </w:tc>
        <w:tc>
          <w:tcPr>
            <w:tcW w:w="709" w:type="dxa"/>
            <w:noWrap/>
            <w:vAlign w:val="center"/>
          </w:tcPr>
          <w:p w14:paraId="549B196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0.211</w:t>
            </w:r>
          </w:p>
        </w:tc>
        <w:tc>
          <w:tcPr>
            <w:tcW w:w="770" w:type="dxa"/>
            <w:gridSpan w:val="2"/>
            <w:vAlign w:val="center"/>
          </w:tcPr>
          <w:p w14:paraId="5D2B546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0.092</w:t>
            </w:r>
          </w:p>
        </w:tc>
      </w:tr>
      <w:tr w:rsidR="00B16DBC" w14:paraId="2EDB592B" w14:textId="77777777">
        <w:trPr>
          <w:trHeight w:val="239"/>
        </w:trPr>
        <w:tc>
          <w:tcPr>
            <w:tcW w:w="2547" w:type="dxa"/>
            <w:noWrap/>
          </w:tcPr>
          <w:p w14:paraId="6E7A1385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C4BCCFA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63036FC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(79.7)</w:t>
            </w:r>
          </w:p>
        </w:tc>
        <w:tc>
          <w:tcPr>
            <w:tcW w:w="1856" w:type="dxa"/>
            <w:noWrap/>
            <w:vAlign w:val="center"/>
          </w:tcPr>
          <w:p w14:paraId="15E51BA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14888 (87.5)</w:t>
            </w:r>
          </w:p>
        </w:tc>
        <w:tc>
          <w:tcPr>
            <w:tcW w:w="709" w:type="dxa"/>
            <w:noWrap/>
            <w:vAlign w:val="center"/>
          </w:tcPr>
          <w:p w14:paraId="116201F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77F28B6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777C6A75" w14:textId="77777777">
        <w:trPr>
          <w:trHeight w:val="239"/>
        </w:trPr>
        <w:tc>
          <w:tcPr>
            <w:tcW w:w="2547" w:type="dxa"/>
            <w:noWrap/>
          </w:tcPr>
          <w:p w14:paraId="2FF8A39C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Pelvic inflammation </w:t>
            </w:r>
          </w:p>
        </w:tc>
        <w:tc>
          <w:tcPr>
            <w:tcW w:w="567" w:type="dxa"/>
          </w:tcPr>
          <w:p w14:paraId="70A95B1B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2C1906E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(18.8)</w:t>
            </w:r>
          </w:p>
        </w:tc>
        <w:tc>
          <w:tcPr>
            <w:tcW w:w="1856" w:type="dxa"/>
            <w:noWrap/>
            <w:vAlign w:val="center"/>
          </w:tcPr>
          <w:p w14:paraId="572BB67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(11.9)</w:t>
            </w:r>
          </w:p>
        </w:tc>
        <w:tc>
          <w:tcPr>
            <w:tcW w:w="709" w:type="dxa"/>
            <w:noWrap/>
            <w:vAlign w:val="center"/>
          </w:tcPr>
          <w:p w14:paraId="4304FE6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0.191</w:t>
            </w:r>
          </w:p>
        </w:tc>
        <w:tc>
          <w:tcPr>
            <w:tcW w:w="770" w:type="dxa"/>
            <w:gridSpan w:val="2"/>
            <w:vAlign w:val="center"/>
          </w:tcPr>
          <w:p w14:paraId="31A08E3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0.135</w:t>
            </w:r>
          </w:p>
        </w:tc>
      </w:tr>
      <w:tr w:rsidR="00B16DBC" w14:paraId="62C91609" w14:textId="77777777">
        <w:trPr>
          <w:trHeight w:val="239"/>
        </w:trPr>
        <w:tc>
          <w:tcPr>
            <w:tcW w:w="2547" w:type="dxa"/>
            <w:noWrap/>
          </w:tcPr>
          <w:p w14:paraId="7B0CF739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753520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1A83EA5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 (81.2)</w:t>
            </w:r>
          </w:p>
        </w:tc>
        <w:tc>
          <w:tcPr>
            <w:tcW w:w="1856" w:type="dxa"/>
            <w:noWrap/>
            <w:vAlign w:val="center"/>
          </w:tcPr>
          <w:p w14:paraId="51C2AE2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14996 (88.1)</w:t>
            </w:r>
          </w:p>
        </w:tc>
        <w:tc>
          <w:tcPr>
            <w:tcW w:w="709" w:type="dxa"/>
            <w:noWrap/>
            <w:vAlign w:val="center"/>
          </w:tcPr>
          <w:p w14:paraId="34A0DD9F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1A62FE79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65FE0C1F" w14:textId="77777777">
        <w:trPr>
          <w:trHeight w:val="239"/>
        </w:trPr>
        <w:tc>
          <w:tcPr>
            <w:tcW w:w="2547" w:type="dxa"/>
            <w:noWrap/>
          </w:tcPr>
          <w:p w14:paraId="575F4C4E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Rheumatic-immune diseases</w:t>
            </w:r>
          </w:p>
        </w:tc>
        <w:tc>
          <w:tcPr>
            <w:tcW w:w="567" w:type="dxa"/>
          </w:tcPr>
          <w:p w14:paraId="7DFF41E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448FEE2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(0)</w:t>
            </w:r>
          </w:p>
        </w:tc>
        <w:tc>
          <w:tcPr>
            <w:tcW w:w="1856" w:type="dxa"/>
            <w:noWrap/>
            <w:vAlign w:val="center"/>
          </w:tcPr>
          <w:p w14:paraId="60B0CAC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 (0.3)</w:t>
            </w:r>
          </w:p>
        </w:tc>
        <w:tc>
          <w:tcPr>
            <w:tcW w:w="709" w:type="dxa"/>
            <w:noWrap/>
            <w:vAlign w:val="center"/>
          </w:tcPr>
          <w:p w14:paraId="795F0D8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0.081</w:t>
            </w:r>
          </w:p>
        </w:tc>
        <w:tc>
          <w:tcPr>
            <w:tcW w:w="770" w:type="dxa"/>
            <w:gridSpan w:val="2"/>
            <w:vAlign w:val="center"/>
          </w:tcPr>
          <w:p w14:paraId="4E95DAF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4CC46FEC" w14:textId="77777777">
        <w:trPr>
          <w:trHeight w:val="239"/>
        </w:trPr>
        <w:tc>
          <w:tcPr>
            <w:tcW w:w="2547" w:type="dxa"/>
            <w:noWrap/>
          </w:tcPr>
          <w:p w14:paraId="5E23EBA9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14898A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vAlign w:val="center"/>
          </w:tcPr>
          <w:p w14:paraId="65ED301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 (100)</w:t>
            </w:r>
          </w:p>
        </w:tc>
        <w:tc>
          <w:tcPr>
            <w:tcW w:w="1856" w:type="dxa"/>
            <w:noWrap/>
            <w:vAlign w:val="center"/>
          </w:tcPr>
          <w:p w14:paraId="575C0FE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16967 (99.7)</w:t>
            </w:r>
          </w:p>
        </w:tc>
        <w:tc>
          <w:tcPr>
            <w:tcW w:w="709" w:type="dxa"/>
            <w:noWrap/>
            <w:vAlign w:val="center"/>
          </w:tcPr>
          <w:p w14:paraId="01DB917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5F68A666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2E7AC29C" w14:textId="77777777">
        <w:trPr>
          <w:trHeight w:val="239"/>
        </w:trPr>
        <w:tc>
          <w:tcPr>
            <w:tcW w:w="2547" w:type="dxa"/>
            <w:noWrap/>
          </w:tcPr>
          <w:p w14:paraId="27068B8D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 factors</w:t>
            </w:r>
          </w:p>
        </w:tc>
        <w:tc>
          <w:tcPr>
            <w:tcW w:w="567" w:type="dxa"/>
          </w:tcPr>
          <w:p w14:paraId="4124596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829" w:type="dxa"/>
            <w:gridSpan w:val="2"/>
            <w:vAlign w:val="center"/>
          </w:tcPr>
          <w:p w14:paraId="2A8641D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 (81.2)</w:t>
            </w:r>
          </w:p>
        </w:tc>
        <w:tc>
          <w:tcPr>
            <w:tcW w:w="1856" w:type="dxa"/>
            <w:noWrap/>
            <w:vAlign w:val="center"/>
          </w:tcPr>
          <w:p w14:paraId="7B99DB1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14048 (82.5)</w:t>
            </w:r>
          </w:p>
        </w:tc>
        <w:tc>
          <w:tcPr>
            <w:tcW w:w="709" w:type="dxa"/>
            <w:noWrap/>
            <w:vAlign w:val="center"/>
          </w:tcPr>
          <w:p w14:paraId="5877858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0.033</w:t>
            </w:r>
          </w:p>
        </w:tc>
        <w:tc>
          <w:tcPr>
            <w:tcW w:w="770" w:type="dxa"/>
            <w:gridSpan w:val="2"/>
            <w:vAlign w:val="center"/>
          </w:tcPr>
          <w:p w14:paraId="7C4998E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0.917</w:t>
            </w:r>
          </w:p>
        </w:tc>
      </w:tr>
      <w:tr w:rsidR="00B16DBC" w14:paraId="3DB1F0E1" w14:textId="77777777">
        <w:trPr>
          <w:trHeight w:val="239"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14:paraId="3688B09E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EC5DFD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829" w:type="dxa"/>
            <w:gridSpan w:val="2"/>
            <w:tcBorders>
              <w:bottom w:val="single" w:sz="4" w:space="0" w:color="auto"/>
            </w:tcBorders>
            <w:vAlign w:val="center"/>
          </w:tcPr>
          <w:p w14:paraId="6ADE7C6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(18.8)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noWrap/>
            <w:vAlign w:val="center"/>
          </w:tcPr>
          <w:p w14:paraId="7457CF9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2974 (17.5)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67C4A37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vAlign w:val="center"/>
          </w:tcPr>
          <w:p w14:paraId="7DBFAF38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E72B330" w14:textId="77777777" w:rsidR="00B16DBC" w:rsidRDefault="000000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Note: Continuous variables were reported as median [</w:t>
      </w:r>
      <w:r>
        <w:rPr>
          <w:rFonts w:ascii="Times New Roman" w:hAnsi="Times New Roman" w:hint="eastAsia"/>
          <w:sz w:val="18"/>
          <w:szCs w:val="18"/>
        </w:rPr>
        <w:t>25th percentile, 75th percentile</w:t>
      </w:r>
      <w:r>
        <w:rPr>
          <w:rFonts w:ascii="Times New Roman" w:hAnsi="Times New Roman"/>
          <w:sz w:val="18"/>
          <w:szCs w:val="18"/>
        </w:rPr>
        <w:t>]</w:t>
      </w:r>
      <w:r>
        <w:rPr>
          <w:rFonts w:ascii="Times New Roman" w:eastAsia="宋体" w:hAnsi="Times New Roman"/>
          <w:color w:val="auto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Categorical variables were reported as number (percentage). </w:t>
      </w:r>
      <w:proofErr w:type="spellStart"/>
      <w:r>
        <w:rPr>
          <w:rFonts w:ascii="Times New Roman" w:hAnsi="Times New Roman"/>
          <w:sz w:val="18"/>
          <w:szCs w:val="18"/>
          <w:vertAlign w:val="superscript"/>
        </w:rPr>
        <w:t>a</w:t>
      </w:r>
      <w:r>
        <w:rPr>
          <w:rFonts w:ascii="Times New Roman" w:hAnsi="Times New Roman"/>
          <w:sz w:val="18"/>
          <w:szCs w:val="18"/>
        </w:rPr>
        <w:t>SMD</w:t>
      </w:r>
      <w:proofErr w:type="spellEnd"/>
      <w:r>
        <w:rPr>
          <w:rFonts w:ascii="Times New Roman" w:hAnsi="Times New Roman"/>
          <w:sz w:val="18"/>
          <w:szCs w:val="18"/>
        </w:rPr>
        <w:t>: Standardized mean differences.</w:t>
      </w:r>
    </w:p>
    <w:p w14:paraId="41513545" w14:textId="77777777" w:rsidR="00B16DBC" w:rsidRDefault="000000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Table S3 Baseline characteristics after propensity score matching</w:t>
      </w:r>
    </w:p>
    <w:tbl>
      <w:tblPr>
        <w:tblStyle w:val="a5"/>
        <w:tblW w:w="83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1984"/>
        <w:gridCol w:w="1843"/>
        <w:gridCol w:w="709"/>
        <w:gridCol w:w="657"/>
      </w:tblGrid>
      <w:tr w:rsidR="00B16DBC" w14:paraId="64BE7840" w14:textId="77777777">
        <w:trPr>
          <w:trHeight w:val="204"/>
        </w:trPr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756338" w14:textId="77777777" w:rsidR="00B16DBC" w:rsidRDefault="00B16DBC">
            <w:pPr>
              <w:spacing w:line="48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6C3C4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Thyroid cancer group</w:t>
            </w:r>
          </w:p>
          <w:p w14:paraId="3852317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(n=64)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404D6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Control group</w:t>
            </w:r>
          </w:p>
          <w:p w14:paraId="71E5C0C7" w14:textId="77777777" w:rsidR="00B16DBC" w:rsidRDefault="00000000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(n=256)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218F20" w14:textId="77777777" w:rsidR="00B16DBC" w:rsidRDefault="00000000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SMD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C89C8" w14:textId="77777777" w:rsidR="00B16DBC" w:rsidRDefault="00000000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B16DBC" w14:paraId="49B5033D" w14:textId="77777777">
        <w:trPr>
          <w:trHeight w:val="204"/>
        </w:trPr>
        <w:tc>
          <w:tcPr>
            <w:tcW w:w="3114" w:type="dxa"/>
            <w:gridSpan w:val="2"/>
            <w:tcBorders>
              <w:top w:val="single" w:sz="4" w:space="0" w:color="auto"/>
            </w:tcBorders>
            <w:noWrap/>
          </w:tcPr>
          <w:p w14:paraId="7A180ABC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Year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</w:tcPr>
          <w:p w14:paraId="0760C630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 [2019.00, 2021.00]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9FC487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 [2018.00, 2021.00]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5A434582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0.014</w:t>
            </w:r>
          </w:p>
        </w:tc>
        <w:tc>
          <w:tcPr>
            <w:tcW w:w="657" w:type="dxa"/>
            <w:tcBorders>
              <w:top w:val="single" w:sz="4" w:space="0" w:color="auto"/>
            </w:tcBorders>
            <w:vAlign w:val="center"/>
          </w:tcPr>
          <w:p w14:paraId="61CE7D97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0.874</w:t>
            </w:r>
          </w:p>
        </w:tc>
      </w:tr>
      <w:tr w:rsidR="00B16DBC" w14:paraId="525E4F8B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404A1EE4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Years of infertility</w:t>
            </w:r>
          </w:p>
        </w:tc>
        <w:tc>
          <w:tcPr>
            <w:tcW w:w="1984" w:type="dxa"/>
            <w:noWrap/>
            <w:vAlign w:val="center"/>
          </w:tcPr>
          <w:p w14:paraId="768FE199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[2.00, 6.00]</w:t>
            </w:r>
          </w:p>
        </w:tc>
        <w:tc>
          <w:tcPr>
            <w:tcW w:w="1843" w:type="dxa"/>
            <w:vAlign w:val="center"/>
          </w:tcPr>
          <w:p w14:paraId="08CEA372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[2.00, 5.00]</w:t>
            </w:r>
          </w:p>
        </w:tc>
        <w:tc>
          <w:tcPr>
            <w:tcW w:w="709" w:type="dxa"/>
            <w:noWrap/>
            <w:vAlign w:val="center"/>
          </w:tcPr>
          <w:p w14:paraId="7A60FF7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0.075</w:t>
            </w:r>
          </w:p>
        </w:tc>
        <w:tc>
          <w:tcPr>
            <w:tcW w:w="657" w:type="dxa"/>
            <w:vAlign w:val="center"/>
          </w:tcPr>
          <w:p w14:paraId="7634604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</w:tr>
      <w:tr w:rsidR="00B16DBC" w14:paraId="0570F2F0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071E79EA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Number of cycles</w:t>
            </w:r>
          </w:p>
        </w:tc>
        <w:tc>
          <w:tcPr>
            <w:tcW w:w="1984" w:type="dxa"/>
            <w:noWrap/>
            <w:vAlign w:val="center"/>
          </w:tcPr>
          <w:p w14:paraId="3737C77F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[1.00, 2.00]</w:t>
            </w:r>
          </w:p>
        </w:tc>
        <w:tc>
          <w:tcPr>
            <w:tcW w:w="1843" w:type="dxa"/>
            <w:vAlign w:val="center"/>
          </w:tcPr>
          <w:p w14:paraId="71ED2388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[1.00, 2.00]</w:t>
            </w:r>
          </w:p>
        </w:tc>
        <w:tc>
          <w:tcPr>
            <w:tcW w:w="709" w:type="dxa"/>
            <w:noWrap/>
            <w:vAlign w:val="center"/>
          </w:tcPr>
          <w:p w14:paraId="317914C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0.044</w:t>
            </w:r>
          </w:p>
        </w:tc>
        <w:tc>
          <w:tcPr>
            <w:tcW w:w="657" w:type="dxa"/>
            <w:vAlign w:val="center"/>
          </w:tcPr>
          <w:p w14:paraId="0D1F50F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0.561</w:t>
            </w:r>
          </w:p>
        </w:tc>
      </w:tr>
      <w:tr w:rsidR="00B16DBC" w14:paraId="3DF797D0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59249C4E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</w:t>
            </w:r>
          </w:p>
        </w:tc>
        <w:tc>
          <w:tcPr>
            <w:tcW w:w="1984" w:type="dxa"/>
            <w:noWrap/>
            <w:vAlign w:val="center"/>
          </w:tcPr>
          <w:p w14:paraId="6C8D423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232F93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788EE7AD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1D5AC300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175249A8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5E87E4F8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Female age (years)</w:t>
            </w:r>
          </w:p>
        </w:tc>
        <w:tc>
          <w:tcPr>
            <w:tcW w:w="1984" w:type="dxa"/>
            <w:noWrap/>
            <w:vAlign w:val="center"/>
          </w:tcPr>
          <w:p w14:paraId="1E67F93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[29.75, 36.00]</w:t>
            </w:r>
          </w:p>
        </w:tc>
        <w:tc>
          <w:tcPr>
            <w:tcW w:w="1843" w:type="dxa"/>
            <w:vAlign w:val="center"/>
          </w:tcPr>
          <w:p w14:paraId="15D0041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[30.00, 38.00]</w:t>
            </w:r>
          </w:p>
        </w:tc>
        <w:tc>
          <w:tcPr>
            <w:tcW w:w="709" w:type="dxa"/>
            <w:noWrap/>
            <w:vAlign w:val="center"/>
          </w:tcPr>
          <w:p w14:paraId="683931F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0.048</w:t>
            </w:r>
          </w:p>
        </w:tc>
        <w:tc>
          <w:tcPr>
            <w:tcW w:w="657" w:type="dxa"/>
            <w:vAlign w:val="center"/>
          </w:tcPr>
          <w:p w14:paraId="753F454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0.649</w:t>
            </w:r>
          </w:p>
        </w:tc>
      </w:tr>
      <w:tr w:rsidR="00B16DBC" w14:paraId="3B8F5A93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4AE06BCD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 age (years)</w:t>
            </w:r>
          </w:p>
        </w:tc>
        <w:tc>
          <w:tcPr>
            <w:tcW w:w="1984" w:type="dxa"/>
            <w:noWrap/>
            <w:vAlign w:val="center"/>
          </w:tcPr>
          <w:p w14:paraId="1E94730A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 [31.00, 41.00]</w:t>
            </w:r>
          </w:p>
        </w:tc>
        <w:tc>
          <w:tcPr>
            <w:tcW w:w="1843" w:type="dxa"/>
            <w:vAlign w:val="center"/>
          </w:tcPr>
          <w:p w14:paraId="400DF8C3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 [31.00, 40.00]</w:t>
            </w:r>
          </w:p>
        </w:tc>
        <w:tc>
          <w:tcPr>
            <w:tcW w:w="709" w:type="dxa"/>
            <w:noWrap/>
            <w:vAlign w:val="center"/>
          </w:tcPr>
          <w:p w14:paraId="730D182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0.056</w:t>
            </w:r>
          </w:p>
        </w:tc>
        <w:tc>
          <w:tcPr>
            <w:tcW w:w="657" w:type="dxa"/>
            <w:vAlign w:val="center"/>
          </w:tcPr>
          <w:p w14:paraId="586526D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0.705</w:t>
            </w:r>
          </w:p>
        </w:tc>
      </w:tr>
      <w:tr w:rsidR="00B16DBC" w14:paraId="474673F2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05927ECA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Body-mass index</w:t>
            </w:r>
          </w:p>
        </w:tc>
        <w:tc>
          <w:tcPr>
            <w:tcW w:w="1984" w:type="dxa"/>
            <w:noWrap/>
            <w:vAlign w:val="center"/>
          </w:tcPr>
          <w:p w14:paraId="6016C680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4CA0267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34CB047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6B76CA94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A9E209A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74DADF35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Female Body-mass index (kg/m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0BB1DB5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21.7 [19.88, 23.70]</w:t>
            </w:r>
          </w:p>
        </w:tc>
        <w:tc>
          <w:tcPr>
            <w:tcW w:w="1843" w:type="dxa"/>
            <w:vAlign w:val="center"/>
          </w:tcPr>
          <w:p w14:paraId="41390980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21.8 [19.88, 24.00]</w:t>
            </w:r>
          </w:p>
        </w:tc>
        <w:tc>
          <w:tcPr>
            <w:tcW w:w="709" w:type="dxa"/>
            <w:noWrap/>
            <w:vAlign w:val="center"/>
          </w:tcPr>
          <w:p w14:paraId="442E4C5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0.092</w:t>
            </w:r>
          </w:p>
        </w:tc>
        <w:tc>
          <w:tcPr>
            <w:tcW w:w="657" w:type="dxa"/>
            <w:vAlign w:val="center"/>
          </w:tcPr>
          <w:p w14:paraId="3F3475F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0.727</w:t>
            </w:r>
          </w:p>
        </w:tc>
      </w:tr>
      <w:tr w:rsidR="00B16DBC" w14:paraId="169084EB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7F55A3A9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Male Body-mass index (kg/m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14:paraId="137483E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24.65 [22.62, 26.07]</w:t>
            </w:r>
          </w:p>
        </w:tc>
        <w:tc>
          <w:tcPr>
            <w:tcW w:w="1843" w:type="dxa"/>
            <w:vAlign w:val="center"/>
          </w:tcPr>
          <w:p w14:paraId="77F60CE9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25.1 [22.48, 27.00]</w:t>
            </w:r>
          </w:p>
        </w:tc>
        <w:tc>
          <w:tcPr>
            <w:tcW w:w="709" w:type="dxa"/>
            <w:noWrap/>
            <w:vAlign w:val="center"/>
          </w:tcPr>
          <w:p w14:paraId="355A437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0.056</w:t>
            </w:r>
          </w:p>
        </w:tc>
        <w:tc>
          <w:tcPr>
            <w:tcW w:w="657" w:type="dxa"/>
            <w:vAlign w:val="center"/>
          </w:tcPr>
          <w:p w14:paraId="62DB6A7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0.378</w:t>
            </w:r>
          </w:p>
        </w:tc>
      </w:tr>
      <w:tr w:rsidR="00B16DBC" w14:paraId="4C1AC9BB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4147E07F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Stimulation protocols</w:t>
            </w:r>
          </w:p>
        </w:tc>
        <w:tc>
          <w:tcPr>
            <w:tcW w:w="1984" w:type="dxa"/>
            <w:vAlign w:val="center"/>
          </w:tcPr>
          <w:p w14:paraId="7D7C39A8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BCD3D9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18025F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081FEED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42C3F67E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3AB9EF0A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Long-acting GnRH-a luteal phase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long protocol</w:t>
            </w:r>
          </w:p>
        </w:tc>
        <w:tc>
          <w:tcPr>
            <w:tcW w:w="1984" w:type="dxa"/>
            <w:noWrap/>
            <w:vAlign w:val="center"/>
          </w:tcPr>
          <w:p w14:paraId="0A141FE3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(28.1)</w:t>
            </w:r>
          </w:p>
        </w:tc>
        <w:tc>
          <w:tcPr>
            <w:tcW w:w="1843" w:type="dxa"/>
            <w:vAlign w:val="center"/>
          </w:tcPr>
          <w:p w14:paraId="4118055B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 (24.2)</w:t>
            </w:r>
          </w:p>
        </w:tc>
        <w:tc>
          <w:tcPr>
            <w:tcW w:w="709" w:type="dxa"/>
            <w:noWrap/>
            <w:vAlign w:val="center"/>
          </w:tcPr>
          <w:p w14:paraId="51924F3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0.089</w:t>
            </w:r>
          </w:p>
        </w:tc>
        <w:tc>
          <w:tcPr>
            <w:tcW w:w="657" w:type="dxa"/>
            <w:vAlign w:val="center"/>
          </w:tcPr>
          <w:p w14:paraId="74F6FFE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0.628</w:t>
            </w:r>
          </w:p>
        </w:tc>
      </w:tr>
      <w:tr w:rsidR="00B16DBC" w14:paraId="2144DDD3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72D414D0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Natural or 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emi-natural cycle</w:t>
            </w:r>
          </w:p>
        </w:tc>
        <w:tc>
          <w:tcPr>
            <w:tcW w:w="1984" w:type="dxa"/>
            <w:noWrap/>
            <w:vAlign w:val="center"/>
          </w:tcPr>
          <w:p w14:paraId="4D2F75F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(1.6)</w:t>
            </w:r>
          </w:p>
        </w:tc>
        <w:tc>
          <w:tcPr>
            <w:tcW w:w="1843" w:type="dxa"/>
            <w:vAlign w:val="center"/>
          </w:tcPr>
          <w:p w14:paraId="30CE194B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(0.8)</w:t>
            </w:r>
          </w:p>
        </w:tc>
        <w:tc>
          <w:tcPr>
            <w:tcW w:w="709" w:type="dxa"/>
            <w:noWrap/>
            <w:vAlign w:val="center"/>
          </w:tcPr>
          <w:p w14:paraId="6DAD166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0.073</w:t>
            </w:r>
          </w:p>
        </w:tc>
        <w:tc>
          <w:tcPr>
            <w:tcW w:w="657" w:type="dxa"/>
            <w:vAlign w:val="center"/>
          </w:tcPr>
          <w:p w14:paraId="24425F0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7D0162D7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69FE9D4C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Mild stimulation protocol</w:t>
            </w:r>
          </w:p>
        </w:tc>
        <w:tc>
          <w:tcPr>
            <w:tcW w:w="1984" w:type="dxa"/>
            <w:noWrap/>
            <w:vAlign w:val="center"/>
          </w:tcPr>
          <w:p w14:paraId="67E56EE8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(14.1)</w:t>
            </w:r>
          </w:p>
        </w:tc>
        <w:tc>
          <w:tcPr>
            <w:tcW w:w="1843" w:type="dxa"/>
            <w:vAlign w:val="center"/>
          </w:tcPr>
          <w:p w14:paraId="67DCB59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 (17.2)</w:t>
            </w:r>
          </w:p>
        </w:tc>
        <w:tc>
          <w:tcPr>
            <w:tcW w:w="709" w:type="dxa"/>
            <w:noWrap/>
            <w:vAlign w:val="center"/>
          </w:tcPr>
          <w:p w14:paraId="1930212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0.086</w:t>
            </w:r>
          </w:p>
        </w:tc>
        <w:tc>
          <w:tcPr>
            <w:tcW w:w="657" w:type="dxa"/>
            <w:vAlign w:val="center"/>
          </w:tcPr>
          <w:p w14:paraId="6673A157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0.679</w:t>
            </w:r>
          </w:p>
        </w:tc>
      </w:tr>
      <w:tr w:rsidR="00B16DBC" w14:paraId="3EF29AD7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3939C2F3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Short-acting GnRH-a luteal phase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long protocol</w:t>
            </w:r>
          </w:p>
        </w:tc>
        <w:tc>
          <w:tcPr>
            <w:tcW w:w="1984" w:type="dxa"/>
            <w:noWrap/>
            <w:vAlign w:val="center"/>
          </w:tcPr>
          <w:p w14:paraId="77F8AD08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(3.1)</w:t>
            </w:r>
          </w:p>
        </w:tc>
        <w:tc>
          <w:tcPr>
            <w:tcW w:w="1843" w:type="dxa"/>
            <w:vAlign w:val="center"/>
          </w:tcPr>
          <w:p w14:paraId="1A12F40F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(3.5)</w:t>
            </w:r>
          </w:p>
        </w:tc>
        <w:tc>
          <w:tcPr>
            <w:tcW w:w="709" w:type="dxa"/>
            <w:noWrap/>
            <w:vAlign w:val="center"/>
          </w:tcPr>
          <w:p w14:paraId="6429A98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0.022</w:t>
            </w:r>
          </w:p>
        </w:tc>
        <w:tc>
          <w:tcPr>
            <w:tcW w:w="657" w:type="dxa"/>
            <w:vAlign w:val="center"/>
          </w:tcPr>
          <w:p w14:paraId="2D58B3B3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4C3A958A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7C2B0883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Prolonged </w:t>
            </w:r>
            <w:r>
              <w:rPr>
                <w:rFonts w:ascii="Times New Roman" w:hAnsi="Times New Roman" w:hint="eastAsia"/>
                <w:sz w:val="18"/>
                <w:szCs w:val="18"/>
              </w:rPr>
              <w:t>protocol</w:t>
            </w:r>
          </w:p>
        </w:tc>
        <w:tc>
          <w:tcPr>
            <w:tcW w:w="1984" w:type="dxa"/>
            <w:noWrap/>
            <w:vAlign w:val="center"/>
          </w:tcPr>
          <w:p w14:paraId="19F284B3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(4.7)</w:t>
            </w:r>
          </w:p>
        </w:tc>
        <w:tc>
          <w:tcPr>
            <w:tcW w:w="1843" w:type="dxa"/>
            <w:vAlign w:val="center"/>
          </w:tcPr>
          <w:p w14:paraId="07D98B4A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(3.9)</w:t>
            </w:r>
          </w:p>
        </w:tc>
        <w:tc>
          <w:tcPr>
            <w:tcW w:w="709" w:type="dxa"/>
            <w:noWrap/>
            <w:vAlign w:val="center"/>
          </w:tcPr>
          <w:p w14:paraId="3FC15B9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0.039</w:t>
            </w:r>
          </w:p>
        </w:tc>
        <w:tc>
          <w:tcPr>
            <w:tcW w:w="657" w:type="dxa"/>
            <w:vAlign w:val="center"/>
          </w:tcPr>
          <w:p w14:paraId="77E2A0A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6842488F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7E87ABAA" w14:textId="77777777" w:rsidR="00B16DBC" w:rsidRDefault="00000000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Ovulation induction</w:t>
            </w:r>
          </w:p>
        </w:tc>
        <w:tc>
          <w:tcPr>
            <w:tcW w:w="1984" w:type="dxa"/>
            <w:noWrap/>
            <w:vAlign w:val="center"/>
          </w:tcPr>
          <w:p w14:paraId="35D1A579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(6.2)</w:t>
            </w:r>
          </w:p>
        </w:tc>
        <w:tc>
          <w:tcPr>
            <w:tcW w:w="1843" w:type="dxa"/>
            <w:vAlign w:val="center"/>
          </w:tcPr>
          <w:p w14:paraId="46C5F197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 (5.5)</w:t>
            </w:r>
          </w:p>
        </w:tc>
        <w:tc>
          <w:tcPr>
            <w:tcW w:w="709" w:type="dxa"/>
            <w:noWrap/>
            <w:vAlign w:val="center"/>
          </w:tcPr>
          <w:p w14:paraId="32D2178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0.033</w:t>
            </w:r>
          </w:p>
        </w:tc>
        <w:tc>
          <w:tcPr>
            <w:tcW w:w="657" w:type="dxa"/>
            <w:vAlign w:val="center"/>
          </w:tcPr>
          <w:p w14:paraId="40DC8E0C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6A1332B6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51E68CDC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PPOS protocol</w:t>
            </w:r>
          </w:p>
        </w:tc>
        <w:tc>
          <w:tcPr>
            <w:tcW w:w="1984" w:type="dxa"/>
            <w:noWrap/>
            <w:vAlign w:val="center"/>
          </w:tcPr>
          <w:p w14:paraId="14B6B7E1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(1.6)</w:t>
            </w:r>
          </w:p>
        </w:tc>
        <w:tc>
          <w:tcPr>
            <w:tcW w:w="1843" w:type="dxa"/>
            <w:vAlign w:val="center"/>
          </w:tcPr>
          <w:p w14:paraId="40B8F20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(1.2)</w:t>
            </w:r>
          </w:p>
        </w:tc>
        <w:tc>
          <w:tcPr>
            <w:tcW w:w="709" w:type="dxa"/>
            <w:noWrap/>
            <w:vAlign w:val="center"/>
          </w:tcPr>
          <w:p w14:paraId="122AC93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657" w:type="dxa"/>
            <w:vAlign w:val="center"/>
          </w:tcPr>
          <w:p w14:paraId="0E7643C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7F5C98B8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7D8D4EE6" w14:textId="77777777" w:rsidR="00B16DBC" w:rsidRDefault="00000000">
            <w:pPr>
              <w:widowControl/>
              <w:spacing w:line="480" w:lineRule="auto"/>
              <w:ind w:firstLineChars="100" w:firstLine="20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hyperlink r:id="rId9" w:tgtFrame="_blank" w:history="1">
              <w:r>
                <w:rPr>
                  <w:rFonts w:ascii="Times New Roman" w:hAnsi="Times New Roman"/>
                  <w:sz w:val="18"/>
                  <w:szCs w:val="18"/>
                </w:rPr>
                <w:t>GnRH-antagonist protocol</w:t>
              </w:r>
            </w:hyperlink>
          </w:p>
        </w:tc>
        <w:tc>
          <w:tcPr>
            <w:tcW w:w="1984" w:type="dxa"/>
            <w:noWrap/>
            <w:vAlign w:val="center"/>
          </w:tcPr>
          <w:p w14:paraId="3118C52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(32.8)</w:t>
            </w:r>
          </w:p>
        </w:tc>
        <w:tc>
          <w:tcPr>
            <w:tcW w:w="1843" w:type="dxa"/>
            <w:vAlign w:val="center"/>
          </w:tcPr>
          <w:p w14:paraId="1E4FCC06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 (34)</w:t>
            </w:r>
          </w:p>
        </w:tc>
        <w:tc>
          <w:tcPr>
            <w:tcW w:w="709" w:type="dxa"/>
            <w:noWrap/>
            <w:vAlign w:val="center"/>
          </w:tcPr>
          <w:p w14:paraId="7652C2C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0.025</w:t>
            </w:r>
          </w:p>
        </w:tc>
        <w:tc>
          <w:tcPr>
            <w:tcW w:w="657" w:type="dxa"/>
            <w:vAlign w:val="center"/>
          </w:tcPr>
          <w:p w14:paraId="6006C91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0.976</w:t>
            </w:r>
          </w:p>
        </w:tc>
      </w:tr>
      <w:tr w:rsidR="00B16DBC" w14:paraId="435299DB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1E5BBB3D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arly-follicle-phase GnRH-a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long </w:t>
            </w:r>
            <w:r>
              <w:rPr>
                <w:rFonts w:ascii="Times New Roman" w:hAnsi="Times New Roman"/>
                <w:sz w:val="18"/>
                <w:szCs w:val="18"/>
              </w:rPr>
              <w:t>protoco</w:t>
            </w:r>
            <w:r>
              <w:rPr>
                <w:rFonts w:ascii="Times New Roman" w:hAnsi="Times New Roman" w:hint="eastAsia"/>
                <w:sz w:val="18"/>
                <w:szCs w:val="18"/>
              </w:rPr>
              <w:t>l</w:t>
            </w:r>
          </w:p>
        </w:tc>
        <w:tc>
          <w:tcPr>
            <w:tcW w:w="1984" w:type="dxa"/>
            <w:noWrap/>
            <w:vAlign w:val="center"/>
          </w:tcPr>
          <w:p w14:paraId="402AD852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(7.8)</w:t>
            </w:r>
          </w:p>
        </w:tc>
        <w:tc>
          <w:tcPr>
            <w:tcW w:w="1843" w:type="dxa"/>
            <w:vAlign w:val="center"/>
          </w:tcPr>
          <w:p w14:paraId="46B98E5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(9.8)</w:t>
            </w:r>
          </w:p>
        </w:tc>
        <w:tc>
          <w:tcPr>
            <w:tcW w:w="709" w:type="dxa"/>
            <w:noWrap/>
            <w:vAlign w:val="center"/>
          </w:tcPr>
          <w:p w14:paraId="5797780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0.069</w:t>
            </w:r>
          </w:p>
        </w:tc>
        <w:tc>
          <w:tcPr>
            <w:tcW w:w="657" w:type="dxa"/>
            <w:vAlign w:val="center"/>
          </w:tcPr>
          <w:p w14:paraId="68E564A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0.811</w:t>
            </w:r>
          </w:p>
        </w:tc>
      </w:tr>
      <w:tr w:rsidR="00B16DBC" w14:paraId="61DC6A03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52E53BD3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Other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protocols</w:t>
            </w:r>
          </w:p>
        </w:tc>
        <w:tc>
          <w:tcPr>
            <w:tcW w:w="1984" w:type="dxa"/>
            <w:noWrap/>
            <w:vAlign w:val="center"/>
          </w:tcPr>
          <w:p w14:paraId="3F35029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(0)</w:t>
            </w:r>
          </w:p>
        </w:tc>
        <w:tc>
          <w:tcPr>
            <w:tcW w:w="1843" w:type="dxa"/>
            <w:vAlign w:val="center"/>
          </w:tcPr>
          <w:p w14:paraId="6FB22FA0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(0)</w:t>
            </w:r>
          </w:p>
        </w:tc>
        <w:tc>
          <w:tcPr>
            <w:tcW w:w="709" w:type="dxa"/>
            <w:noWrap/>
            <w:vAlign w:val="center"/>
          </w:tcPr>
          <w:p w14:paraId="21DA113A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7" w:type="dxa"/>
            <w:vAlign w:val="center"/>
          </w:tcPr>
          <w:p w14:paraId="45D39A8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3F942068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5FDBD2AC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Types of infertility</w:t>
            </w:r>
          </w:p>
        </w:tc>
        <w:tc>
          <w:tcPr>
            <w:tcW w:w="1984" w:type="dxa"/>
            <w:noWrap/>
            <w:vAlign w:val="center"/>
          </w:tcPr>
          <w:p w14:paraId="0F2E0BAB" w14:textId="77777777" w:rsidR="00B16DBC" w:rsidRDefault="00B16DBC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4826A45" w14:textId="77777777" w:rsidR="00B16DBC" w:rsidRDefault="00B16DBC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4A33E063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4334119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C8E4175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30ABF8FE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Primary</w:t>
            </w:r>
          </w:p>
        </w:tc>
        <w:tc>
          <w:tcPr>
            <w:tcW w:w="1984" w:type="dxa"/>
            <w:noWrap/>
            <w:vAlign w:val="center"/>
          </w:tcPr>
          <w:p w14:paraId="507BFF7D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 (43.8)</w:t>
            </w:r>
          </w:p>
        </w:tc>
        <w:tc>
          <w:tcPr>
            <w:tcW w:w="1843" w:type="dxa"/>
            <w:vAlign w:val="center"/>
          </w:tcPr>
          <w:p w14:paraId="400548B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(43.4)</w:t>
            </w:r>
          </w:p>
        </w:tc>
        <w:tc>
          <w:tcPr>
            <w:tcW w:w="709" w:type="dxa"/>
            <w:noWrap/>
            <w:vAlign w:val="center"/>
          </w:tcPr>
          <w:p w14:paraId="25C42479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0.008</w:t>
            </w:r>
          </w:p>
        </w:tc>
        <w:tc>
          <w:tcPr>
            <w:tcW w:w="657" w:type="dxa"/>
            <w:vAlign w:val="center"/>
          </w:tcPr>
          <w:p w14:paraId="70B7F71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35B48484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58721020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Secondary</w:t>
            </w:r>
          </w:p>
        </w:tc>
        <w:tc>
          <w:tcPr>
            <w:tcW w:w="1984" w:type="dxa"/>
            <w:noWrap/>
            <w:vAlign w:val="center"/>
          </w:tcPr>
          <w:p w14:paraId="2AE187A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 (56.2)</w:t>
            </w:r>
          </w:p>
        </w:tc>
        <w:tc>
          <w:tcPr>
            <w:tcW w:w="1843" w:type="dxa"/>
            <w:vAlign w:val="center"/>
          </w:tcPr>
          <w:p w14:paraId="291EA87A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 (56.6)</w:t>
            </w:r>
          </w:p>
        </w:tc>
        <w:tc>
          <w:tcPr>
            <w:tcW w:w="709" w:type="dxa"/>
            <w:noWrap/>
            <w:vAlign w:val="center"/>
          </w:tcPr>
          <w:p w14:paraId="183225BE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0.008</w:t>
            </w:r>
          </w:p>
        </w:tc>
        <w:tc>
          <w:tcPr>
            <w:tcW w:w="657" w:type="dxa"/>
            <w:vAlign w:val="center"/>
          </w:tcPr>
          <w:p w14:paraId="56DEA03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7B07A9E0" w14:textId="77777777">
        <w:trPr>
          <w:trHeight w:val="204"/>
        </w:trPr>
        <w:tc>
          <w:tcPr>
            <w:tcW w:w="3114" w:type="dxa"/>
            <w:gridSpan w:val="2"/>
            <w:noWrap/>
          </w:tcPr>
          <w:p w14:paraId="694C9A6F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Indication for IVF</w:t>
            </w:r>
          </w:p>
        </w:tc>
        <w:tc>
          <w:tcPr>
            <w:tcW w:w="1984" w:type="dxa"/>
            <w:vAlign w:val="center"/>
          </w:tcPr>
          <w:p w14:paraId="3ACD9666" w14:textId="77777777" w:rsidR="00B16DBC" w:rsidRDefault="00B16DBC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0FAD7A" w14:textId="77777777" w:rsidR="00B16DBC" w:rsidRDefault="00B16DBC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7F2D24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29F36F7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7C0E8C03" w14:textId="77777777">
        <w:trPr>
          <w:trHeight w:val="204"/>
        </w:trPr>
        <w:tc>
          <w:tcPr>
            <w:tcW w:w="2263" w:type="dxa"/>
            <w:noWrap/>
          </w:tcPr>
          <w:p w14:paraId="700D01ED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Ovulatory dysfunction </w:t>
            </w:r>
          </w:p>
        </w:tc>
        <w:tc>
          <w:tcPr>
            <w:tcW w:w="851" w:type="dxa"/>
          </w:tcPr>
          <w:p w14:paraId="3E0FD9F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01296566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(28.1)</w:t>
            </w:r>
          </w:p>
        </w:tc>
        <w:tc>
          <w:tcPr>
            <w:tcW w:w="1843" w:type="dxa"/>
            <w:vAlign w:val="center"/>
          </w:tcPr>
          <w:p w14:paraId="2C23A1EB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 (28.1)</w:t>
            </w:r>
          </w:p>
        </w:tc>
        <w:tc>
          <w:tcPr>
            <w:tcW w:w="709" w:type="dxa"/>
            <w:noWrap/>
            <w:vAlign w:val="center"/>
          </w:tcPr>
          <w:p w14:paraId="6E07801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657" w:type="dxa"/>
            <w:vAlign w:val="center"/>
          </w:tcPr>
          <w:p w14:paraId="30CB231B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5AE2578F" w14:textId="77777777">
        <w:trPr>
          <w:trHeight w:val="204"/>
        </w:trPr>
        <w:tc>
          <w:tcPr>
            <w:tcW w:w="2263" w:type="dxa"/>
            <w:noWrap/>
          </w:tcPr>
          <w:p w14:paraId="551E3AB0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BE457D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357C6DD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 (71.9)</w:t>
            </w:r>
          </w:p>
        </w:tc>
        <w:tc>
          <w:tcPr>
            <w:tcW w:w="1843" w:type="dxa"/>
            <w:vAlign w:val="center"/>
          </w:tcPr>
          <w:p w14:paraId="018E384F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 (71.9)</w:t>
            </w:r>
          </w:p>
        </w:tc>
        <w:tc>
          <w:tcPr>
            <w:tcW w:w="709" w:type="dxa"/>
            <w:noWrap/>
            <w:vAlign w:val="center"/>
          </w:tcPr>
          <w:p w14:paraId="4812DD74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16C6922C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7D9783EE" w14:textId="77777777">
        <w:trPr>
          <w:trHeight w:val="204"/>
        </w:trPr>
        <w:tc>
          <w:tcPr>
            <w:tcW w:w="2263" w:type="dxa"/>
            <w:noWrap/>
          </w:tcPr>
          <w:p w14:paraId="3845DDEB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Oviduct factors</w:t>
            </w:r>
          </w:p>
        </w:tc>
        <w:tc>
          <w:tcPr>
            <w:tcW w:w="851" w:type="dxa"/>
          </w:tcPr>
          <w:p w14:paraId="6B5F597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43F7DC95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 (64.1)</w:t>
            </w:r>
          </w:p>
        </w:tc>
        <w:tc>
          <w:tcPr>
            <w:tcW w:w="1843" w:type="dxa"/>
            <w:vAlign w:val="center"/>
          </w:tcPr>
          <w:p w14:paraId="16D61C5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 (60.9)</w:t>
            </w:r>
          </w:p>
        </w:tc>
        <w:tc>
          <w:tcPr>
            <w:tcW w:w="709" w:type="dxa"/>
            <w:noWrap/>
            <w:vAlign w:val="center"/>
          </w:tcPr>
          <w:p w14:paraId="2F0B0CA1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0.065</w:t>
            </w:r>
          </w:p>
        </w:tc>
        <w:tc>
          <w:tcPr>
            <w:tcW w:w="657" w:type="dxa"/>
            <w:vAlign w:val="center"/>
          </w:tcPr>
          <w:p w14:paraId="55F0451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0.752</w:t>
            </w:r>
          </w:p>
        </w:tc>
      </w:tr>
      <w:tr w:rsidR="00B16DBC" w14:paraId="572BBCA8" w14:textId="77777777">
        <w:trPr>
          <w:trHeight w:val="204"/>
        </w:trPr>
        <w:tc>
          <w:tcPr>
            <w:tcW w:w="2263" w:type="dxa"/>
            <w:noWrap/>
          </w:tcPr>
          <w:p w14:paraId="38AD35FA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FC7CAD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5C47F647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(35.9)</w:t>
            </w:r>
          </w:p>
        </w:tc>
        <w:tc>
          <w:tcPr>
            <w:tcW w:w="1843" w:type="dxa"/>
            <w:vAlign w:val="center"/>
          </w:tcPr>
          <w:p w14:paraId="4FBFDE2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(39.1)</w:t>
            </w:r>
          </w:p>
        </w:tc>
        <w:tc>
          <w:tcPr>
            <w:tcW w:w="709" w:type="dxa"/>
            <w:noWrap/>
            <w:vAlign w:val="center"/>
          </w:tcPr>
          <w:p w14:paraId="0EBB6321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45D6A95A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1AD0F87E" w14:textId="77777777">
        <w:trPr>
          <w:trHeight w:val="204"/>
        </w:trPr>
        <w:tc>
          <w:tcPr>
            <w:tcW w:w="2263" w:type="dxa"/>
            <w:noWrap/>
          </w:tcPr>
          <w:p w14:paraId="43F16680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Uterus diseases</w:t>
            </w:r>
          </w:p>
        </w:tc>
        <w:tc>
          <w:tcPr>
            <w:tcW w:w="851" w:type="dxa"/>
          </w:tcPr>
          <w:p w14:paraId="1EF624CD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63EEA051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 (29.7)</w:t>
            </w:r>
          </w:p>
        </w:tc>
        <w:tc>
          <w:tcPr>
            <w:tcW w:w="1843" w:type="dxa"/>
            <w:vAlign w:val="center"/>
          </w:tcPr>
          <w:p w14:paraId="54892714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 (29.3)</w:t>
            </w:r>
          </w:p>
        </w:tc>
        <w:tc>
          <w:tcPr>
            <w:tcW w:w="709" w:type="dxa"/>
            <w:noWrap/>
            <w:vAlign w:val="center"/>
          </w:tcPr>
          <w:p w14:paraId="2CAD1A6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657" w:type="dxa"/>
            <w:vAlign w:val="center"/>
          </w:tcPr>
          <w:p w14:paraId="07DBEAF2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3B4E6388" w14:textId="77777777">
        <w:trPr>
          <w:trHeight w:val="204"/>
        </w:trPr>
        <w:tc>
          <w:tcPr>
            <w:tcW w:w="2263" w:type="dxa"/>
            <w:noWrap/>
          </w:tcPr>
          <w:p w14:paraId="5DD9C48D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5639B5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34F0781F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 (70.3)</w:t>
            </w:r>
          </w:p>
        </w:tc>
        <w:tc>
          <w:tcPr>
            <w:tcW w:w="1843" w:type="dxa"/>
            <w:vAlign w:val="center"/>
          </w:tcPr>
          <w:p w14:paraId="083D0CEA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181 (70.7)</w:t>
            </w:r>
          </w:p>
        </w:tc>
        <w:tc>
          <w:tcPr>
            <w:tcW w:w="709" w:type="dxa"/>
            <w:noWrap/>
            <w:vAlign w:val="center"/>
          </w:tcPr>
          <w:p w14:paraId="292523B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10D7A129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34C829AB" w14:textId="77777777">
        <w:trPr>
          <w:trHeight w:val="204"/>
        </w:trPr>
        <w:tc>
          <w:tcPr>
            <w:tcW w:w="2263" w:type="dxa"/>
            <w:noWrap/>
          </w:tcPr>
          <w:p w14:paraId="494D36BE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Cervical factors</w:t>
            </w:r>
          </w:p>
        </w:tc>
        <w:tc>
          <w:tcPr>
            <w:tcW w:w="851" w:type="dxa"/>
          </w:tcPr>
          <w:p w14:paraId="3239E4CD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720B54C7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(6.2)</w:t>
            </w:r>
          </w:p>
        </w:tc>
        <w:tc>
          <w:tcPr>
            <w:tcW w:w="1843" w:type="dxa"/>
            <w:vAlign w:val="center"/>
          </w:tcPr>
          <w:p w14:paraId="37C03AFF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(7)</w:t>
            </w:r>
          </w:p>
        </w:tc>
        <w:tc>
          <w:tcPr>
            <w:tcW w:w="709" w:type="dxa"/>
            <w:noWrap/>
            <w:vAlign w:val="center"/>
          </w:tcPr>
          <w:p w14:paraId="64A42745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0.031</w:t>
            </w:r>
          </w:p>
        </w:tc>
        <w:tc>
          <w:tcPr>
            <w:tcW w:w="657" w:type="dxa"/>
            <w:vAlign w:val="center"/>
          </w:tcPr>
          <w:p w14:paraId="08836BB8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4859E03E" w14:textId="77777777">
        <w:trPr>
          <w:trHeight w:val="204"/>
        </w:trPr>
        <w:tc>
          <w:tcPr>
            <w:tcW w:w="2263" w:type="dxa"/>
            <w:noWrap/>
          </w:tcPr>
          <w:p w14:paraId="7DF344F5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A961E9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151E320A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 (93.8)</w:t>
            </w:r>
          </w:p>
        </w:tc>
        <w:tc>
          <w:tcPr>
            <w:tcW w:w="1843" w:type="dxa"/>
            <w:vAlign w:val="center"/>
          </w:tcPr>
          <w:p w14:paraId="42726FFE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238 (93)</w:t>
            </w:r>
          </w:p>
        </w:tc>
        <w:tc>
          <w:tcPr>
            <w:tcW w:w="709" w:type="dxa"/>
            <w:noWrap/>
            <w:vAlign w:val="center"/>
          </w:tcPr>
          <w:p w14:paraId="3B3F2C41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0191904F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427FF364" w14:textId="77777777">
        <w:trPr>
          <w:trHeight w:val="204"/>
        </w:trPr>
        <w:tc>
          <w:tcPr>
            <w:tcW w:w="2263" w:type="dxa"/>
            <w:noWrap/>
          </w:tcPr>
          <w:p w14:paraId="3AFC978C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Endometriosis </w:t>
            </w:r>
          </w:p>
        </w:tc>
        <w:tc>
          <w:tcPr>
            <w:tcW w:w="851" w:type="dxa"/>
          </w:tcPr>
          <w:p w14:paraId="074E9FD1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6E55D31D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(20.3)</w:t>
            </w:r>
          </w:p>
        </w:tc>
        <w:tc>
          <w:tcPr>
            <w:tcW w:w="1843" w:type="dxa"/>
            <w:vAlign w:val="center"/>
          </w:tcPr>
          <w:p w14:paraId="6D90F698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 (21.1)</w:t>
            </w:r>
          </w:p>
        </w:tc>
        <w:tc>
          <w:tcPr>
            <w:tcW w:w="709" w:type="dxa"/>
            <w:noWrap/>
            <w:vAlign w:val="center"/>
          </w:tcPr>
          <w:p w14:paraId="6D51172F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0.019</w:t>
            </w:r>
          </w:p>
        </w:tc>
        <w:tc>
          <w:tcPr>
            <w:tcW w:w="657" w:type="dxa"/>
            <w:vAlign w:val="center"/>
          </w:tcPr>
          <w:p w14:paraId="5AF34A8D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16DBC" w14:paraId="3BE48AE1" w14:textId="77777777">
        <w:trPr>
          <w:trHeight w:val="204"/>
        </w:trPr>
        <w:tc>
          <w:tcPr>
            <w:tcW w:w="2263" w:type="dxa"/>
            <w:noWrap/>
          </w:tcPr>
          <w:p w14:paraId="41A919F2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5531DB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52666956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(79.7)</w:t>
            </w:r>
          </w:p>
        </w:tc>
        <w:tc>
          <w:tcPr>
            <w:tcW w:w="1843" w:type="dxa"/>
            <w:vAlign w:val="center"/>
          </w:tcPr>
          <w:p w14:paraId="3DE3ECB9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 (78.9)</w:t>
            </w:r>
          </w:p>
        </w:tc>
        <w:tc>
          <w:tcPr>
            <w:tcW w:w="709" w:type="dxa"/>
            <w:noWrap/>
            <w:vAlign w:val="center"/>
          </w:tcPr>
          <w:p w14:paraId="6BFD3EEF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6D644CD5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2CCC066" w14:textId="77777777">
        <w:trPr>
          <w:trHeight w:val="204"/>
        </w:trPr>
        <w:tc>
          <w:tcPr>
            <w:tcW w:w="2263" w:type="dxa"/>
            <w:noWrap/>
          </w:tcPr>
          <w:p w14:paraId="49B0AB2F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Pelvic inflammation </w:t>
            </w:r>
          </w:p>
        </w:tc>
        <w:tc>
          <w:tcPr>
            <w:tcW w:w="851" w:type="dxa"/>
          </w:tcPr>
          <w:p w14:paraId="19A414ED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46C37C53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(18.8)</w:t>
            </w:r>
          </w:p>
        </w:tc>
        <w:tc>
          <w:tcPr>
            <w:tcW w:w="1843" w:type="dxa"/>
            <w:vAlign w:val="center"/>
          </w:tcPr>
          <w:p w14:paraId="548546C8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(19.9)</w:t>
            </w:r>
          </w:p>
        </w:tc>
        <w:tc>
          <w:tcPr>
            <w:tcW w:w="709" w:type="dxa"/>
            <w:noWrap/>
            <w:vAlign w:val="center"/>
          </w:tcPr>
          <w:p w14:paraId="17F93D3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</w:p>
        </w:tc>
        <w:tc>
          <w:tcPr>
            <w:tcW w:w="657" w:type="dxa"/>
            <w:vAlign w:val="center"/>
          </w:tcPr>
          <w:p w14:paraId="4FAD9F80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0.972</w:t>
            </w:r>
          </w:p>
        </w:tc>
      </w:tr>
      <w:tr w:rsidR="00B16DBC" w14:paraId="230C15D9" w14:textId="77777777">
        <w:trPr>
          <w:trHeight w:val="204"/>
        </w:trPr>
        <w:tc>
          <w:tcPr>
            <w:tcW w:w="2263" w:type="dxa"/>
            <w:noWrap/>
          </w:tcPr>
          <w:p w14:paraId="13FDED29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800B26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3E386EB2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 (81.2)</w:t>
            </w:r>
          </w:p>
        </w:tc>
        <w:tc>
          <w:tcPr>
            <w:tcW w:w="1843" w:type="dxa"/>
            <w:vAlign w:val="center"/>
          </w:tcPr>
          <w:p w14:paraId="15FB7DDB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 (80.1)</w:t>
            </w:r>
          </w:p>
        </w:tc>
        <w:tc>
          <w:tcPr>
            <w:tcW w:w="709" w:type="dxa"/>
            <w:noWrap/>
            <w:vAlign w:val="center"/>
          </w:tcPr>
          <w:p w14:paraId="6C17F034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6D66FD30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43535DCE" w14:textId="77777777">
        <w:trPr>
          <w:trHeight w:val="204"/>
        </w:trPr>
        <w:tc>
          <w:tcPr>
            <w:tcW w:w="2263" w:type="dxa"/>
            <w:noWrap/>
          </w:tcPr>
          <w:p w14:paraId="21AEDF9B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Rheumatic-immune diseases</w:t>
            </w:r>
          </w:p>
        </w:tc>
        <w:tc>
          <w:tcPr>
            <w:tcW w:w="851" w:type="dxa"/>
          </w:tcPr>
          <w:p w14:paraId="4CC4F282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3A983DB8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(0)</w:t>
            </w:r>
          </w:p>
        </w:tc>
        <w:tc>
          <w:tcPr>
            <w:tcW w:w="1843" w:type="dxa"/>
            <w:vAlign w:val="center"/>
          </w:tcPr>
          <w:p w14:paraId="7D84832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(0)</w:t>
            </w:r>
          </w:p>
        </w:tc>
        <w:tc>
          <w:tcPr>
            <w:tcW w:w="709" w:type="dxa"/>
            <w:noWrap/>
            <w:vAlign w:val="center"/>
          </w:tcPr>
          <w:p w14:paraId="5FA92C30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78111B5B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75F6CD27" w14:textId="77777777">
        <w:trPr>
          <w:trHeight w:val="204"/>
        </w:trPr>
        <w:tc>
          <w:tcPr>
            <w:tcW w:w="2263" w:type="dxa"/>
            <w:noWrap/>
          </w:tcPr>
          <w:p w14:paraId="70428977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A08E12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01771B7D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 (100)</w:t>
            </w:r>
          </w:p>
        </w:tc>
        <w:tc>
          <w:tcPr>
            <w:tcW w:w="1843" w:type="dxa"/>
            <w:vAlign w:val="center"/>
          </w:tcPr>
          <w:p w14:paraId="516640CF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256 (100)</w:t>
            </w:r>
          </w:p>
        </w:tc>
        <w:tc>
          <w:tcPr>
            <w:tcW w:w="709" w:type="dxa"/>
            <w:noWrap/>
            <w:vAlign w:val="center"/>
          </w:tcPr>
          <w:p w14:paraId="5AD11A18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22E2E84E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6DBC" w14:paraId="5F484B96" w14:textId="77777777">
        <w:trPr>
          <w:trHeight w:val="204"/>
        </w:trPr>
        <w:tc>
          <w:tcPr>
            <w:tcW w:w="2263" w:type="dxa"/>
            <w:noWrap/>
          </w:tcPr>
          <w:p w14:paraId="182942B0" w14:textId="77777777" w:rsidR="00B16DBC" w:rsidRDefault="00000000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 factors</w:t>
            </w:r>
          </w:p>
        </w:tc>
        <w:tc>
          <w:tcPr>
            <w:tcW w:w="851" w:type="dxa"/>
          </w:tcPr>
          <w:p w14:paraId="01F0149C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1984" w:type="dxa"/>
            <w:noWrap/>
            <w:vAlign w:val="center"/>
          </w:tcPr>
          <w:p w14:paraId="725360C3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 (81.2)</w:t>
            </w:r>
          </w:p>
        </w:tc>
        <w:tc>
          <w:tcPr>
            <w:tcW w:w="1843" w:type="dxa"/>
            <w:vAlign w:val="center"/>
          </w:tcPr>
          <w:p w14:paraId="03B40C9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205 (80.1)</w:t>
            </w:r>
          </w:p>
        </w:tc>
        <w:tc>
          <w:tcPr>
            <w:tcW w:w="709" w:type="dxa"/>
            <w:noWrap/>
            <w:vAlign w:val="center"/>
          </w:tcPr>
          <w:p w14:paraId="2D547924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</w:p>
        </w:tc>
        <w:tc>
          <w:tcPr>
            <w:tcW w:w="657" w:type="dxa"/>
            <w:vAlign w:val="center"/>
          </w:tcPr>
          <w:p w14:paraId="1CB823F6" w14:textId="77777777" w:rsidR="00B16DB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0.972</w:t>
            </w:r>
          </w:p>
        </w:tc>
      </w:tr>
      <w:tr w:rsidR="00B16DBC" w14:paraId="2CBD3785" w14:textId="77777777">
        <w:trPr>
          <w:trHeight w:val="204"/>
        </w:trPr>
        <w:tc>
          <w:tcPr>
            <w:tcW w:w="2263" w:type="dxa"/>
            <w:noWrap/>
          </w:tcPr>
          <w:p w14:paraId="7388B4AC" w14:textId="77777777" w:rsidR="00B16DBC" w:rsidRDefault="00B16DBC">
            <w:pPr>
              <w:widowControl/>
              <w:spacing w:line="480" w:lineRule="auto"/>
              <w:ind w:firstLineChars="100" w:firstLine="180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881C00" w14:textId="77777777" w:rsidR="00B16DBC" w:rsidRDefault="00000000">
            <w:pPr>
              <w:widowControl/>
              <w:spacing w:line="480" w:lineRule="auto"/>
              <w:jc w:val="both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984" w:type="dxa"/>
            <w:noWrap/>
            <w:vAlign w:val="center"/>
          </w:tcPr>
          <w:p w14:paraId="26A70D09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(18.8)</w:t>
            </w:r>
          </w:p>
        </w:tc>
        <w:tc>
          <w:tcPr>
            <w:tcW w:w="1843" w:type="dxa"/>
            <w:vAlign w:val="center"/>
          </w:tcPr>
          <w:p w14:paraId="71ABCE5C" w14:textId="77777777" w:rsidR="00B16DBC" w:rsidRDefault="00000000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(19.9)</w:t>
            </w:r>
          </w:p>
        </w:tc>
        <w:tc>
          <w:tcPr>
            <w:tcW w:w="709" w:type="dxa"/>
            <w:noWrap/>
            <w:vAlign w:val="center"/>
          </w:tcPr>
          <w:p w14:paraId="6718932F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34D36457" w14:textId="77777777" w:rsidR="00B16DBC" w:rsidRDefault="00B16D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207C1F4" w14:textId="77777777" w:rsidR="00B16DBC" w:rsidRDefault="00000000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Note: Continuous variables were reported as median [</w:t>
      </w:r>
      <w:r>
        <w:rPr>
          <w:rFonts w:ascii="Times New Roman" w:hAnsi="Times New Roman" w:hint="eastAsia"/>
          <w:sz w:val="18"/>
          <w:szCs w:val="18"/>
        </w:rPr>
        <w:t>25th percentile, 75th percentile</w:t>
      </w:r>
      <w:r>
        <w:rPr>
          <w:rFonts w:ascii="Times New Roman" w:hAnsi="Times New Roman"/>
          <w:sz w:val="18"/>
          <w:szCs w:val="18"/>
        </w:rPr>
        <w:t>]</w:t>
      </w:r>
      <w:r>
        <w:rPr>
          <w:rFonts w:ascii="Times New Roman" w:eastAsia="宋体" w:hAnsi="Times New Roman"/>
          <w:color w:val="auto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Categorical variables were reported as number (percentage). </w:t>
      </w:r>
      <w:proofErr w:type="spellStart"/>
      <w:r>
        <w:rPr>
          <w:rFonts w:ascii="Times New Roman" w:hAnsi="Times New Roman"/>
          <w:sz w:val="18"/>
          <w:szCs w:val="18"/>
          <w:vertAlign w:val="superscript"/>
        </w:rPr>
        <w:t>a</w:t>
      </w:r>
      <w:r>
        <w:rPr>
          <w:rFonts w:ascii="Times New Roman" w:hAnsi="Times New Roman"/>
          <w:sz w:val="18"/>
          <w:szCs w:val="18"/>
        </w:rPr>
        <w:t>SMD</w:t>
      </w:r>
      <w:proofErr w:type="spellEnd"/>
      <w:r>
        <w:rPr>
          <w:rFonts w:ascii="Times New Roman" w:hAnsi="Times New Roman"/>
          <w:sz w:val="18"/>
          <w:szCs w:val="18"/>
        </w:rPr>
        <w:t>: Standardized mean differences.</w:t>
      </w:r>
    </w:p>
    <w:p w14:paraId="1772B12F" w14:textId="301F34E9" w:rsidR="00B16DBC" w:rsidRDefault="00000000" w:rsidP="0027235F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R</w:t>
      </w:r>
      <w:r>
        <w:rPr>
          <w:rFonts w:ascii="Times New Roman" w:hAnsi="Times New Roman"/>
          <w:sz w:val="18"/>
          <w:szCs w:val="18"/>
        </w:rPr>
        <w:t>eferences</w:t>
      </w:r>
    </w:p>
    <w:p w14:paraId="369D8162" w14:textId="1D2E08CC" w:rsidR="0027235F" w:rsidRDefault="0027235F" w:rsidP="0027235F">
      <w:pPr>
        <w:spacing w:line="480" w:lineRule="auto"/>
        <w:rPr>
          <w:rFonts w:ascii="Times New Roman" w:hAnsi="Times New Roman"/>
          <w:sz w:val="18"/>
          <w:szCs w:val="18"/>
        </w:rPr>
      </w:pPr>
      <w:r w:rsidRPr="0027235F">
        <w:rPr>
          <w:rFonts w:ascii="Times New Roman" w:hAnsi="Times New Roman"/>
          <w:sz w:val="18"/>
          <w:szCs w:val="18"/>
        </w:rPr>
        <w:t>1. Liang X, Fang C, Huang R, Silber SJ. Clinical assisted reproductive technology: current practice and future advances. 1st ed. 2018.</w:t>
      </w:r>
    </w:p>
    <w:sectPr w:rsidR="0027235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F5F27" w14:textId="77777777" w:rsidR="00EB5CF5" w:rsidRDefault="00EB5CF5">
      <w:r>
        <w:separator/>
      </w:r>
    </w:p>
  </w:endnote>
  <w:endnote w:type="continuationSeparator" w:id="0">
    <w:p w14:paraId="0A161B1E" w14:textId="77777777" w:rsidR="00EB5CF5" w:rsidRDefault="00EB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396305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0BFAF29" w14:textId="77777777" w:rsidR="00B16DBC" w:rsidRDefault="00000000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AF708B" w14:textId="77777777" w:rsidR="00B16DBC" w:rsidRDefault="00B16D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A7A5F" w14:textId="77777777" w:rsidR="00EB5CF5" w:rsidRDefault="00EB5CF5">
      <w:r>
        <w:separator/>
      </w:r>
    </w:p>
  </w:footnote>
  <w:footnote w:type="continuationSeparator" w:id="0">
    <w:p w14:paraId="45274202" w14:textId="77777777" w:rsidR="00EB5CF5" w:rsidRDefault="00EB5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3MDY3NTU1MzA1NzJV0lEKTi0uzszPAykwqgUA5CjuHiwAAAA="/>
    <w:docVar w:name="commondata" w:val="eyJoZGlkIjoiZTcxYThlZDk3ZTJiZjMyZGUyNzlkOTRhMDI5MmQ4NTYifQ=="/>
  </w:docVars>
  <w:rsids>
    <w:rsidRoot w:val="001C2CD2"/>
    <w:rsid w:val="00030BF2"/>
    <w:rsid w:val="001C2CD2"/>
    <w:rsid w:val="0027235F"/>
    <w:rsid w:val="00B16DBC"/>
    <w:rsid w:val="00CD1B0D"/>
    <w:rsid w:val="00EB5CF5"/>
    <w:rsid w:val="4E99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DFC75"/>
  <w15:docId w15:val="{8B379914-38B2-4ECA-A165-56BB0490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等线" w:eastAsia="等线" w:hAnsi="等线" w:cs="Times New Roman"/>
      <w:color w:val="000000"/>
    </w:rPr>
  </w:style>
  <w:style w:type="paragraph" w:styleId="3">
    <w:name w:val="heading 3"/>
    <w:basedOn w:val="a"/>
    <w:next w:val="a"/>
    <w:link w:val="30"/>
    <w:uiPriority w:val="9"/>
    <w:qFormat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宋体" w:eastAsia="宋体" w:hAnsi="宋体" w:cs="宋体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</w:style>
  <w:style w:type="character" w:customStyle="1" w:styleId="a4">
    <w:name w:val="页脚 字符"/>
    <w:basedOn w:val="a0"/>
    <w:link w:val="a3"/>
    <w:uiPriority w:val="99"/>
    <w:rPr>
      <w:rFonts w:ascii="等线" w:eastAsia="等线" w:hAnsi="等线" w:cs="Times New Roman"/>
      <w:color w:val="000000"/>
      <w:kern w:val="0"/>
      <w:sz w:val="18"/>
      <w:szCs w:val="20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245747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2457475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2457475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2E468D3-3444-4C01-BB5A-4AA2CCE6099D}"/>
      </w:docPartPr>
      <w:docPartBody>
        <w:p w:rsidR="009447CE" w:rsidRDefault="00000000">
          <w:r>
            <w:rPr>
              <w:rStyle w:val="a3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E7"/>
    <w:rsid w:val="001A619C"/>
    <w:rsid w:val="001C40E7"/>
    <w:rsid w:val="0094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97F21C-B546-461B-9731-700E3A396DA5}">
  <we:reference id="wa104382081" version="1.55.1.0" store="zh-CN" storeType="OMEX"/>
  <we:alternateReferences>
    <we:reference id="wa104382081" version="1.55.1.0" store="zh-CN" storeType="OMEX"/>
  </we:alternateReferences>
  <we:properties>
    <we:property name="MENDELEY_CITATIONS" value="[{&quot;citationID&quot;:&quot;MENDELEY_CITATION_b6780401-6cd0-495f-a0b6-73318fd3488b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&quot;,&quot;citationItems&quot;:[{&quot;id&quot;:&quot;71114391-f64b-33eb-8ef8-6591fd182a36&quot;,&quot;itemData&quot;:{&quot;type&quot;:&quot;book&quot;,&quot;id&quot;:&quot;71114391-f64b-33eb-8ef8-6591fd182a36&quot;,&quot;title&quot;:&quot;Clinical assisted reproductive technology: current practice and future advances&quot;,&quot;author&quot;:[{&quot;family&quot;:&quot;Liang&quot;,&quot;given&quot;:&quot;Xiaoyan&quot;,&quot;parse-names&quot;:false,&quot;dropping-particle&quot;:&quot;&quot;,&quot;non-dropping-particle&quot;:&quot;&quot;},{&quot;family&quot;:&quot;Fang&quot;,&quot;given&quot;:&quot;Cong&quot;,&quot;parse-names&quot;:false,&quot;dropping-particle&quot;:&quot;&quot;,&quot;non-dropping-particle&quot;:&quot;&quot;},{&quot;family&quot;:&quot;Huang&quot;,&quot;given&quot;:&quot;Rui&quot;,&quot;parse-names&quot;:false,&quot;dropping-particle&quot;:&quot;&quot;,&quot;non-dropping-particle&quot;:&quot;&quot;},{&quot;family&quot;:&quot;Silber&quot;,&quot;given&quot;:&quot;Sherman J.&quot;,&quot;parse-names&quot;:false,&quot;dropping-particle&quot;:&quot;&quot;,&quot;non-dropping-particle&quot;:&quot;&quot;}],&quot;issued&quot;:{&quot;date-parts&quot;:[[2018,7]]},&quot;number-of-pages&quot;:&quot;119-177&quot;,&quot;edition&quot;:&quot;1&quot;,&quot;volume&quot;:&quot;1&quot;,&quot;container-title-short&quot;:&quot;&quot;},&quot;isTemporary&quot;:false}]}]"/>
    <we:property name="MENDELEY_CITATIONS_STYLE" value="{&quot;id&quot;:&quot;https://www.zotero.org/styles/reproductive-biology-and-endocrinology&quot;,&quot;title&quot;:&quot;Reproductive Biology and Endocrinology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69800-74BD-4005-B96E-6896C048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jinyu lu</dc:creator>
  <cp:lastModifiedBy>jinyu lu</cp:lastModifiedBy>
  <cp:revision>3</cp:revision>
  <dcterms:created xsi:type="dcterms:W3CDTF">2023-03-19T12:52:00Z</dcterms:created>
  <dcterms:modified xsi:type="dcterms:W3CDTF">2023-04-03T11:58:00Z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3BEB3C565AC44AA5A4AC5BFFA1E7B80F_12</vt:lpwstr>
  </property>
</Properties>
</file>