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18" w:rsidRDefault="0072028D" w:rsidP="005E201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Supplementary appendix I</w:t>
      </w:r>
    </w:p>
    <w:p w:rsidR="0081795D" w:rsidRPr="00686212" w:rsidRDefault="0081795D" w:rsidP="005E2018">
      <w:pPr>
        <w:jc w:val="center"/>
        <w:rPr>
          <w:sz w:val="26"/>
          <w:szCs w:val="26"/>
          <w:lang w:val="en-US"/>
        </w:rPr>
      </w:pPr>
      <w:r w:rsidRPr="00686212">
        <w:rPr>
          <w:b/>
          <w:sz w:val="26"/>
          <w:szCs w:val="26"/>
        </w:rPr>
        <w:t>Class of recommendation and level of evidence for all clinical statements</w:t>
      </w:r>
    </w:p>
    <w:p w:rsidR="005E2018" w:rsidRPr="005E2018" w:rsidRDefault="005E2018" w:rsidP="005E2018">
      <w:pPr>
        <w:ind w:hanging="567"/>
        <w:rPr>
          <w:sz w:val="24"/>
          <w:szCs w:val="24"/>
        </w:rPr>
      </w:pPr>
      <w:r w:rsidRPr="005E2018">
        <w:rPr>
          <w:b/>
          <w:bCs/>
          <w:sz w:val="24"/>
          <w:szCs w:val="24"/>
          <w:lang w:val="en-US"/>
        </w:rPr>
        <w:t xml:space="preserve">Consensus: </w:t>
      </w:r>
      <w:r w:rsidRPr="005E2018">
        <w:rPr>
          <w:sz w:val="24"/>
          <w:szCs w:val="24"/>
          <w:lang w:val="en-US"/>
        </w:rPr>
        <w:t xml:space="preserve">Statements achieving a mean score of </w:t>
      </w:r>
      <w:r w:rsidRPr="005E2018">
        <w:rPr>
          <w:b/>
          <w:bCs/>
          <w:sz w:val="24"/>
          <w:szCs w:val="24"/>
          <w:lang w:val="en-US"/>
        </w:rPr>
        <w:t xml:space="preserve">7.00 or higher </w:t>
      </w:r>
      <w:r w:rsidRPr="005E2018">
        <w:rPr>
          <w:sz w:val="24"/>
          <w:szCs w:val="24"/>
          <w:lang w:val="en-US"/>
        </w:rPr>
        <w:t xml:space="preserve">with no </w:t>
      </w:r>
      <w:r w:rsidRPr="005E2018">
        <w:rPr>
          <w:sz w:val="24"/>
          <w:szCs w:val="24"/>
        </w:rPr>
        <w:t>more than 1 outlier</w:t>
      </w:r>
    </w:p>
    <w:p w:rsidR="005E2018" w:rsidRPr="005E2018" w:rsidRDefault="005E2018" w:rsidP="005E2018">
      <w:pPr>
        <w:ind w:left="-567"/>
        <w:rPr>
          <w:sz w:val="24"/>
          <w:szCs w:val="24"/>
        </w:rPr>
      </w:pPr>
      <w:r w:rsidRPr="005E2018">
        <w:rPr>
          <w:b/>
          <w:bCs/>
          <w:sz w:val="24"/>
          <w:szCs w:val="24"/>
          <w:lang w:val="en-US"/>
        </w:rPr>
        <w:t xml:space="preserve">Near consensus: </w:t>
      </w:r>
      <w:r w:rsidRPr="005E2018">
        <w:rPr>
          <w:sz w:val="24"/>
          <w:szCs w:val="24"/>
          <w:lang w:val="en-US"/>
        </w:rPr>
        <w:t xml:space="preserve">Statements achieving a mean score of </w:t>
      </w:r>
      <w:r w:rsidRPr="005E2018">
        <w:rPr>
          <w:b/>
          <w:bCs/>
          <w:sz w:val="24"/>
          <w:szCs w:val="24"/>
          <w:lang w:val="en-US"/>
        </w:rPr>
        <w:t xml:space="preserve">6.50 or higher </w:t>
      </w:r>
      <w:r>
        <w:rPr>
          <w:sz w:val="24"/>
          <w:szCs w:val="24"/>
          <w:lang w:val="en-US"/>
        </w:rPr>
        <w:t xml:space="preserve">with no more than 2 </w:t>
      </w:r>
      <w:r w:rsidRPr="005E2018">
        <w:rPr>
          <w:sz w:val="24"/>
          <w:szCs w:val="24"/>
          <w:lang w:val="en-US"/>
        </w:rPr>
        <w:t>outliers</w:t>
      </w:r>
    </w:p>
    <w:p w:rsidR="005E2018" w:rsidRPr="005E2018" w:rsidRDefault="005E2018" w:rsidP="005E2018">
      <w:pPr>
        <w:ind w:hanging="567"/>
        <w:rPr>
          <w:sz w:val="24"/>
          <w:szCs w:val="24"/>
        </w:rPr>
      </w:pPr>
      <w:r w:rsidRPr="005E2018">
        <w:rPr>
          <w:b/>
          <w:bCs/>
          <w:sz w:val="24"/>
          <w:szCs w:val="24"/>
          <w:lang w:val="en-US"/>
        </w:rPr>
        <w:t xml:space="preserve">No consensus: </w:t>
      </w:r>
      <w:r w:rsidRPr="005E2018">
        <w:rPr>
          <w:sz w:val="24"/>
          <w:szCs w:val="24"/>
          <w:lang w:val="en-US"/>
        </w:rPr>
        <w:t xml:space="preserve">Statements NOT meeting the criteria of consensus or near </w:t>
      </w:r>
      <w:r w:rsidRPr="005E2018">
        <w:rPr>
          <w:sz w:val="24"/>
          <w:szCs w:val="24"/>
        </w:rPr>
        <w:t>consensus</w:t>
      </w:r>
    </w:p>
    <w:p w:rsidR="005E2018" w:rsidRDefault="005E2018" w:rsidP="005E2018">
      <w:pPr>
        <w:ind w:hanging="567"/>
        <w:rPr>
          <w:sz w:val="24"/>
          <w:szCs w:val="24"/>
          <w:lang w:val="en-US"/>
        </w:rPr>
      </w:pPr>
      <w:r w:rsidRPr="005E2018">
        <w:rPr>
          <w:sz w:val="24"/>
          <w:szCs w:val="24"/>
          <w:lang w:val="en-US"/>
        </w:rPr>
        <w:t>Outlier defined as any rating ≥2 Likert points from the mean in either direction</w:t>
      </w:r>
    </w:p>
    <w:p w:rsidR="005E2018" w:rsidRPr="005E2018" w:rsidRDefault="005E2018" w:rsidP="005E2018">
      <w:pPr>
        <w:rPr>
          <w:sz w:val="24"/>
          <w:szCs w:val="24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999"/>
        <w:gridCol w:w="4908"/>
        <w:gridCol w:w="986"/>
        <w:gridCol w:w="857"/>
        <w:gridCol w:w="1616"/>
        <w:gridCol w:w="1266"/>
      </w:tblGrid>
      <w:tr w:rsidR="0072028D" w:rsidRPr="00A21E87" w:rsidTr="0072028D">
        <w:trPr>
          <w:trHeight w:val="300"/>
        </w:trPr>
        <w:tc>
          <w:tcPr>
            <w:tcW w:w="999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Question</w:t>
            </w:r>
          </w:p>
        </w:tc>
        <w:tc>
          <w:tcPr>
            <w:tcW w:w="98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Average score</w:t>
            </w:r>
          </w:p>
        </w:tc>
        <w:tc>
          <w:tcPr>
            <w:tcW w:w="857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O</w:t>
            </w: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utlier </w:t>
            </w:r>
          </w:p>
        </w:tc>
        <w:tc>
          <w:tcPr>
            <w:tcW w:w="161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Pr="00A21E87" w:rsidRDefault="001A768E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COR and L</w:t>
            </w:r>
            <w:r w:rsidR="0072028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OE</w:t>
            </w:r>
          </w:p>
        </w:tc>
      </w:tr>
      <w:tr w:rsidR="00EC483E" w:rsidRPr="00A21E87" w:rsidTr="00036965">
        <w:trPr>
          <w:trHeight w:val="311"/>
        </w:trPr>
        <w:tc>
          <w:tcPr>
            <w:tcW w:w="10632" w:type="dxa"/>
            <w:gridSpan w:val="6"/>
            <w:noWrap/>
            <w:hideMark/>
          </w:tcPr>
          <w:p w:rsidR="00EC483E" w:rsidRPr="00A21E87" w:rsidRDefault="00EC483E" w:rsidP="00EC483E">
            <w:pPr>
              <w:spacing w:line="276" w:lineRule="auto"/>
              <w:ind w:right="95"/>
              <w:jc w:val="center"/>
              <w:rPr>
                <w:b/>
                <w:sz w:val="24"/>
                <w:szCs w:val="24"/>
              </w:rPr>
            </w:pPr>
            <w:r w:rsidRPr="00A21E87">
              <w:rPr>
                <w:b/>
                <w:sz w:val="24"/>
                <w:szCs w:val="24"/>
              </w:rPr>
              <w:t xml:space="preserve">Risk stratification </w:t>
            </w:r>
          </w:p>
        </w:tc>
      </w:tr>
      <w:tr w:rsidR="0072028D" w:rsidRPr="00A21E87" w:rsidTr="0072028D">
        <w:trPr>
          <w:trHeight w:val="755"/>
        </w:trPr>
        <w:tc>
          <w:tcPr>
            <w:tcW w:w="999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1 </w:t>
            </w:r>
          </w:p>
        </w:tc>
        <w:tc>
          <w:tcPr>
            <w:tcW w:w="4908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The International Metastatic RCC Database Consortium (IMDC) criteria is more clinically relevant for risk stratification </w:t>
            </w:r>
          </w:p>
        </w:tc>
        <w:tc>
          <w:tcPr>
            <w:tcW w:w="98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8.54</w:t>
            </w:r>
          </w:p>
        </w:tc>
        <w:tc>
          <w:tcPr>
            <w:tcW w:w="857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Consensus</w:t>
            </w:r>
          </w:p>
        </w:tc>
        <w:tc>
          <w:tcPr>
            <w:tcW w:w="1266" w:type="dxa"/>
          </w:tcPr>
          <w:p w:rsidR="0072028D" w:rsidRDefault="00885937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15"/>
        </w:trPr>
        <w:tc>
          <w:tcPr>
            <w:tcW w:w="999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 2</w:t>
            </w:r>
          </w:p>
        </w:tc>
        <w:tc>
          <w:tcPr>
            <w:tcW w:w="4908" w:type="dxa"/>
            <w:noWrap/>
            <w:hideMark/>
          </w:tcPr>
          <w:p w:rsidR="0072028D" w:rsidRPr="00C67FFC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The Memorial Sloan-Kettering Cancer Center (MSKCC) criteria is more clinically relevant for risk stratification </w:t>
            </w:r>
          </w:p>
        </w:tc>
        <w:tc>
          <w:tcPr>
            <w:tcW w:w="98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5.38</w:t>
            </w:r>
          </w:p>
        </w:tc>
        <w:tc>
          <w:tcPr>
            <w:tcW w:w="857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61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885937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III-A</w:t>
            </w:r>
          </w:p>
        </w:tc>
      </w:tr>
      <w:tr w:rsidR="00EC483E" w:rsidRPr="00A21E87" w:rsidTr="00593ED5">
        <w:trPr>
          <w:trHeight w:val="315"/>
        </w:trPr>
        <w:tc>
          <w:tcPr>
            <w:tcW w:w="10632" w:type="dxa"/>
            <w:gridSpan w:val="6"/>
            <w:noWrap/>
            <w:hideMark/>
          </w:tcPr>
          <w:p w:rsidR="00EC483E" w:rsidRPr="00A21E87" w:rsidRDefault="00EC483E" w:rsidP="00EC48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1E87">
              <w:rPr>
                <w:b/>
                <w:sz w:val="24"/>
                <w:szCs w:val="24"/>
              </w:rPr>
              <w:t xml:space="preserve">First line therapy </w:t>
            </w:r>
          </w:p>
        </w:tc>
      </w:tr>
      <w:tr w:rsidR="0072028D" w:rsidRPr="00A21E87" w:rsidTr="0072028D">
        <w:trPr>
          <w:trHeight w:val="440"/>
        </w:trPr>
        <w:tc>
          <w:tcPr>
            <w:tcW w:w="999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367" w:type="dxa"/>
            <w:gridSpan w:val="4"/>
            <w:hideMark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b/>
                <w:sz w:val="24"/>
                <w:szCs w:val="24"/>
              </w:rPr>
            </w:pPr>
            <w:r w:rsidRPr="00A21E87">
              <w:rPr>
                <w:b/>
                <w:sz w:val="24"/>
                <w:szCs w:val="24"/>
              </w:rPr>
              <w:t xml:space="preserve">Favourable risk category </w:t>
            </w: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ind w:right="95"/>
              <w:jc w:val="center"/>
              <w:rPr>
                <w:b/>
                <w:sz w:val="24"/>
                <w:szCs w:val="24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 1</w:t>
            </w:r>
          </w:p>
        </w:tc>
        <w:tc>
          <w:tcPr>
            <w:tcW w:w="4908" w:type="dxa"/>
            <w:noWrap/>
            <w:hideMark/>
          </w:tcPr>
          <w:p w:rsidR="0072028D" w:rsidRPr="00C67FFC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Active surveillance can be offered to treatment-naïve patients who are asymptomatic or minimally symptomatic</w:t>
            </w:r>
          </w:p>
        </w:tc>
        <w:tc>
          <w:tcPr>
            <w:tcW w:w="986" w:type="dxa"/>
            <w:hideMark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857" w:type="dxa"/>
            <w:noWrap/>
            <w:hideMark/>
          </w:tcPr>
          <w:p w:rsidR="0072028D" w:rsidRPr="00A21E87" w:rsidRDefault="0072028D" w:rsidP="004E118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616" w:type="dxa"/>
            <w:noWrap/>
            <w:hideMark/>
          </w:tcPr>
          <w:p w:rsidR="0072028D" w:rsidRPr="00A21E87" w:rsidRDefault="0072028D" w:rsidP="00207AA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00F12"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266" w:type="dxa"/>
          </w:tcPr>
          <w:p w:rsidR="0072028D" w:rsidRPr="00000F12" w:rsidRDefault="009A7DA4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III-B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C67FFC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Axitinib + pembrolizumab is the preferred therapy in clinical practice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7.54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BE61E2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Lenvatinib + pembrolizumab is the preferred therapy in clinical practice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7.54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Consensus</w:t>
            </w:r>
          </w:p>
        </w:tc>
        <w:tc>
          <w:tcPr>
            <w:tcW w:w="1266" w:type="dxa"/>
          </w:tcPr>
          <w:p w:rsidR="0072028D" w:rsidRDefault="00BE61E2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Cabozantinib + nivolumab is the preferred therapy in clinical practice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6.77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266" w:type="dxa"/>
          </w:tcPr>
          <w:p w:rsidR="0072028D" w:rsidRDefault="00BE61E2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Ipilimumab + nivolumab is the preferred therapy in clinical practice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4.92</w:t>
            </w:r>
          </w:p>
        </w:tc>
        <w:tc>
          <w:tcPr>
            <w:tcW w:w="857" w:type="dxa"/>
            <w:noWrap/>
          </w:tcPr>
          <w:p w:rsidR="0072028D" w:rsidRPr="00A21E87" w:rsidRDefault="0072028D" w:rsidP="00F1265B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BE61E2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III-B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Cabozantinib is an option to IO based combinations when immune therapy is not available or is contraindicated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5.69</w:t>
            </w:r>
          </w:p>
        </w:tc>
        <w:tc>
          <w:tcPr>
            <w:tcW w:w="857" w:type="dxa"/>
            <w:noWrap/>
          </w:tcPr>
          <w:p w:rsidR="0072028D" w:rsidRPr="00A21E87" w:rsidRDefault="0072028D" w:rsidP="00747608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266" w:type="dxa"/>
          </w:tcPr>
          <w:p w:rsidR="0072028D" w:rsidRDefault="00247C05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691B8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 7</w:t>
            </w:r>
          </w:p>
        </w:tc>
        <w:tc>
          <w:tcPr>
            <w:tcW w:w="4908" w:type="dxa"/>
            <w:noWrap/>
          </w:tcPr>
          <w:p w:rsidR="0072028D" w:rsidRPr="00C67FFC" w:rsidRDefault="0072028D" w:rsidP="00691B8F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Single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agent TKI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(Pazopanib/sunitinib)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is the preferred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therapy in clinical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practice in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symptomatic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patients irrespective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of the affordability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and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availability</w:t>
            </w:r>
          </w:p>
        </w:tc>
        <w:tc>
          <w:tcPr>
            <w:tcW w:w="986" w:type="dxa"/>
          </w:tcPr>
          <w:p w:rsidR="0072028D" w:rsidRPr="00A21E87" w:rsidRDefault="0072028D" w:rsidP="00691B8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5.46</w:t>
            </w:r>
          </w:p>
        </w:tc>
        <w:tc>
          <w:tcPr>
            <w:tcW w:w="857" w:type="dxa"/>
            <w:noWrap/>
          </w:tcPr>
          <w:p w:rsidR="0072028D" w:rsidRPr="00A21E87" w:rsidRDefault="0072028D" w:rsidP="00691B8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616" w:type="dxa"/>
            <w:noWrap/>
          </w:tcPr>
          <w:p w:rsidR="0072028D" w:rsidRPr="00A21E87" w:rsidRDefault="0072028D" w:rsidP="00691B8F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000F12"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266" w:type="dxa"/>
          </w:tcPr>
          <w:p w:rsidR="0072028D" w:rsidRPr="00000F12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367" w:type="dxa"/>
            <w:gridSpan w:val="4"/>
            <w:noWrap/>
          </w:tcPr>
          <w:p w:rsidR="0072028D" w:rsidRPr="005E2018" w:rsidRDefault="0072028D" w:rsidP="005E2018">
            <w:pPr>
              <w:spacing w:line="276" w:lineRule="auto"/>
              <w:ind w:right="95"/>
              <w:jc w:val="both"/>
              <w:rPr>
                <w:b/>
                <w:sz w:val="24"/>
                <w:szCs w:val="24"/>
              </w:rPr>
            </w:pPr>
            <w:r w:rsidRPr="005E2018">
              <w:rPr>
                <w:b/>
                <w:sz w:val="24"/>
                <w:szCs w:val="24"/>
              </w:rPr>
              <w:t>Intermediate/poor risk category</w:t>
            </w:r>
          </w:p>
        </w:tc>
        <w:tc>
          <w:tcPr>
            <w:tcW w:w="1266" w:type="dxa"/>
          </w:tcPr>
          <w:p w:rsidR="0072028D" w:rsidRPr="005E2018" w:rsidRDefault="0072028D" w:rsidP="00EC483E">
            <w:pPr>
              <w:spacing w:line="276" w:lineRule="auto"/>
              <w:ind w:right="95"/>
              <w:jc w:val="center"/>
              <w:rPr>
                <w:b/>
                <w:sz w:val="24"/>
                <w:szCs w:val="24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1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Cabozantinib + nivolumab is the preferred therapy in clinical pr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8.08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Lenvatinib + </w:t>
            </w:r>
            <w:proofErr w:type="spellStart"/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pemrolizumab</w:t>
            </w:r>
            <w:proofErr w:type="spellEnd"/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is the preferred therapy in clinical practice in symptomatic pa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8.15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Axit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</w:t>
            </w: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nib + </w:t>
            </w:r>
            <w:proofErr w:type="spellStart"/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pemrolizumab</w:t>
            </w:r>
            <w:proofErr w:type="spellEnd"/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is the preferred therapy in clinical pr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7.85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Ipilimumab + nivolumab is the preferred therapy in clinical pr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7.23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Axit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</w:t>
            </w: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nib + </w:t>
            </w:r>
            <w:proofErr w:type="spellStart"/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avelumab</w:t>
            </w:r>
            <w:proofErr w:type="spellEnd"/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is the preferred therapy in clinical pr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908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actice in symptomatic patients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6.69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C07BA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4908" w:type="dxa"/>
            <w:noWrap/>
          </w:tcPr>
          <w:p w:rsidR="0072028D" w:rsidRPr="00A21E87" w:rsidRDefault="0072028D" w:rsidP="00C07BA0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Single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agent TKI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(Pazopanib/sunitinib)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is the preferred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therapy in clinical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practice in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symptomatic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patients irrespective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of the affordability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>and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DC569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availability</w:t>
            </w:r>
          </w:p>
        </w:tc>
        <w:tc>
          <w:tcPr>
            <w:tcW w:w="986" w:type="dxa"/>
          </w:tcPr>
          <w:p w:rsidR="0072028D" w:rsidRPr="00A21E87" w:rsidRDefault="0072028D" w:rsidP="00C07BA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3.00</w:t>
            </w:r>
          </w:p>
        </w:tc>
        <w:tc>
          <w:tcPr>
            <w:tcW w:w="857" w:type="dxa"/>
            <w:noWrap/>
          </w:tcPr>
          <w:p w:rsidR="0072028D" w:rsidRPr="00A21E87" w:rsidRDefault="0072028D" w:rsidP="00C07BA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C07BA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ind w:right="95"/>
              <w:rPr>
                <w:b/>
                <w:sz w:val="24"/>
                <w:szCs w:val="24"/>
              </w:rPr>
            </w:pPr>
          </w:p>
        </w:tc>
        <w:tc>
          <w:tcPr>
            <w:tcW w:w="8367" w:type="dxa"/>
            <w:gridSpan w:val="4"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1E87">
              <w:rPr>
                <w:b/>
                <w:sz w:val="24"/>
                <w:szCs w:val="24"/>
              </w:rPr>
              <w:t>First line therapy in special circumstances</w:t>
            </w: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C483E" w:rsidRPr="00A21E87" w:rsidTr="00647F27">
        <w:trPr>
          <w:trHeight w:val="300"/>
        </w:trPr>
        <w:tc>
          <w:tcPr>
            <w:tcW w:w="10632" w:type="dxa"/>
            <w:gridSpan w:val="6"/>
            <w:noWrap/>
          </w:tcPr>
          <w:p w:rsidR="00EC483E" w:rsidRPr="003B72F2" w:rsidRDefault="00EC483E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Preferred clinical practice thera</w:t>
            </w:r>
            <w:r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py when immune therapy is not available/not affordable or is contraindicated </w:t>
            </w:r>
            <w:r w:rsidRPr="003B72F2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 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</w:tcPr>
          <w:p w:rsidR="0072028D" w:rsidRPr="003B72F2" w:rsidRDefault="0072028D" w:rsidP="00207AAE">
            <w:pPr>
              <w:spacing w:line="276" w:lineRule="auto"/>
              <w:ind w:right="95"/>
              <w:rPr>
                <w:b/>
                <w:i/>
                <w:sz w:val="24"/>
                <w:szCs w:val="24"/>
              </w:rPr>
            </w:pPr>
            <w:r w:rsidRPr="003B72F2"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  <w:t>Favourable risk category</w:t>
            </w:r>
            <w:r w:rsidRPr="003B72F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0401E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908" w:type="dxa"/>
            <w:noWrap/>
          </w:tcPr>
          <w:p w:rsidR="0072028D" w:rsidRPr="004B0182" w:rsidRDefault="0072028D" w:rsidP="000401E0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B0182">
              <w:rPr>
                <w:rFonts w:ascii="Calibri" w:eastAsia="Times New Roman" w:hAnsi="Calibri" w:cs="Calibri"/>
                <w:color w:val="000000"/>
                <w:lang w:eastAsia="en-IN"/>
              </w:rPr>
              <w:t>Pazopanib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IN"/>
              </w:rPr>
              <w:t>Suntinib</w:t>
            </w:r>
            <w:proofErr w:type="spellEnd"/>
            <w:r w:rsidRPr="004B018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is the preferred therapy </w:t>
            </w:r>
          </w:p>
        </w:tc>
        <w:tc>
          <w:tcPr>
            <w:tcW w:w="986" w:type="dxa"/>
          </w:tcPr>
          <w:p w:rsidR="0072028D" w:rsidRPr="00A21E87" w:rsidRDefault="0072028D" w:rsidP="000401E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8.31</w:t>
            </w:r>
          </w:p>
        </w:tc>
        <w:tc>
          <w:tcPr>
            <w:tcW w:w="857" w:type="dxa"/>
            <w:noWrap/>
          </w:tcPr>
          <w:p w:rsidR="0072028D" w:rsidRPr="00A21E87" w:rsidRDefault="0072028D" w:rsidP="000401E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0401E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</w:tcPr>
          <w:p w:rsidR="0072028D" w:rsidRPr="003B72F2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  <w:t>Intermediate/poor risk category</w:t>
            </w:r>
          </w:p>
        </w:tc>
        <w:tc>
          <w:tcPr>
            <w:tcW w:w="986" w:type="dxa"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6" w:type="dxa"/>
            <w:noWrap/>
          </w:tcPr>
          <w:p w:rsidR="0072028D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6" w:type="dxa"/>
          </w:tcPr>
          <w:p w:rsidR="0072028D" w:rsidRDefault="0072028D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1D28B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908" w:type="dxa"/>
            <w:noWrap/>
          </w:tcPr>
          <w:p w:rsidR="0072028D" w:rsidRPr="004B0182" w:rsidRDefault="0072028D" w:rsidP="001D28B6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B0182">
              <w:rPr>
                <w:rFonts w:ascii="Calibri" w:eastAsia="Times New Roman" w:hAnsi="Calibri" w:cs="Calibri"/>
                <w:color w:val="000000"/>
                <w:lang w:eastAsia="en-IN"/>
              </w:rPr>
              <w:t>Pazopanib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IN"/>
              </w:rPr>
              <w:t>Suntinib</w:t>
            </w:r>
            <w:proofErr w:type="spellEnd"/>
            <w:r w:rsidRPr="004B018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is the preferred therapy</w:t>
            </w:r>
          </w:p>
        </w:tc>
        <w:tc>
          <w:tcPr>
            <w:tcW w:w="986" w:type="dxa"/>
          </w:tcPr>
          <w:p w:rsidR="0072028D" w:rsidRPr="00A21E87" w:rsidRDefault="0072028D" w:rsidP="001D28B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5.77</w:t>
            </w:r>
          </w:p>
        </w:tc>
        <w:tc>
          <w:tcPr>
            <w:tcW w:w="857" w:type="dxa"/>
            <w:noWrap/>
          </w:tcPr>
          <w:p w:rsidR="0072028D" w:rsidRPr="00A21E87" w:rsidRDefault="0072028D" w:rsidP="001D28B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616" w:type="dxa"/>
            <w:noWrap/>
          </w:tcPr>
          <w:p w:rsidR="0072028D" w:rsidRPr="00A21E87" w:rsidRDefault="0072028D" w:rsidP="001D28B6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III-A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Pr="00A21E87" w:rsidRDefault="0072028D" w:rsidP="001D28B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4B0182" w:rsidRDefault="0072028D" w:rsidP="001D28B6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B0182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</w:t>
            </w:r>
          </w:p>
        </w:tc>
        <w:tc>
          <w:tcPr>
            <w:tcW w:w="986" w:type="dxa"/>
          </w:tcPr>
          <w:p w:rsidR="0072028D" w:rsidRPr="00A21E87" w:rsidRDefault="0072028D" w:rsidP="001D28B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7.31</w:t>
            </w:r>
          </w:p>
        </w:tc>
        <w:tc>
          <w:tcPr>
            <w:tcW w:w="857" w:type="dxa"/>
            <w:noWrap/>
          </w:tcPr>
          <w:p w:rsidR="0072028D" w:rsidRPr="00A21E87" w:rsidRDefault="0072028D" w:rsidP="001D28B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1D28B6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EC483E" w:rsidRPr="00A21E87" w:rsidTr="0030265A">
        <w:trPr>
          <w:trHeight w:val="300"/>
        </w:trPr>
        <w:tc>
          <w:tcPr>
            <w:tcW w:w="10632" w:type="dxa"/>
            <w:gridSpan w:val="6"/>
            <w:noWrap/>
          </w:tcPr>
          <w:p w:rsidR="00EC483E" w:rsidRPr="003E3132" w:rsidRDefault="00EC483E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lang w:eastAsia="en-IN"/>
              </w:rPr>
            </w:pPr>
            <w:r w:rsidRPr="003E3132">
              <w:rPr>
                <w:rFonts w:ascii="Calibri" w:eastAsia="Times New Roman" w:hAnsi="Calibri" w:cs="Calibri"/>
                <w:b/>
                <w:lang w:eastAsia="en-IN"/>
              </w:rPr>
              <w:t xml:space="preserve">Preferred </w:t>
            </w:r>
            <w:r>
              <w:rPr>
                <w:rFonts w:ascii="Calibri" w:eastAsia="Times New Roman" w:hAnsi="Calibri" w:cs="Calibri"/>
                <w:b/>
                <w:lang w:eastAsia="en-IN"/>
              </w:rPr>
              <w:t>class of therapy/therapy</w:t>
            </w:r>
            <w:r w:rsidRPr="003E3132">
              <w:rPr>
                <w:rFonts w:ascii="Calibri" w:eastAsia="Times New Roman" w:hAnsi="Calibri" w:cs="Calibri"/>
                <w:b/>
                <w:lang w:eastAsia="en-IN"/>
              </w:rPr>
              <w:t xml:space="preserve"> in clinical practice in high disease burden: Symptomatic and/or rapidly progressive disease requiring rapid control </w:t>
            </w:r>
            <w:r w:rsidRPr="003E3132">
              <w:rPr>
                <w:rFonts w:ascii="Calibri" w:eastAsia="Times New Roman" w:hAnsi="Calibri" w:cs="Calibri"/>
                <w:lang w:eastAsia="en-IN"/>
              </w:rPr>
              <w:t>(In disease burden categorization stated above, type and nature of symptoms to be judged clinically along with risk stratification while managing the patient)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</w:tcPr>
          <w:p w:rsidR="0072028D" w:rsidRPr="003B72F2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  <w:t xml:space="preserve">Favourable risk category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D8687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908" w:type="dxa"/>
            <w:noWrap/>
          </w:tcPr>
          <w:p w:rsidR="0072028D" w:rsidRPr="007468C4" w:rsidRDefault="0072028D" w:rsidP="00BC2DF7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TKI (Pazopanib/sunitinib) is the preferred therapy </w:t>
            </w:r>
          </w:p>
        </w:tc>
        <w:tc>
          <w:tcPr>
            <w:tcW w:w="986" w:type="dxa"/>
          </w:tcPr>
          <w:p w:rsidR="0072028D" w:rsidRPr="00A21E87" w:rsidRDefault="0072028D" w:rsidP="00D8687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7.08 </w:t>
            </w:r>
          </w:p>
        </w:tc>
        <w:tc>
          <w:tcPr>
            <w:tcW w:w="857" w:type="dxa"/>
            <w:noWrap/>
          </w:tcPr>
          <w:p w:rsidR="0072028D" w:rsidRPr="00A21E87" w:rsidRDefault="0072028D" w:rsidP="00D8687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616" w:type="dxa"/>
            <w:noWrap/>
          </w:tcPr>
          <w:p w:rsidR="0072028D" w:rsidRPr="00A21E87" w:rsidRDefault="0072028D" w:rsidP="00D86870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7468C4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468C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IO+TKI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7468C4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468C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IO+IO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5.31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</w:tcPr>
          <w:p w:rsidR="0072028D" w:rsidRPr="003B72F2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  <w:t xml:space="preserve">Intermediate/poor risk category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EF0C4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908" w:type="dxa"/>
            <w:noWrap/>
          </w:tcPr>
          <w:p w:rsidR="0072028D" w:rsidRPr="007468C4" w:rsidRDefault="0072028D" w:rsidP="00BC2DF7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TKI (Pazopanib/sunitinib) is the preferred therapy</w:t>
            </w:r>
          </w:p>
        </w:tc>
        <w:tc>
          <w:tcPr>
            <w:tcW w:w="986" w:type="dxa"/>
          </w:tcPr>
          <w:p w:rsidR="0072028D" w:rsidRPr="00A21E87" w:rsidRDefault="0072028D" w:rsidP="00EF0C4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5.38 </w:t>
            </w:r>
          </w:p>
        </w:tc>
        <w:tc>
          <w:tcPr>
            <w:tcW w:w="857" w:type="dxa"/>
            <w:noWrap/>
          </w:tcPr>
          <w:p w:rsidR="0072028D" w:rsidRPr="00A21E87" w:rsidRDefault="0072028D" w:rsidP="00EF0C4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1616" w:type="dxa"/>
            <w:noWrap/>
          </w:tcPr>
          <w:p w:rsidR="0072028D" w:rsidRPr="00A21E87" w:rsidRDefault="0072028D" w:rsidP="00EF0C4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EF0C4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7468C4" w:rsidRDefault="0072028D" w:rsidP="00754137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TKI (Cabozantinib) is the preferred therapy</w:t>
            </w:r>
          </w:p>
        </w:tc>
        <w:tc>
          <w:tcPr>
            <w:tcW w:w="986" w:type="dxa"/>
          </w:tcPr>
          <w:p w:rsidR="0072028D" w:rsidRPr="00A21E87" w:rsidRDefault="0072028D" w:rsidP="00EF0C4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7.46</w:t>
            </w:r>
          </w:p>
        </w:tc>
        <w:tc>
          <w:tcPr>
            <w:tcW w:w="857" w:type="dxa"/>
            <w:noWrap/>
          </w:tcPr>
          <w:p w:rsidR="0072028D" w:rsidRPr="00A21E87" w:rsidRDefault="0072028D" w:rsidP="00EF0C4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616" w:type="dxa"/>
            <w:noWrap/>
          </w:tcPr>
          <w:p w:rsidR="0072028D" w:rsidRPr="00A21E87" w:rsidRDefault="0072028D" w:rsidP="00EF0C4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7468C4" w:rsidRDefault="0072028D" w:rsidP="007C4165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468C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IO+TKI is the preferred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8.46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908" w:type="dxa"/>
            <w:noWrap/>
          </w:tcPr>
          <w:p w:rsidR="0072028D" w:rsidRPr="007468C4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468C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IO+IO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6.85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EC483E" w:rsidRPr="00A21E87" w:rsidTr="00AE70B0">
        <w:trPr>
          <w:trHeight w:val="300"/>
        </w:trPr>
        <w:tc>
          <w:tcPr>
            <w:tcW w:w="10632" w:type="dxa"/>
            <w:gridSpan w:val="6"/>
            <w:noWrap/>
          </w:tcPr>
          <w:p w:rsidR="00EC483E" w:rsidRPr="003B72F2" w:rsidRDefault="00EC483E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Preferred </w:t>
            </w:r>
            <w:r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therapy/</w:t>
            </w:r>
            <w:r w:rsidRPr="003B72F2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class of therapy in clinical practice in low disease burden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</w:tcPr>
          <w:p w:rsidR="0072028D" w:rsidRPr="003B72F2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  <w:t xml:space="preserve">Favourable risk category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CC2A74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908" w:type="dxa"/>
            <w:noWrap/>
          </w:tcPr>
          <w:p w:rsidR="0072028D" w:rsidRPr="007468C4" w:rsidRDefault="0072028D" w:rsidP="00CC2A74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TKI (Pazopanib/sunitinib) is the preferred therapy </w:t>
            </w:r>
          </w:p>
        </w:tc>
        <w:tc>
          <w:tcPr>
            <w:tcW w:w="986" w:type="dxa"/>
          </w:tcPr>
          <w:p w:rsidR="0072028D" w:rsidRPr="00A21E87" w:rsidRDefault="0072028D" w:rsidP="00CC2A74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8.31</w:t>
            </w:r>
          </w:p>
        </w:tc>
        <w:tc>
          <w:tcPr>
            <w:tcW w:w="857" w:type="dxa"/>
            <w:noWrap/>
          </w:tcPr>
          <w:p w:rsidR="0072028D" w:rsidRPr="00A21E87" w:rsidRDefault="0072028D" w:rsidP="00CC2A74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616" w:type="dxa"/>
            <w:noWrap/>
          </w:tcPr>
          <w:p w:rsidR="0072028D" w:rsidRPr="00A21E87" w:rsidRDefault="0072028D" w:rsidP="00CC2A74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DD4A34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DD4A3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IO+TKI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7.77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DD4A34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DD4A3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IO+IO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5.08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08" w:type="dxa"/>
            <w:noWrap/>
          </w:tcPr>
          <w:p w:rsidR="0072028D" w:rsidRPr="003B72F2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i/>
                <w:color w:val="000000"/>
                <w:lang w:eastAsia="en-IN"/>
              </w:rPr>
              <w:t>Intermediate/poor risk category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6" w:type="dxa"/>
          </w:tcPr>
          <w:p w:rsidR="0072028D" w:rsidRPr="00A21E87" w:rsidRDefault="0072028D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7437E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1</w:t>
            </w:r>
          </w:p>
        </w:tc>
        <w:tc>
          <w:tcPr>
            <w:tcW w:w="4908" w:type="dxa"/>
            <w:noWrap/>
          </w:tcPr>
          <w:p w:rsidR="0072028D" w:rsidRPr="007468C4" w:rsidRDefault="0072028D" w:rsidP="007437E6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TKI (Pazopanib/sunitinib) is the preferred therapy </w:t>
            </w:r>
          </w:p>
        </w:tc>
        <w:tc>
          <w:tcPr>
            <w:tcW w:w="986" w:type="dxa"/>
          </w:tcPr>
          <w:p w:rsidR="0072028D" w:rsidRPr="00A21E87" w:rsidRDefault="0072028D" w:rsidP="007437E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5.54</w:t>
            </w:r>
          </w:p>
        </w:tc>
        <w:tc>
          <w:tcPr>
            <w:tcW w:w="857" w:type="dxa"/>
            <w:noWrap/>
          </w:tcPr>
          <w:p w:rsidR="0072028D" w:rsidRPr="00A21E87" w:rsidRDefault="0072028D" w:rsidP="007437E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1616" w:type="dxa"/>
            <w:noWrap/>
          </w:tcPr>
          <w:p w:rsidR="0072028D" w:rsidRPr="00A21E87" w:rsidRDefault="0072028D" w:rsidP="007437E6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7437E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8830E1" w:rsidRDefault="0072028D" w:rsidP="007437E6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TKI (Cabozantinib) is the preferred therapy</w:t>
            </w:r>
          </w:p>
        </w:tc>
        <w:tc>
          <w:tcPr>
            <w:tcW w:w="986" w:type="dxa"/>
          </w:tcPr>
          <w:p w:rsidR="0072028D" w:rsidRPr="00A21E87" w:rsidRDefault="0072028D" w:rsidP="007437E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7.38</w:t>
            </w:r>
          </w:p>
        </w:tc>
        <w:tc>
          <w:tcPr>
            <w:tcW w:w="857" w:type="dxa"/>
            <w:noWrap/>
          </w:tcPr>
          <w:p w:rsidR="0072028D" w:rsidRPr="00A21E87" w:rsidRDefault="0072028D" w:rsidP="007437E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7437E6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IO+TKI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IO+IO is the preferred class of therapy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7.08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3D6F39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EC483E" w:rsidRPr="00A21E87" w:rsidTr="00126387">
        <w:trPr>
          <w:trHeight w:val="300"/>
        </w:trPr>
        <w:tc>
          <w:tcPr>
            <w:tcW w:w="10632" w:type="dxa"/>
            <w:gridSpan w:val="6"/>
            <w:noWrap/>
          </w:tcPr>
          <w:p w:rsidR="00EC483E" w:rsidRPr="003B72F2" w:rsidRDefault="00EC483E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3B72F2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Preferred clinical practice therapy in cardiovascular comorbidity (ejection fraction &lt;45 %) irrespective of risk stratification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IO+TKI is preferred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6.31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E539D4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IO+IO is preferred 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7.15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266" w:type="dxa"/>
          </w:tcPr>
          <w:p w:rsidR="0072028D" w:rsidRDefault="00E539D4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>Single agent TKI (Cabozantinib) is preferred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6.62</w:t>
            </w:r>
          </w:p>
        </w:tc>
        <w:tc>
          <w:tcPr>
            <w:tcW w:w="857" w:type="dxa"/>
            <w:noWrap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266" w:type="dxa"/>
          </w:tcPr>
          <w:p w:rsidR="0072028D" w:rsidRDefault="00E539D4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>Single agent TKI (Pazopanib) is preferred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6.23</w:t>
            </w:r>
          </w:p>
        </w:tc>
        <w:tc>
          <w:tcPr>
            <w:tcW w:w="857" w:type="dxa"/>
            <w:noWrap/>
          </w:tcPr>
          <w:p w:rsidR="0072028D" w:rsidRPr="00A21E87" w:rsidRDefault="0072028D" w:rsidP="00275D17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266" w:type="dxa"/>
          </w:tcPr>
          <w:p w:rsidR="0072028D" w:rsidRDefault="00E539D4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72028D" w:rsidRPr="00A21E87" w:rsidTr="0072028D">
        <w:trPr>
          <w:trHeight w:val="300"/>
        </w:trPr>
        <w:tc>
          <w:tcPr>
            <w:tcW w:w="999" w:type="dxa"/>
            <w:noWrap/>
          </w:tcPr>
          <w:p w:rsidR="0072028D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908" w:type="dxa"/>
            <w:noWrap/>
          </w:tcPr>
          <w:p w:rsidR="0072028D" w:rsidRPr="008830E1" w:rsidRDefault="0072028D" w:rsidP="00207AAE">
            <w:pPr>
              <w:spacing w:line="276" w:lineRule="auto"/>
              <w:ind w:right="9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830E1">
              <w:rPr>
                <w:rFonts w:ascii="Calibri" w:eastAsia="Times New Roman" w:hAnsi="Calibri" w:cs="Calibri"/>
                <w:color w:val="000000"/>
                <w:lang w:eastAsia="en-IN"/>
              </w:rPr>
              <w:t>Single agent TKI (Sunitinib) is preferred</w:t>
            </w:r>
          </w:p>
        </w:tc>
        <w:tc>
          <w:tcPr>
            <w:tcW w:w="986" w:type="dxa"/>
          </w:tcPr>
          <w:p w:rsidR="0072028D" w:rsidRPr="00A21E87" w:rsidRDefault="0072028D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4.54</w:t>
            </w:r>
          </w:p>
        </w:tc>
        <w:tc>
          <w:tcPr>
            <w:tcW w:w="857" w:type="dxa"/>
            <w:noWrap/>
          </w:tcPr>
          <w:p w:rsidR="0072028D" w:rsidRPr="00A21E87" w:rsidRDefault="0072028D" w:rsidP="00FC7CB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616" w:type="dxa"/>
            <w:noWrap/>
          </w:tcPr>
          <w:p w:rsidR="0072028D" w:rsidRPr="00A21E87" w:rsidRDefault="0072028D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266" w:type="dxa"/>
          </w:tcPr>
          <w:p w:rsidR="0072028D" w:rsidRDefault="00E539D4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C483E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</w:tbl>
    <w:p w:rsidR="00673C09" w:rsidRDefault="00673C09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993"/>
        <w:gridCol w:w="4874"/>
        <w:gridCol w:w="1120"/>
        <w:gridCol w:w="980"/>
        <w:gridCol w:w="1399"/>
        <w:gridCol w:w="1124"/>
      </w:tblGrid>
      <w:tr w:rsidR="00BC1216" w:rsidRPr="00A21E87" w:rsidTr="00BC1216">
        <w:trPr>
          <w:trHeight w:val="300"/>
        </w:trPr>
        <w:tc>
          <w:tcPr>
            <w:tcW w:w="9366" w:type="dxa"/>
            <w:gridSpan w:val="5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3012B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Second line therapy</w:t>
            </w:r>
          </w:p>
        </w:tc>
        <w:tc>
          <w:tcPr>
            <w:tcW w:w="1124" w:type="dxa"/>
          </w:tcPr>
          <w:p w:rsidR="00BC1216" w:rsidRPr="0033012B" w:rsidRDefault="00BC1216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</w:p>
        </w:tc>
      </w:tr>
      <w:tr w:rsidR="00EC483E" w:rsidRPr="00A21E87" w:rsidTr="006F1058">
        <w:trPr>
          <w:trHeight w:val="300"/>
        </w:trPr>
        <w:tc>
          <w:tcPr>
            <w:tcW w:w="10490" w:type="dxa"/>
            <w:gridSpan w:val="6"/>
            <w:noWrap/>
          </w:tcPr>
          <w:p w:rsidR="00EC483E" w:rsidRPr="00675845" w:rsidRDefault="00EC483E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675845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Patients who have taken axitinib + </w:t>
            </w:r>
            <w:r w:rsidR="00EF4236" w:rsidRPr="00675845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pembrolizumab</w:t>
            </w:r>
            <w:r w:rsidRPr="00675845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 in first line 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BC1216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874" w:type="dxa"/>
            <w:noWrap/>
          </w:tcPr>
          <w:p w:rsidR="00BC1216" w:rsidRPr="00A21E87" w:rsidRDefault="00BC1216" w:rsidP="00BC121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Question</w:t>
            </w:r>
          </w:p>
        </w:tc>
        <w:tc>
          <w:tcPr>
            <w:tcW w:w="1120" w:type="dxa"/>
          </w:tcPr>
          <w:p w:rsidR="00BC1216" w:rsidRPr="00A21E87" w:rsidRDefault="00BC1216" w:rsidP="00BC121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Average score</w:t>
            </w:r>
          </w:p>
        </w:tc>
        <w:tc>
          <w:tcPr>
            <w:tcW w:w="980" w:type="dxa"/>
            <w:noWrap/>
          </w:tcPr>
          <w:p w:rsidR="00BC1216" w:rsidRPr="00A21E87" w:rsidRDefault="00BC1216" w:rsidP="00BC121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O</w:t>
            </w: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utlier </w:t>
            </w:r>
          </w:p>
        </w:tc>
        <w:tc>
          <w:tcPr>
            <w:tcW w:w="1399" w:type="dxa"/>
            <w:noWrap/>
          </w:tcPr>
          <w:p w:rsidR="00BC1216" w:rsidRPr="00A21E87" w:rsidRDefault="00BC1216" w:rsidP="00BC1216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21E87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Pr="00A21E87" w:rsidRDefault="00BC1216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COR and LOE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874" w:type="dxa"/>
            <w:noWrap/>
          </w:tcPr>
          <w:p w:rsidR="00BC1216" w:rsidRPr="003B72F2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75845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 early pro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7.62</w:t>
            </w:r>
          </w:p>
        </w:tc>
        <w:tc>
          <w:tcPr>
            <w:tcW w:w="980" w:type="dxa"/>
            <w:noWrap/>
          </w:tcPr>
          <w:p w:rsidR="00BC1216" w:rsidRPr="00A21E87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874" w:type="dxa"/>
            <w:noWrap/>
          </w:tcPr>
          <w:p w:rsidR="00BC1216" w:rsidRPr="00675845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7.77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I-A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Nivolumab  is the preferred therapy in clinical practice in cases of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3.69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Nivolumab is the preferred therapy in clinical practice in cases of choice in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4.69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 is the preferred therapy in clinical practice in cases of in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7.46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late progression   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7.46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4.38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42DB6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late progression   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4874" w:type="dxa"/>
            <w:noWrap/>
          </w:tcPr>
          <w:p w:rsidR="00BC1216" w:rsidRPr="00A42DB6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4083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Re-challenge with a </w:t>
            </w:r>
            <w:proofErr w:type="spellStart"/>
            <w:r w:rsidRPr="00940832">
              <w:rPr>
                <w:rFonts w:ascii="Calibri" w:eastAsia="Times New Roman" w:hAnsi="Calibri" w:cs="Calibri"/>
                <w:color w:val="000000"/>
                <w:lang w:eastAsia="en-IN"/>
              </w:rPr>
              <w:t>pemrolizumab</w:t>
            </w:r>
            <w:proofErr w:type="spellEnd"/>
            <w:r w:rsidRPr="0094083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based combination (IO+TKI) is preferred in clinical practice (after &gt; 12 months of discontinuation) when the patient has obtained a reasonable clinical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response with the first therapy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373" w:type="dxa"/>
            <w:gridSpan w:val="4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Patients who have taken lenvatini</w:t>
            </w:r>
            <w:r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b +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pemrolizumab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 in first line </w:t>
            </w:r>
          </w:p>
        </w:tc>
        <w:tc>
          <w:tcPr>
            <w:tcW w:w="1124" w:type="dxa"/>
          </w:tcPr>
          <w:p w:rsidR="00BC1216" w:rsidRPr="00105CCB" w:rsidRDefault="00BC1216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C70B49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874" w:type="dxa"/>
            <w:noWrap/>
          </w:tcPr>
          <w:p w:rsidR="00BC1216" w:rsidRPr="003B72F2" w:rsidRDefault="00BC1216" w:rsidP="00C70B49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Cabozantinib is the preferred therapy in clinical practice in cases of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early progression (≤ 12 months)</w:t>
            </w:r>
          </w:p>
        </w:tc>
        <w:tc>
          <w:tcPr>
            <w:tcW w:w="1120" w:type="dxa"/>
          </w:tcPr>
          <w:p w:rsidR="00BC1216" w:rsidRDefault="00BC1216" w:rsidP="00C70B49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7.85</w:t>
            </w:r>
          </w:p>
        </w:tc>
        <w:tc>
          <w:tcPr>
            <w:tcW w:w="980" w:type="dxa"/>
            <w:noWrap/>
          </w:tcPr>
          <w:p w:rsidR="00BC1216" w:rsidRDefault="00BC1216" w:rsidP="00C70B49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C70B49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7.31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Nivolumab  is the preferred  therapy in clinical practice in cases of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3.38</w:t>
            </w:r>
          </w:p>
        </w:tc>
        <w:tc>
          <w:tcPr>
            <w:tcW w:w="980" w:type="dxa"/>
            <w:noWrap/>
          </w:tcPr>
          <w:p w:rsidR="00BC1216" w:rsidRDefault="00BC1216" w:rsidP="00F94E5A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Nivolumab is the preferred therapy in clinical practice in cases of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4.62</w:t>
            </w:r>
          </w:p>
        </w:tc>
        <w:tc>
          <w:tcPr>
            <w:tcW w:w="980" w:type="dxa"/>
            <w:noWrap/>
          </w:tcPr>
          <w:p w:rsidR="00BC1216" w:rsidRDefault="00BC1216" w:rsidP="00DC38F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Axitinib is the preferred therapy in clinical practice in cases of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5.15</w:t>
            </w:r>
          </w:p>
        </w:tc>
        <w:tc>
          <w:tcPr>
            <w:tcW w:w="980" w:type="dxa"/>
            <w:noWrap/>
          </w:tcPr>
          <w:p w:rsidR="00BC1216" w:rsidRDefault="00BC1216" w:rsidP="008226DC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arly progression (≤ 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4.00</w:t>
            </w:r>
          </w:p>
        </w:tc>
        <w:tc>
          <w:tcPr>
            <w:tcW w:w="980" w:type="dxa"/>
            <w:noWrap/>
          </w:tcPr>
          <w:p w:rsidR="00BC1216" w:rsidRDefault="00BC1216" w:rsidP="008A7AD5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in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5.08</w:t>
            </w:r>
          </w:p>
        </w:tc>
        <w:tc>
          <w:tcPr>
            <w:tcW w:w="980" w:type="dxa"/>
            <w:noWrap/>
          </w:tcPr>
          <w:p w:rsidR="00BC1216" w:rsidRDefault="00BC1216" w:rsidP="00676A79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Re-challenge with a </w:t>
            </w:r>
            <w:proofErr w:type="spellStart"/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pemrolizumab</w:t>
            </w:r>
            <w:proofErr w:type="spellEnd"/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based combination (IO+TKI) is preferred in clinical practice (after &gt; 12 months of discontinuation) when the patient has obtained a reasonable clinical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response with the first therapy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6.69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373" w:type="dxa"/>
            <w:gridSpan w:val="4"/>
            <w:noWrap/>
          </w:tcPr>
          <w:p w:rsidR="00BC1216" w:rsidRPr="003B72F2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Patients who have taken cabozant</w:t>
            </w:r>
            <w:r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inib + nivolumab in first line </w:t>
            </w:r>
          </w:p>
        </w:tc>
        <w:tc>
          <w:tcPr>
            <w:tcW w:w="1124" w:type="dxa"/>
          </w:tcPr>
          <w:p w:rsidR="00BC1216" w:rsidRPr="00105CCB" w:rsidRDefault="00BC1216" w:rsidP="00EC483E">
            <w:pPr>
              <w:spacing w:line="276" w:lineRule="auto"/>
              <w:ind w:right="95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7.54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7.85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Axitinib  is the preferred therapy in clinical practice in cases of early progression (≤12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874" w:type="dxa"/>
            <w:noWrap/>
          </w:tcPr>
          <w:p w:rsidR="00BC1216" w:rsidRPr="00105CCB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05CCB">
              <w:rPr>
                <w:rFonts w:ascii="Calibri" w:eastAsia="Times New Roman" w:hAnsi="Calibri" w:cs="Calibri"/>
                <w:color w:val="000000"/>
                <w:lang w:eastAsia="en-IN"/>
              </w:rPr>
              <w:t>Axitinib is the preferred therapy in clinical practice in cases of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5.77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BA05D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874" w:type="dxa"/>
            <w:noWrap/>
          </w:tcPr>
          <w:p w:rsidR="00BC1216" w:rsidRPr="00105CCB" w:rsidRDefault="00BC1216" w:rsidP="00BA05D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Re-challenge with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an IO based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combination is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preferred in clinical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practice (after &gt;12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months of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discontinuation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when the patient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had a reasonable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clinical response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with the first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therapy and the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drug was electively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stopped with no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major toxicity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7C6ADA">
              <w:rPr>
                <w:rFonts w:ascii="Calibri" w:eastAsia="Times New Roman" w:hAnsi="Calibri" w:cs="Calibri"/>
                <w:color w:val="000000"/>
                <w:lang w:eastAsia="en-IN"/>
              </w:rPr>
              <w:t>concerns</w:t>
            </w:r>
          </w:p>
        </w:tc>
        <w:tc>
          <w:tcPr>
            <w:tcW w:w="1120" w:type="dxa"/>
          </w:tcPr>
          <w:p w:rsidR="00BC1216" w:rsidRDefault="00BC1216" w:rsidP="00BA05D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7.46</w:t>
            </w:r>
          </w:p>
        </w:tc>
        <w:tc>
          <w:tcPr>
            <w:tcW w:w="980" w:type="dxa"/>
            <w:noWrap/>
          </w:tcPr>
          <w:p w:rsidR="00BC1216" w:rsidRDefault="00BC1216" w:rsidP="00BA05D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BA05D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874" w:type="dxa"/>
            <w:noWrap/>
          </w:tcPr>
          <w:p w:rsidR="00BC1216" w:rsidRPr="00412A33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12A3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Re-challenge with single agent nivolumab is preferred in clinical practice (after &gt; 12 months of discontinuation) when the patient has obtained a reasonable clinical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response with the first therapy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5.69 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373" w:type="dxa"/>
            <w:gridSpan w:val="4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7D24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 xml:space="preserve">Patients who have taken ipilimumab+ nivolumab in first line </w:t>
            </w:r>
          </w:p>
        </w:tc>
        <w:tc>
          <w:tcPr>
            <w:tcW w:w="1124" w:type="dxa"/>
          </w:tcPr>
          <w:p w:rsidR="00BC1216" w:rsidRPr="00E07D24" w:rsidRDefault="00BC1216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1</w:t>
            </w:r>
          </w:p>
        </w:tc>
        <w:tc>
          <w:tcPr>
            <w:tcW w:w="4874" w:type="dxa"/>
            <w:noWrap/>
          </w:tcPr>
          <w:p w:rsidR="00BC1216" w:rsidRPr="00E07D24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7D24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7.46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874" w:type="dxa"/>
            <w:noWrap/>
          </w:tcPr>
          <w:p w:rsidR="00BC1216" w:rsidRPr="00E07D24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7D24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7.31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874" w:type="dxa"/>
            <w:noWrap/>
          </w:tcPr>
          <w:p w:rsidR="00BC1216" w:rsidRPr="00E07D24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7D24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874" w:type="dxa"/>
            <w:noWrap/>
          </w:tcPr>
          <w:p w:rsidR="00BC1216" w:rsidRPr="00E07D24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7D24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7.38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874" w:type="dxa"/>
            <w:noWrap/>
          </w:tcPr>
          <w:p w:rsidR="00BC1216" w:rsidRPr="00E07D24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FF259F">
              <w:rPr>
                <w:rFonts w:ascii="Calibri" w:eastAsia="Times New Roman" w:hAnsi="Calibri" w:cs="Calibri"/>
                <w:color w:val="000000"/>
                <w:lang w:eastAsia="en-IN"/>
              </w:rPr>
              <w:t>Axitinib  is the preferred therapy in clinical practice in cases of early progression (≤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5.23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874" w:type="dxa"/>
            <w:noWrap/>
          </w:tcPr>
          <w:p w:rsidR="00BC1216" w:rsidRPr="00FF259F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FF259F">
              <w:rPr>
                <w:rFonts w:ascii="Calibri" w:eastAsia="Times New Roman" w:hAnsi="Calibri" w:cs="Calibri"/>
                <w:color w:val="000000"/>
                <w:lang w:eastAsia="en-IN"/>
              </w:rPr>
              <w:t>Axitinib is the preferred therapy in clinical practice in cases of late progression (&gt; 12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5.85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4874" w:type="dxa"/>
            <w:noWrap/>
          </w:tcPr>
          <w:p w:rsidR="00BC1216" w:rsidRPr="00FF259F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56E4D">
              <w:rPr>
                <w:rFonts w:ascii="Calibri" w:eastAsia="Times New Roman" w:hAnsi="Calibri" w:cs="Calibri"/>
                <w:color w:val="000000"/>
                <w:lang w:eastAsia="en-IN"/>
              </w:rPr>
              <w:t>Re-challenge with a nivolumab based combination (IO+IO or IO+TKI) is preferred in clinical practice (after &gt; 12 months of discontinuation) when the patient has obtained a reasonable clinical response with the first therapy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6.54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4874" w:type="dxa"/>
            <w:noWrap/>
          </w:tcPr>
          <w:p w:rsidR="00BC1216" w:rsidRPr="00E56E4D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56E4D">
              <w:rPr>
                <w:rFonts w:ascii="Calibri" w:eastAsia="Times New Roman" w:hAnsi="Calibri" w:cs="Calibri"/>
                <w:color w:val="000000"/>
                <w:lang w:eastAsia="en-IN"/>
              </w:rPr>
              <w:t>Re-challenge with single agent nivolumab is preferred in clinical practice (after &gt; 12 months of discontinuation) when the patient has obtained a reasonable clinical response with the first therapy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5.69 </w:t>
            </w:r>
          </w:p>
        </w:tc>
        <w:tc>
          <w:tcPr>
            <w:tcW w:w="980" w:type="dxa"/>
            <w:noWrap/>
          </w:tcPr>
          <w:p w:rsidR="00BC1216" w:rsidRDefault="00BC1216" w:rsidP="00F85E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874" w:type="dxa"/>
            <w:noWrap/>
          </w:tcPr>
          <w:p w:rsidR="00BC1216" w:rsidRPr="00E139C1" w:rsidRDefault="00BC1216" w:rsidP="00207AAE">
            <w:pPr>
              <w:spacing w:line="276" w:lineRule="auto"/>
              <w:ind w:right="95"/>
              <w:jc w:val="both"/>
              <w:rPr>
                <w:b/>
                <w:sz w:val="24"/>
                <w:szCs w:val="24"/>
              </w:rPr>
            </w:pPr>
            <w:r w:rsidRPr="00E139C1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Patients who have taken cabozantinib in first line</w:t>
            </w:r>
            <w:r w:rsidRPr="00E139C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124" w:type="dxa"/>
          </w:tcPr>
          <w:p w:rsidR="00BC1216" w:rsidRDefault="00BC1216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874" w:type="dxa"/>
            <w:noWrap/>
          </w:tcPr>
          <w:p w:rsidR="00BC1216" w:rsidRPr="00E139C1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139C1">
              <w:rPr>
                <w:rFonts w:ascii="Calibri" w:eastAsia="Times New Roman" w:hAnsi="Calibri" w:cs="Calibri"/>
                <w:color w:val="000000"/>
                <w:lang w:eastAsia="en-IN"/>
              </w:rPr>
              <w:t>Nivolumab 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7.54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874" w:type="dxa"/>
            <w:noWrap/>
          </w:tcPr>
          <w:p w:rsidR="00BC1216" w:rsidRPr="00E139C1" w:rsidRDefault="00BC1216" w:rsidP="00207AAE">
            <w:pPr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E139C1">
              <w:rPr>
                <w:rFonts w:ascii="Calibri" w:eastAsia="Times New Roman" w:hAnsi="Calibri" w:cs="Calibri"/>
                <w:color w:val="000000"/>
                <w:lang w:eastAsia="en-IN"/>
              </w:rPr>
              <w:t>Nivolumab 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7.62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372163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874" w:type="dxa"/>
            <w:noWrap/>
          </w:tcPr>
          <w:p w:rsidR="00BC1216" w:rsidRPr="00E139C1" w:rsidRDefault="00BC1216" w:rsidP="00372163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6A2D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372163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5.54</w:t>
            </w:r>
          </w:p>
        </w:tc>
        <w:tc>
          <w:tcPr>
            <w:tcW w:w="980" w:type="dxa"/>
            <w:noWrap/>
          </w:tcPr>
          <w:p w:rsidR="00BC1216" w:rsidRDefault="00BC1216" w:rsidP="00372163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399" w:type="dxa"/>
            <w:noWrap/>
          </w:tcPr>
          <w:p w:rsidR="00BC1216" w:rsidRDefault="00BC1216" w:rsidP="00372163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372163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874" w:type="dxa"/>
            <w:noWrap/>
          </w:tcPr>
          <w:p w:rsidR="00BC1216" w:rsidRPr="00E06A2D" w:rsidRDefault="00BC1216" w:rsidP="00372163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6A2D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372163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7.08</w:t>
            </w:r>
          </w:p>
        </w:tc>
        <w:tc>
          <w:tcPr>
            <w:tcW w:w="980" w:type="dxa"/>
            <w:noWrap/>
          </w:tcPr>
          <w:p w:rsidR="00BC1216" w:rsidRDefault="00BC1216" w:rsidP="00372163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372163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874" w:type="dxa"/>
            <w:noWrap/>
          </w:tcPr>
          <w:p w:rsidR="00BC1216" w:rsidRPr="00E06A2D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6A2D">
              <w:rPr>
                <w:rFonts w:ascii="Calibri" w:eastAsia="Times New Roman" w:hAnsi="Calibri" w:cs="Calibri"/>
                <w:color w:val="000000"/>
                <w:lang w:eastAsia="en-IN"/>
              </w:rPr>
              <w:t>Axitinib 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4.08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874" w:type="dxa"/>
            <w:noWrap/>
          </w:tcPr>
          <w:p w:rsidR="00BC1216" w:rsidRPr="00E06A2D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E06A2D">
              <w:rPr>
                <w:rFonts w:ascii="Calibri" w:eastAsia="Times New Roman" w:hAnsi="Calibri" w:cs="Calibri"/>
                <w:color w:val="000000"/>
                <w:lang w:eastAsia="en-IN"/>
              </w:rPr>
              <w:t>Axitinib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5.15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4874" w:type="dxa"/>
            <w:noWrap/>
          </w:tcPr>
          <w:p w:rsidR="00BC1216" w:rsidRPr="00E06A2D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345E5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6.77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4874" w:type="dxa"/>
            <w:noWrap/>
          </w:tcPr>
          <w:p w:rsidR="00BC1216" w:rsidRPr="006345E5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345E5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373" w:type="dxa"/>
            <w:gridSpan w:val="4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75E33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Patients who have taken sunitinib/pazopanib in first line</w:t>
            </w:r>
            <w:r w:rsidRPr="00175E3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:rsidR="00BC1216" w:rsidRPr="00175E33" w:rsidRDefault="00BC1216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874" w:type="dxa"/>
            <w:noWrap/>
          </w:tcPr>
          <w:p w:rsidR="00BC1216" w:rsidRPr="006345E5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02519A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6.54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874" w:type="dxa"/>
            <w:noWrap/>
          </w:tcPr>
          <w:p w:rsidR="00BC1216" w:rsidRPr="006345E5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02519A">
              <w:rPr>
                <w:rFonts w:ascii="Calibri" w:eastAsia="Times New Roman" w:hAnsi="Calibri" w:cs="Calibri"/>
                <w:color w:val="000000"/>
                <w:lang w:eastAsia="en-IN"/>
              </w:rPr>
              <w:t>Cabozantinib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874" w:type="dxa"/>
            <w:noWrap/>
          </w:tcPr>
          <w:p w:rsidR="00BC1216" w:rsidRPr="0002519A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02519A">
              <w:rPr>
                <w:rFonts w:ascii="Calibri" w:eastAsia="Times New Roman" w:hAnsi="Calibri" w:cs="Calibri"/>
                <w:color w:val="000000"/>
                <w:lang w:eastAsia="en-IN"/>
              </w:rPr>
              <w:t>Nivolumab 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7.31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874" w:type="dxa"/>
            <w:noWrap/>
          </w:tcPr>
          <w:p w:rsidR="00BC1216" w:rsidRPr="0002519A" w:rsidRDefault="00BC1216" w:rsidP="00207AAE">
            <w:pPr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02519A">
              <w:rPr>
                <w:rFonts w:ascii="Calibri" w:eastAsia="Times New Roman" w:hAnsi="Calibri" w:cs="Calibri"/>
                <w:color w:val="000000"/>
                <w:lang w:eastAsia="en-IN"/>
              </w:rPr>
              <w:t>Nivolumab 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7.62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874" w:type="dxa"/>
            <w:noWrap/>
          </w:tcPr>
          <w:p w:rsidR="00BC1216" w:rsidRPr="0002519A" w:rsidRDefault="00BC1216" w:rsidP="00207AAE">
            <w:pPr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02519A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6.69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874" w:type="dxa"/>
            <w:noWrap/>
          </w:tcPr>
          <w:p w:rsidR="00BC1216" w:rsidRPr="0002519A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575D6A">
              <w:rPr>
                <w:rFonts w:ascii="Calibri" w:eastAsia="Times New Roman" w:hAnsi="Calibri" w:cs="Calibri"/>
                <w:color w:val="000000"/>
                <w:lang w:eastAsia="en-IN"/>
              </w:rPr>
              <w:t>Lenvatinib + Everolimus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6.85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4874" w:type="dxa"/>
            <w:noWrap/>
          </w:tcPr>
          <w:p w:rsidR="00BC1216" w:rsidRPr="00575D6A" w:rsidRDefault="00BC1216" w:rsidP="00543A41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575D6A">
              <w:rPr>
                <w:rFonts w:ascii="Calibri" w:eastAsia="Times New Roman" w:hAnsi="Calibri" w:cs="Calibri"/>
                <w:color w:val="000000"/>
                <w:lang w:eastAsia="en-IN"/>
              </w:rPr>
              <w:t>Axitinib 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80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399" w:type="dxa"/>
            <w:noWrap/>
          </w:tcPr>
          <w:p w:rsidR="00BC1216" w:rsidRDefault="00BC1216" w:rsidP="00543A41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4874" w:type="dxa"/>
            <w:noWrap/>
          </w:tcPr>
          <w:p w:rsidR="00BC1216" w:rsidRPr="00575D6A" w:rsidRDefault="00BC1216" w:rsidP="00543A41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575D6A">
              <w:rPr>
                <w:rFonts w:ascii="Calibri" w:eastAsia="Times New Roman" w:hAnsi="Calibri" w:cs="Calibri"/>
                <w:color w:val="000000"/>
                <w:lang w:eastAsia="en-IN"/>
              </w:rPr>
              <w:t>Axitinib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5.77</w:t>
            </w:r>
          </w:p>
        </w:tc>
        <w:tc>
          <w:tcPr>
            <w:tcW w:w="980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399" w:type="dxa"/>
            <w:noWrap/>
          </w:tcPr>
          <w:p w:rsidR="00BC1216" w:rsidRDefault="00BC1216" w:rsidP="00543A41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4874" w:type="dxa"/>
            <w:noWrap/>
          </w:tcPr>
          <w:p w:rsidR="00BC1216" w:rsidRPr="00575D6A" w:rsidRDefault="00BC1216" w:rsidP="00543A41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5979FE">
              <w:rPr>
                <w:rFonts w:ascii="Calibri" w:eastAsia="Times New Roman" w:hAnsi="Calibri" w:cs="Calibri"/>
                <w:color w:val="000000"/>
                <w:lang w:eastAsia="en-IN"/>
              </w:rPr>
              <w:t>Axitinib is an option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5979FE">
              <w:rPr>
                <w:rFonts w:ascii="Calibri" w:eastAsia="Times New Roman" w:hAnsi="Calibri" w:cs="Calibri"/>
                <w:color w:val="000000"/>
                <w:lang w:eastAsia="en-IN"/>
              </w:rPr>
              <w:t>in clinical practice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5979FE">
              <w:rPr>
                <w:rFonts w:ascii="Calibri" w:eastAsia="Times New Roman" w:hAnsi="Calibri" w:cs="Calibri"/>
                <w:color w:val="000000"/>
                <w:lang w:eastAsia="en-IN"/>
              </w:rPr>
              <w:t>in cases of early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5979FE">
              <w:rPr>
                <w:rFonts w:ascii="Calibri" w:eastAsia="Times New Roman" w:hAnsi="Calibri" w:cs="Calibri"/>
                <w:color w:val="000000"/>
                <w:lang w:eastAsia="en-IN"/>
              </w:rPr>
              <w:t>progression (≤ 6months)</w:t>
            </w:r>
          </w:p>
        </w:tc>
        <w:tc>
          <w:tcPr>
            <w:tcW w:w="1120" w:type="dxa"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5.62</w:t>
            </w:r>
          </w:p>
        </w:tc>
        <w:tc>
          <w:tcPr>
            <w:tcW w:w="980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399" w:type="dxa"/>
            <w:noWrap/>
          </w:tcPr>
          <w:p w:rsidR="00BC1216" w:rsidRDefault="00BC1216" w:rsidP="00543A41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No consensus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III-</w:t>
            </w:r>
            <w:bookmarkStart w:id="0" w:name="_GoBack"/>
            <w:bookmarkEnd w:id="0"/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4874" w:type="dxa"/>
            <w:noWrap/>
          </w:tcPr>
          <w:p w:rsidR="00BC1216" w:rsidRPr="005979FE" w:rsidRDefault="00BC1216" w:rsidP="00543A41">
            <w:pPr>
              <w:pStyle w:val="Default"/>
            </w:pPr>
            <w:r w:rsidRPr="005979FE"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>Axitinib is an option</w:t>
            </w:r>
            <w:r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r w:rsidRPr="005979FE"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>in clinical practice</w:t>
            </w:r>
            <w:r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>in cases of late</w:t>
            </w:r>
            <w:r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>progression &gt;</w:t>
            </w:r>
            <w:r w:rsidRPr="005979FE"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 xml:space="preserve"> 6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 xml:space="preserve"> </w:t>
            </w:r>
            <w:r w:rsidRPr="005979FE">
              <w:rPr>
                <w:rFonts w:ascii="Calibri" w:eastAsia="Times New Roman" w:hAnsi="Calibri" w:cs="Calibri"/>
                <w:sz w:val="22"/>
                <w:szCs w:val="22"/>
                <w:lang w:eastAsia="en-IN"/>
              </w:rPr>
              <w:t>months)</w:t>
            </w:r>
          </w:p>
        </w:tc>
        <w:tc>
          <w:tcPr>
            <w:tcW w:w="1120" w:type="dxa"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7.23</w:t>
            </w:r>
          </w:p>
        </w:tc>
        <w:tc>
          <w:tcPr>
            <w:tcW w:w="980" w:type="dxa"/>
            <w:noWrap/>
          </w:tcPr>
          <w:p w:rsidR="00BC1216" w:rsidRDefault="00BC1216" w:rsidP="00543A41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399" w:type="dxa"/>
            <w:noWrap/>
          </w:tcPr>
          <w:p w:rsidR="00BC1216" w:rsidRDefault="00BC1216" w:rsidP="00543A41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11</w:t>
            </w:r>
          </w:p>
        </w:tc>
        <w:tc>
          <w:tcPr>
            <w:tcW w:w="4874" w:type="dxa"/>
            <w:noWrap/>
          </w:tcPr>
          <w:p w:rsidR="00BC1216" w:rsidRPr="00575D6A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575D6A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early progression (≤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7.08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  <w:tr w:rsidR="00BC1216" w:rsidRPr="00A21E87" w:rsidTr="00BC1216">
        <w:trPr>
          <w:trHeight w:val="300"/>
        </w:trPr>
        <w:tc>
          <w:tcPr>
            <w:tcW w:w="993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4874" w:type="dxa"/>
            <w:noWrap/>
          </w:tcPr>
          <w:p w:rsidR="00BC1216" w:rsidRPr="00575D6A" w:rsidRDefault="00BC1216" w:rsidP="00207AAE">
            <w:pPr>
              <w:spacing w:line="276" w:lineRule="auto"/>
              <w:ind w:right="95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575D6A">
              <w:rPr>
                <w:rFonts w:ascii="Calibri" w:eastAsia="Times New Roman" w:hAnsi="Calibri" w:cs="Calibri"/>
                <w:color w:val="000000"/>
                <w:lang w:eastAsia="en-IN"/>
              </w:rPr>
              <w:t>Ipilimumab+ nivolumab is the preferred therapy in clinical practice in cases of late progression (&gt; 6 months)</w:t>
            </w:r>
          </w:p>
        </w:tc>
        <w:tc>
          <w:tcPr>
            <w:tcW w:w="1120" w:type="dxa"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6.92</w:t>
            </w:r>
          </w:p>
        </w:tc>
        <w:tc>
          <w:tcPr>
            <w:tcW w:w="980" w:type="dxa"/>
            <w:noWrap/>
          </w:tcPr>
          <w:p w:rsidR="00BC1216" w:rsidRDefault="00BC1216" w:rsidP="00207AA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399" w:type="dxa"/>
            <w:noWrap/>
          </w:tcPr>
          <w:p w:rsidR="00BC1216" w:rsidRDefault="00BC1216" w:rsidP="00207AAE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Near consensus </w:t>
            </w:r>
          </w:p>
        </w:tc>
        <w:tc>
          <w:tcPr>
            <w:tcW w:w="1124" w:type="dxa"/>
          </w:tcPr>
          <w:p w:rsidR="00BC1216" w:rsidRDefault="000C6A81" w:rsidP="00EC483E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II-</w:t>
            </w:r>
            <w:r w:rsidR="00EF4236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</w:tr>
    </w:tbl>
    <w:p w:rsidR="005E2018" w:rsidRDefault="005E2018"/>
    <w:sectPr w:rsidR="005E2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09"/>
    <w:rsid w:val="000401E0"/>
    <w:rsid w:val="00051CAB"/>
    <w:rsid w:val="000929E0"/>
    <w:rsid w:val="000A6D1A"/>
    <w:rsid w:val="000C6A81"/>
    <w:rsid w:val="00101E9D"/>
    <w:rsid w:val="0013104F"/>
    <w:rsid w:val="001A768E"/>
    <w:rsid w:val="001D28B6"/>
    <w:rsid w:val="001F45B4"/>
    <w:rsid w:val="00231248"/>
    <w:rsid w:val="00247C05"/>
    <w:rsid w:val="00253685"/>
    <w:rsid w:val="00263BE2"/>
    <w:rsid w:val="00275D17"/>
    <w:rsid w:val="002B4781"/>
    <w:rsid w:val="003474DA"/>
    <w:rsid w:val="00372163"/>
    <w:rsid w:val="003A46B8"/>
    <w:rsid w:val="003D6F39"/>
    <w:rsid w:val="003F2E3D"/>
    <w:rsid w:val="004241A1"/>
    <w:rsid w:val="004A7138"/>
    <w:rsid w:val="004C7439"/>
    <w:rsid w:val="004E1185"/>
    <w:rsid w:val="00522614"/>
    <w:rsid w:val="00543A41"/>
    <w:rsid w:val="005546C1"/>
    <w:rsid w:val="00576609"/>
    <w:rsid w:val="005E2018"/>
    <w:rsid w:val="0065622B"/>
    <w:rsid w:val="00673C09"/>
    <w:rsid w:val="00676A79"/>
    <w:rsid w:val="00686212"/>
    <w:rsid w:val="00691B8F"/>
    <w:rsid w:val="00697E10"/>
    <w:rsid w:val="006E2FC0"/>
    <w:rsid w:val="006F767E"/>
    <w:rsid w:val="0072028D"/>
    <w:rsid w:val="007437E6"/>
    <w:rsid w:val="00747608"/>
    <w:rsid w:val="00754137"/>
    <w:rsid w:val="007866F1"/>
    <w:rsid w:val="00795D70"/>
    <w:rsid w:val="007B7C47"/>
    <w:rsid w:val="007C4165"/>
    <w:rsid w:val="007E4561"/>
    <w:rsid w:val="0081795D"/>
    <w:rsid w:val="008226DC"/>
    <w:rsid w:val="00843F95"/>
    <w:rsid w:val="00853FF9"/>
    <w:rsid w:val="008841A6"/>
    <w:rsid w:val="00885937"/>
    <w:rsid w:val="008A7AD5"/>
    <w:rsid w:val="00916956"/>
    <w:rsid w:val="009A7DA4"/>
    <w:rsid w:val="009F0B21"/>
    <w:rsid w:val="009F52F2"/>
    <w:rsid w:val="00A11EA0"/>
    <w:rsid w:val="00A129A1"/>
    <w:rsid w:val="00A24662"/>
    <w:rsid w:val="00A4733E"/>
    <w:rsid w:val="00A50E79"/>
    <w:rsid w:val="00A75E7B"/>
    <w:rsid w:val="00AD6F24"/>
    <w:rsid w:val="00BA05DE"/>
    <w:rsid w:val="00BC1216"/>
    <w:rsid w:val="00BC2DF7"/>
    <w:rsid w:val="00BD3969"/>
    <w:rsid w:val="00BE61E2"/>
    <w:rsid w:val="00C07BA0"/>
    <w:rsid w:val="00C44502"/>
    <w:rsid w:val="00C70B49"/>
    <w:rsid w:val="00CC2A74"/>
    <w:rsid w:val="00D77888"/>
    <w:rsid w:val="00D86870"/>
    <w:rsid w:val="00DC38F0"/>
    <w:rsid w:val="00DF2F05"/>
    <w:rsid w:val="00DF5D17"/>
    <w:rsid w:val="00E517F6"/>
    <w:rsid w:val="00E539D4"/>
    <w:rsid w:val="00EC483E"/>
    <w:rsid w:val="00EF0C47"/>
    <w:rsid w:val="00EF4236"/>
    <w:rsid w:val="00F1265B"/>
    <w:rsid w:val="00F30448"/>
    <w:rsid w:val="00F50C90"/>
    <w:rsid w:val="00F85EDF"/>
    <w:rsid w:val="00F94E5A"/>
    <w:rsid w:val="00F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CE0AE"/>
  <w15:chartTrackingRefBased/>
  <w15:docId w15:val="{E9D2A33A-7183-49C6-9F98-1211F9EC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E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Default">
    <w:name w:val="Default"/>
    <w:rsid w:val="00543A41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Nishtha Prakash Khatri</dc:creator>
  <cp:keywords/>
  <dc:description/>
  <cp:lastModifiedBy>Dr.Sagar Bhagat</cp:lastModifiedBy>
  <cp:revision>94</cp:revision>
  <dcterms:created xsi:type="dcterms:W3CDTF">2022-08-09T11:23:00Z</dcterms:created>
  <dcterms:modified xsi:type="dcterms:W3CDTF">2023-04-21T09:09:00Z</dcterms:modified>
</cp:coreProperties>
</file>