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F6" w:rsidRDefault="00043FF6" w:rsidP="00043FF6">
      <w:pPr>
        <w:widowControl/>
        <w:spacing w:line="480" w:lineRule="auto"/>
        <w:jc w:val="left"/>
        <w:rPr>
          <w:rStyle w:val="tlid-translation"/>
          <w:rFonts w:ascii="Arial" w:hAnsi="Arial" w:cs="Arial"/>
          <w:b/>
          <w:sz w:val="22"/>
        </w:rPr>
      </w:pPr>
      <w:r w:rsidRPr="00E956A1">
        <w:rPr>
          <w:rStyle w:val="tlid-translation"/>
          <w:rFonts w:ascii="Arial" w:hAnsi="Arial" w:cs="Arial"/>
          <w:b/>
          <w:sz w:val="22"/>
        </w:rPr>
        <w:t>Supplemental Data</w:t>
      </w:r>
    </w:p>
    <w:p w:rsidR="00043FF6" w:rsidRDefault="00043FF6" w:rsidP="00043FF6">
      <w:pPr>
        <w:widowControl/>
        <w:spacing w:line="480" w:lineRule="auto"/>
        <w:jc w:val="left"/>
        <w:rPr>
          <w:rStyle w:val="tlid-translation"/>
          <w:rFonts w:ascii="Arial" w:hAnsi="Arial" w:cs="Arial"/>
          <w:sz w:val="22"/>
        </w:rPr>
      </w:pPr>
      <w:r w:rsidRPr="00E956A1">
        <w:rPr>
          <w:rStyle w:val="tlid-translation"/>
          <w:rFonts w:ascii="Arial" w:hAnsi="Arial" w:cs="Arial"/>
          <w:sz w:val="22"/>
        </w:rPr>
        <w:t xml:space="preserve">Supplemental Data include </w:t>
      </w:r>
      <w:r>
        <w:rPr>
          <w:rStyle w:val="tlid-translation"/>
          <w:rFonts w:ascii="Arial" w:hAnsi="Arial" w:cs="Arial"/>
          <w:sz w:val="22"/>
        </w:rPr>
        <w:t>three</w:t>
      </w:r>
      <w:r w:rsidRPr="00E956A1">
        <w:rPr>
          <w:rStyle w:val="tlid-translation"/>
          <w:rFonts w:ascii="Arial" w:hAnsi="Arial" w:cs="Arial"/>
          <w:sz w:val="22"/>
        </w:rPr>
        <w:t xml:space="preserve"> figures </w:t>
      </w:r>
    </w:p>
    <w:p w:rsidR="00043FF6" w:rsidRPr="00E956A1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</w:p>
    <w:p w:rsidR="00043FF6" w:rsidRPr="00035843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  <w:r w:rsidRPr="00E56A40">
        <w:rPr>
          <w:rStyle w:val="tlid-translation"/>
          <w:rFonts w:ascii="Arial" w:hAnsi="Arial" w:cs="Arial"/>
          <w:noProof/>
          <w:sz w:val="22"/>
          <w:lang w:eastAsia="en-US"/>
        </w:rPr>
        <w:drawing>
          <wp:inline distT="0" distB="0" distL="0" distR="0" wp14:anchorId="350C2F69" wp14:editId="2F838E3C">
            <wp:extent cx="5274310" cy="6957218"/>
            <wp:effectExtent l="0" t="0" r="0" b="0"/>
            <wp:docPr id="19" name="图片 19" descr="C:\Users\ayccccc\Desktop\klc2 fig\figS2 铺片 qpcr（klc134）\新建文件夹\fig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yccccc\Desktop\klc2 fig\figS2 铺片 qpcr（klc134）\新建文件夹\figs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57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F6" w:rsidRPr="00035843" w:rsidRDefault="00043FF6" w:rsidP="00043FF6">
      <w:pPr>
        <w:spacing w:line="480" w:lineRule="auto"/>
        <w:rPr>
          <w:rFonts w:ascii="Arial" w:hAnsi="Arial" w:cs="Arial"/>
          <w:b/>
        </w:rPr>
      </w:pPr>
      <w:r w:rsidRPr="00035843">
        <w:rPr>
          <w:rFonts w:ascii="Arial" w:hAnsi="Arial" w:cs="Arial"/>
          <w:b/>
        </w:rPr>
        <w:t xml:space="preserve">Figure S1. Hearing in </w:t>
      </w:r>
      <w:r w:rsidRPr="00035843">
        <w:rPr>
          <w:rFonts w:ascii="Arial" w:hAnsi="Arial" w:cs="Arial"/>
          <w:b/>
          <w:i/>
          <w:iCs/>
        </w:rPr>
        <w:t>Klc2</w:t>
      </w:r>
      <w:r w:rsidRPr="00035843">
        <w:rPr>
          <w:rFonts w:ascii="Arial" w:hAnsi="Arial" w:cs="Arial"/>
          <w:b/>
        </w:rPr>
        <w:t xml:space="preserve">-null mice was completely lost at 8 months, and deafness </w:t>
      </w:r>
      <w:r w:rsidRPr="00035843">
        <w:rPr>
          <w:rFonts w:ascii="Arial" w:hAnsi="Arial" w:cs="Arial"/>
          <w:b/>
        </w:rPr>
        <w:lastRenderedPageBreak/>
        <w:t xml:space="preserve">was independent of </w:t>
      </w:r>
      <w:r w:rsidRPr="005D531B">
        <w:rPr>
          <w:rFonts w:ascii="Arial" w:hAnsi="Arial" w:cs="Arial"/>
          <w:b/>
          <w:i/>
        </w:rPr>
        <w:t>Klc1</w:t>
      </w:r>
      <w:r w:rsidRPr="00035843">
        <w:rPr>
          <w:rFonts w:ascii="Arial" w:hAnsi="Arial" w:cs="Arial"/>
          <w:b/>
        </w:rPr>
        <w:t xml:space="preserve">, </w:t>
      </w:r>
      <w:r w:rsidRPr="005D531B">
        <w:rPr>
          <w:rFonts w:ascii="Arial" w:hAnsi="Arial" w:cs="Arial"/>
          <w:b/>
          <w:i/>
        </w:rPr>
        <w:t>Klc3</w:t>
      </w:r>
      <w:r w:rsidRPr="00035843">
        <w:rPr>
          <w:rFonts w:ascii="Arial" w:hAnsi="Arial" w:cs="Arial"/>
          <w:b/>
        </w:rPr>
        <w:t xml:space="preserve">, and </w:t>
      </w:r>
      <w:r w:rsidRPr="005D531B">
        <w:rPr>
          <w:rFonts w:ascii="Arial" w:hAnsi="Arial" w:cs="Arial"/>
          <w:b/>
          <w:i/>
        </w:rPr>
        <w:t>Klc4</w:t>
      </w:r>
      <w:r w:rsidRPr="00035843">
        <w:rPr>
          <w:rFonts w:ascii="Arial" w:hAnsi="Arial" w:cs="Arial"/>
          <w:b/>
        </w:rPr>
        <w:t>.</w:t>
      </w:r>
    </w:p>
    <w:p w:rsidR="00043FF6" w:rsidRPr="00035843" w:rsidRDefault="00043FF6" w:rsidP="00043FF6">
      <w:pPr>
        <w:spacing w:line="480" w:lineRule="auto"/>
        <w:rPr>
          <w:rFonts w:ascii="Arial" w:hAnsi="Arial" w:cs="Arial"/>
        </w:rPr>
      </w:pPr>
      <w:r w:rsidRPr="00035843">
        <w:rPr>
          <w:rFonts w:ascii="Arial" w:hAnsi="Arial" w:cs="Arial"/>
        </w:rPr>
        <w:t>(</w:t>
      </w:r>
      <w:r w:rsidRPr="00035843">
        <w:rPr>
          <w:rFonts w:ascii="Arial" w:hAnsi="Arial" w:cs="Arial"/>
          <w:b/>
        </w:rPr>
        <w:t>A</w:t>
      </w:r>
      <w:r w:rsidRPr="00035843">
        <w:rPr>
          <w:rFonts w:ascii="Arial" w:hAnsi="Arial" w:cs="Arial"/>
        </w:rPr>
        <w:t xml:space="preserve">) ABR thresholds of WT and </w:t>
      </w:r>
      <w:r w:rsidRPr="00035843">
        <w:rPr>
          <w:rFonts w:ascii="Arial" w:hAnsi="Arial" w:cs="Arial"/>
          <w:i/>
          <w:iCs/>
        </w:rPr>
        <w:t>Klc2</w:t>
      </w:r>
      <w:r w:rsidRPr="00035843">
        <w:rPr>
          <w:rFonts w:ascii="Arial" w:hAnsi="Arial" w:cs="Arial"/>
        </w:rPr>
        <w:t>-null mice at 8 months showed that hearing was completely lost in the mutant mice, ***p &lt; 0.001, n = 4. (</w:t>
      </w:r>
      <w:r w:rsidRPr="00035843">
        <w:rPr>
          <w:rFonts w:ascii="Arial" w:hAnsi="Arial" w:cs="Arial"/>
          <w:b/>
        </w:rPr>
        <w:t xml:space="preserve">B </w:t>
      </w:r>
      <w:r w:rsidRPr="00035843">
        <w:rPr>
          <w:rFonts w:ascii="Arial" w:hAnsi="Arial" w:cs="Arial"/>
        </w:rPr>
        <w:t xml:space="preserve">and </w:t>
      </w:r>
      <w:r w:rsidRPr="00035843">
        <w:rPr>
          <w:rFonts w:ascii="Arial" w:hAnsi="Arial" w:cs="Arial"/>
          <w:b/>
        </w:rPr>
        <w:t>C</w:t>
      </w:r>
      <w:r w:rsidRPr="00035843">
        <w:rPr>
          <w:rFonts w:ascii="Arial" w:hAnsi="Arial" w:cs="Arial"/>
        </w:rPr>
        <w:t>) Representative confocal images and histogram of OHC loss at 8 months, n = 4. Scale bar: 100 μm. (</w:t>
      </w:r>
      <w:r w:rsidRPr="00035843">
        <w:rPr>
          <w:rFonts w:ascii="Arial" w:hAnsi="Arial" w:cs="Arial"/>
          <w:b/>
        </w:rPr>
        <w:t>D</w:t>
      </w:r>
      <w:r w:rsidRPr="00035843">
        <w:rPr>
          <w:rFonts w:ascii="Arial" w:hAnsi="Arial" w:cs="Arial"/>
        </w:rPr>
        <w:t xml:space="preserve">) Q-PCR analysis of KLCs in </w:t>
      </w:r>
      <w:r w:rsidRPr="00035843">
        <w:rPr>
          <w:rFonts w:ascii="Arial" w:hAnsi="Arial" w:cs="Arial"/>
          <w:i/>
          <w:iCs/>
        </w:rPr>
        <w:t>Klc2</w:t>
      </w:r>
      <w:r w:rsidRPr="00035843">
        <w:rPr>
          <w:rFonts w:ascii="Arial" w:hAnsi="Arial" w:cs="Arial"/>
        </w:rPr>
        <w:t>-null mice at P30, n.s. = not significant, n = 3.</w:t>
      </w:r>
    </w:p>
    <w:p w:rsidR="00043FF6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</w:p>
    <w:p w:rsidR="00043FF6" w:rsidRPr="00035843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</w:p>
    <w:p w:rsidR="00043FF6" w:rsidRPr="00035843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  <w:r w:rsidRPr="00E56A40">
        <w:rPr>
          <w:rStyle w:val="tlid-translation"/>
          <w:rFonts w:ascii="Arial" w:hAnsi="Arial" w:cs="Arial"/>
          <w:noProof/>
          <w:sz w:val="22"/>
          <w:lang w:eastAsia="en-US"/>
        </w:rPr>
        <w:drawing>
          <wp:inline distT="0" distB="0" distL="0" distR="0" wp14:anchorId="64F46B63" wp14:editId="0FC89BC5">
            <wp:extent cx="5274310" cy="4925476"/>
            <wp:effectExtent l="0" t="0" r="0" b="0"/>
            <wp:docPr id="20" name="图片 20" descr="C:\Users\ayccccc\Desktop\klc2 fig\figs2  coip spectrin\新建文件夹\figspectri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yccccc\Desktop\klc2 fig\figs2  coip spectrin\新建文件夹\figspectri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2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F6" w:rsidRPr="00035843" w:rsidRDefault="00043FF6" w:rsidP="00043FF6">
      <w:pPr>
        <w:spacing w:line="480" w:lineRule="auto"/>
        <w:rPr>
          <w:rFonts w:ascii="Arial" w:hAnsi="Arial" w:cs="Arial"/>
          <w:b/>
        </w:rPr>
      </w:pPr>
      <w:r w:rsidRPr="00035843">
        <w:rPr>
          <w:rFonts w:ascii="Arial" w:hAnsi="Arial" w:cs="Arial"/>
          <w:b/>
        </w:rPr>
        <w:t>Figure S2. Klc2 interacts</w:t>
      </w:r>
      <w:r>
        <w:rPr>
          <w:rFonts w:ascii="Arial" w:hAnsi="Arial" w:cs="Arial"/>
          <w:b/>
        </w:rPr>
        <w:t xml:space="preserve"> with cuticular plate</w:t>
      </w:r>
      <w:r w:rsidRPr="00035843">
        <w:rPr>
          <w:rFonts w:ascii="Arial" w:hAnsi="Arial" w:cs="Arial"/>
          <w:b/>
        </w:rPr>
        <w:t xml:space="preserve">-related proteins </w:t>
      </w:r>
    </w:p>
    <w:p w:rsidR="00043FF6" w:rsidRPr="00035843" w:rsidRDefault="00043FF6" w:rsidP="00043FF6">
      <w:pPr>
        <w:spacing w:line="480" w:lineRule="auto"/>
        <w:rPr>
          <w:rFonts w:ascii="Arial" w:hAnsi="Arial" w:cs="Arial"/>
        </w:rPr>
      </w:pPr>
      <w:r w:rsidRPr="00035843">
        <w:rPr>
          <w:rFonts w:ascii="Arial" w:hAnsi="Arial" w:cs="Arial"/>
        </w:rPr>
        <w:t>(</w:t>
      </w:r>
      <w:r w:rsidRPr="00035843">
        <w:rPr>
          <w:rFonts w:ascii="Arial" w:hAnsi="Arial" w:cs="Arial"/>
          <w:b/>
        </w:rPr>
        <w:t>A</w:t>
      </w:r>
      <w:r w:rsidRPr="00035843">
        <w:rPr>
          <w:rFonts w:ascii="Arial" w:hAnsi="Arial" w:cs="Arial"/>
        </w:rPr>
        <w:t>) Schematic of the CoIP-MS results showing the number of proteins pulled down by the two different antibodies. (</w:t>
      </w:r>
      <w:r w:rsidRPr="00035843">
        <w:rPr>
          <w:rFonts w:ascii="Arial" w:hAnsi="Arial" w:cs="Arial"/>
          <w:b/>
        </w:rPr>
        <w:t>B</w:t>
      </w:r>
      <w:r w:rsidRPr="00035843">
        <w:rPr>
          <w:rFonts w:ascii="Arial" w:hAnsi="Arial" w:cs="Arial"/>
        </w:rPr>
        <w:t xml:space="preserve">) Klc2 interacts with Myh14 at endogenous levels. Co-IP was </w:t>
      </w:r>
      <w:r w:rsidRPr="00035843">
        <w:rPr>
          <w:rFonts w:ascii="Arial" w:hAnsi="Arial" w:cs="Arial"/>
        </w:rPr>
        <w:lastRenderedPageBreak/>
        <w:t xml:space="preserve">performed with WT and </w:t>
      </w:r>
      <w:r w:rsidRPr="005D531B">
        <w:rPr>
          <w:rFonts w:ascii="Arial" w:hAnsi="Arial" w:cs="Arial"/>
          <w:i/>
          <w:iCs/>
        </w:rPr>
        <w:t>Klc2</w:t>
      </w:r>
      <w:r w:rsidRPr="00035843">
        <w:rPr>
          <w:rFonts w:ascii="Arial" w:hAnsi="Arial" w:cs="Arial"/>
        </w:rPr>
        <w:t>-null mice, followed by immunoprecipitation using anti-Klc2 or IgG antibody and immunoblotting with anti-Myh14 antibody. (</w:t>
      </w:r>
      <w:r w:rsidRPr="00035843">
        <w:rPr>
          <w:rFonts w:ascii="Arial" w:hAnsi="Arial" w:cs="Arial"/>
          <w:b/>
        </w:rPr>
        <w:t>C</w:t>
      </w:r>
      <w:r w:rsidRPr="00035843">
        <w:rPr>
          <w:rFonts w:ascii="Arial" w:hAnsi="Arial" w:cs="Arial"/>
        </w:rPr>
        <w:t xml:space="preserve">) The apical turn of the basilar membrane of WT and </w:t>
      </w:r>
      <w:r w:rsidRPr="005D531B">
        <w:rPr>
          <w:rFonts w:ascii="Arial" w:hAnsi="Arial" w:cs="Arial"/>
          <w:i/>
          <w:iCs/>
        </w:rPr>
        <w:t>Klc2</w:t>
      </w:r>
      <w:r w:rsidRPr="00035843">
        <w:rPr>
          <w:rFonts w:ascii="Arial" w:hAnsi="Arial" w:cs="Arial"/>
        </w:rPr>
        <w:t xml:space="preserve">-null mice was labeled with spectrin (green) and phalloidin (red), and the results showed the normal cuticular plate structure of </w:t>
      </w:r>
      <w:r w:rsidRPr="005D531B">
        <w:rPr>
          <w:rFonts w:ascii="Arial" w:hAnsi="Arial" w:cs="Arial"/>
          <w:i/>
          <w:iCs/>
        </w:rPr>
        <w:t>Klc2</w:t>
      </w:r>
      <w:r w:rsidRPr="00035843">
        <w:rPr>
          <w:rFonts w:ascii="Arial" w:hAnsi="Arial" w:cs="Arial"/>
        </w:rPr>
        <w:t>-null mice, n = 3. Scale bar: 10 μm.</w:t>
      </w:r>
    </w:p>
    <w:p w:rsidR="00043FF6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  <w:r w:rsidRPr="00035843">
        <w:rPr>
          <w:rStyle w:val="tlid-translation"/>
          <w:rFonts w:ascii="Arial" w:hAnsi="Arial" w:cs="Arial"/>
          <w:sz w:val="22"/>
        </w:rPr>
        <w:t xml:space="preserve"> </w:t>
      </w:r>
    </w:p>
    <w:p w:rsidR="00043FF6" w:rsidRPr="00035843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</w:p>
    <w:p w:rsidR="00043FF6" w:rsidRPr="00035843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  <w:r w:rsidRPr="00E56A40">
        <w:rPr>
          <w:rStyle w:val="tlid-translation"/>
          <w:rFonts w:ascii="Arial" w:hAnsi="Arial" w:cs="Arial"/>
          <w:noProof/>
          <w:sz w:val="22"/>
          <w:lang w:eastAsia="en-US"/>
        </w:rPr>
        <w:drawing>
          <wp:inline distT="0" distB="0" distL="0" distR="0" wp14:anchorId="1E0C9023" wp14:editId="630251B3">
            <wp:extent cx="5274310" cy="3236668"/>
            <wp:effectExtent l="0" t="0" r="0" b="0"/>
            <wp:docPr id="21" name="图片 21" descr="C:\Users\ayccccc\Desktop\klc2 fig\TEM后期阴性\fig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yccccc\Desktop\klc2 fig\TEM后期阴性\fig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3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FF6" w:rsidRPr="00035843" w:rsidRDefault="00043FF6" w:rsidP="00043FF6">
      <w:pPr>
        <w:spacing w:line="480" w:lineRule="auto"/>
        <w:rPr>
          <w:rFonts w:ascii="Arial" w:hAnsi="Arial" w:cs="Arial"/>
          <w:b/>
        </w:rPr>
      </w:pPr>
      <w:r w:rsidRPr="00035843">
        <w:rPr>
          <w:rFonts w:ascii="Arial" w:hAnsi="Arial" w:cs="Arial"/>
          <w:b/>
        </w:rPr>
        <w:t>Figure S3. Abnormal mitochondria distribution did not affect the expression pattern of prestin and was not associated with apoptosis, autophagy, or</w:t>
      </w:r>
      <w:r w:rsidRPr="00035843">
        <w:rPr>
          <w:rFonts w:ascii="Arial" w:hAnsi="Arial" w:cs="Arial"/>
        </w:rPr>
        <w:t xml:space="preserve"> </w:t>
      </w:r>
      <w:r w:rsidRPr="00035843">
        <w:rPr>
          <w:rFonts w:ascii="Arial" w:hAnsi="Arial" w:cs="Arial"/>
          <w:b/>
        </w:rPr>
        <w:t>excessive ROS production.</w:t>
      </w:r>
    </w:p>
    <w:p w:rsidR="00043FF6" w:rsidRPr="00035843" w:rsidRDefault="00043FF6" w:rsidP="00043FF6">
      <w:pPr>
        <w:spacing w:line="480" w:lineRule="auto"/>
        <w:rPr>
          <w:rFonts w:ascii="Arial" w:hAnsi="Arial" w:cs="Arial"/>
        </w:rPr>
      </w:pPr>
      <w:r w:rsidRPr="00035843">
        <w:rPr>
          <w:rFonts w:ascii="Arial" w:hAnsi="Arial" w:cs="Arial"/>
        </w:rPr>
        <w:t xml:space="preserve">Representative confocal images of WT and </w:t>
      </w:r>
      <w:r w:rsidRPr="00035843">
        <w:rPr>
          <w:rFonts w:ascii="Arial" w:hAnsi="Arial" w:cs="Arial"/>
          <w:i/>
          <w:iCs/>
        </w:rPr>
        <w:t>Klc2</w:t>
      </w:r>
      <w:r>
        <w:rPr>
          <w:rFonts w:ascii="Arial" w:hAnsi="Arial" w:cs="Arial"/>
        </w:rPr>
        <w:t>-null mice at P40</w:t>
      </w:r>
      <w:r w:rsidRPr="00035843">
        <w:rPr>
          <w:rFonts w:ascii="Arial" w:hAnsi="Arial" w:cs="Arial"/>
        </w:rPr>
        <w:t>. (</w:t>
      </w:r>
      <w:r w:rsidRPr="00035843">
        <w:rPr>
          <w:rFonts w:ascii="Arial" w:hAnsi="Arial" w:cs="Arial"/>
          <w:b/>
        </w:rPr>
        <w:t>A</w:t>
      </w:r>
      <w:r w:rsidRPr="00035843">
        <w:rPr>
          <w:rFonts w:ascii="Arial" w:hAnsi="Arial" w:cs="Arial"/>
        </w:rPr>
        <w:t xml:space="preserve">) The apoptosis marker caspase-3 and the autophagy marker Lc3b were not detected in </w:t>
      </w:r>
      <w:r w:rsidRPr="00035843">
        <w:rPr>
          <w:rFonts w:ascii="Arial" w:hAnsi="Arial" w:cs="Arial"/>
          <w:i/>
          <w:iCs/>
        </w:rPr>
        <w:t>Klc2</w:t>
      </w:r>
      <w:r w:rsidRPr="00035843">
        <w:rPr>
          <w:rFonts w:ascii="Arial" w:hAnsi="Arial" w:cs="Arial"/>
        </w:rPr>
        <w:t>-null mice, n = 3. (</w:t>
      </w:r>
      <w:r w:rsidRPr="00035843">
        <w:rPr>
          <w:rFonts w:ascii="Arial" w:hAnsi="Arial" w:cs="Arial"/>
          <w:b/>
        </w:rPr>
        <w:t>B</w:t>
      </w:r>
      <w:r w:rsidRPr="00035843">
        <w:rPr>
          <w:rFonts w:ascii="Arial" w:hAnsi="Arial" w:cs="Arial"/>
        </w:rPr>
        <w:t>) Normal prestin expression was seen in mutant mice, n = 3. (</w:t>
      </w:r>
      <w:r w:rsidRPr="00035843">
        <w:rPr>
          <w:rFonts w:ascii="Arial" w:hAnsi="Arial" w:cs="Arial"/>
          <w:b/>
        </w:rPr>
        <w:t>C</w:t>
      </w:r>
      <w:r w:rsidRPr="00035843">
        <w:rPr>
          <w:rFonts w:ascii="Arial" w:hAnsi="Arial" w:cs="Arial"/>
        </w:rPr>
        <w:t>) No positive immunofluorescence signal for two ROS markers 3-nitrotyrosine (3-NT) and 4-</w:t>
      </w:r>
      <w:r w:rsidRPr="00035843">
        <w:rPr>
          <w:rFonts w:ascii="Arial" w:hAnsi="Arial" w:cs="Arial"/>
        </w:rPr>
        <w:lastRenderedPageBreak/>
        <w:t>hydroxynonenal (4-HNE)</w:t>
      </w:r>
      <w:r w:rsidRPr="00035843" w:rsidDel="00230038">
        <w:rPr>
          <w:rFonts w:ascii="Arial" w:hAnsi="Arial" w:cs="Arial"/>
        </w:rPr>
        <w:t xml:space="preserve"> </w:t>
      </w:r>
      <w:r w:rsidRPr="00035843">
        <w:rPr>
          <w:rFonts w:ascii="Arial" w:hAnsi="Arial" w:cs="Arial"/>
        </w:rPr>
        <w:t>was seen in paraffin sections, n = 3. Scale bar: 20 μm.</w:t>
      </w:r>
    </w:p>
    <w:p w:rsidR="00043FF6" w:rsidRPr="00035843" w:rsidRDefault="00043FF6" w:rsidP="00043FF6">
      <w:pPr>
        <w:spacing w:line="480" w:lineRule="auto"/>
        <w:rPr>
          <w:rStyle w:val="tlid-translation"/>
          <w:rFonts w:ascii="Arial" w:hAnsi="Arial" w:cs="Arial"/>
          <w:sz w:val="22"/>
        </w:rPr>
      </w:pPr>
    </w:p>
    <w:p w:rsidR="00F4526F" w:rsidRDefault="00F4526F">
      <w:bookmarkStart w:id="0" w:name="_GoBack"/>
      <w:bookmarkEnd w:id="0"/>
    </w:p>
    <w:sectPr w:rsidR="00F4526F" w:rsidSect="00096EE9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FF6"/>
    <w:rsid w:val="00043FF6"/>
    <w:rsid w:val="003A0A23"/>
    <w:rsid w:val="00F4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72FC8-0D1C-4D7D-B6AB-54A180B0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F6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lid-translation">
    <w:name w:val="tlid-translation"/>
    <w:basedOn w:val="DefaultParagraphFont"/>
    <w:qFormat/>
    <w:rsid w:val="00043FF6"/>
  </w:style>
  <w:style w:type="character" w:styleId="LineNumber">
    <w:name w:val="line number"/>
    <w:basedOn w:val="DefaultParagraphFont"/>
    <w:uiPriority w:val="99"/>
    <w:semiHidden/>
    <w:unhideWhenUsed/>
    <w:rsid w:val="00043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256</Words>
  <Characters>1463</Characters>
  <Application>Microsoft Office Word</Application>
  <DocSecurity>0</DocSecurity>
  <Lines>12</Lines>
  <Paragraphs>3</Paragraphs>
  <ScaleCrop>false</ScaleCrop>
  <Company>Springer Nature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2021-03-10T09:34:00Z</dcterms:created>
  <dcterms:modified xsi:type="dcterms:W3CDTF">2021-03-10T09:34:00Z</dcterms:modified>
</cp:coreProperties>
</file>