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635C2" w14:textId="20D40CE7" w:rsidR="00BB2E25" w:rsidRPr="00BB2E25" w:rsidRDefault="00BB2E25" w:rsidP="00BB2E25">
      <w:pPr>
        <w:spacing w:after="0" w:line="360" w:lineRule="auto"/>
        <w:rPr>
          <w:b/>
          <w:lang w:val="en-GB"/>
        </w:rPr>
      </w:pPr>
      <w:r w:rsidRPr="00BB2E25">
        <w:rPr>
          <w:b/>
          <w:lang w:val="en-GB"/>
        </w:rPr>
        <w:t xml:space="preserve">Supplementary </w:t>
      </w:r>
      <w:r>
        <w:rPr>
          <w:b/>
          <w:lang w:val="en-GB"/>
        </w:rPr>
        <w:t>Methods</w:t>
      </w:r>
    </w:p>
    <w:p w14:paraId="59195314" w14:textId="12008B85" w:rsidR="00BB2E25" w:rsidRPr="00BB2E25" w:rsidRDefault="00BB2E25" w:rsidP="00BB2E25">
      <w:pPr>
        <w:spacing w:after="0" w:line="360" w:lineRule="auto"/>
        <w:rPr>
          <w:bCs/>
          <w:lang w:val="en-GB"/>
        </w:rPr>
      </w:pPr>
      <w:r w:rsidRPr="00BB2E25">
        <w:rPr>
          <w:bCs/>
          <w:lang w:val="en-GB"/>
        </w:rPr>
        <w:t xml:space="preserve">The detailed version of the </w:t>
      </w:r>
      <w:r w:rsidRPr="00BB2E25">
        <w:rPr>
          <w:bCs/>
          <w:lang w:val="en-GB"/>
        </w:rPr>
        <w:t>methods</w:t>
      </w:r>
      <w:r w:rsidRPr="00BB2E25">
        <w:rPr>
          <w:bCs/>
          <w:lang w:val="en-GB"/>
        </w:rPr>
        <w:t xml:space="preserve"> of the Article “The SNP rs460089 in the gene promoter of the drug transporter OCTN1 has prognostic value on treatment-free remission in chronic myeloid </w:t>
      </w:r>
      <w:proofErr w:type="spellStart"/>
      <w:r w:rsidRPr="00BB2E25">
        <w:rPr>
          <w:bCs/>
          <w:lang w:val="en-GB"/>
        </w:rPr>
        <w:t>leukemia</w:t>
      </w:r>
      <w:proofErr w:type="spellEnd"/>
      <w:r w:rsidRPr="00BB2E25">
        <w:rPr>
          <w:bCs/>
          <w:lang w:val="en-GB"/>
        </w:rPr>
        <w:t xml:space="preserve"> patients treated with imatinib” by Machova Polakova et al.</w:t>
      </w:r>
    </w:p>
    <w:p w14:paraId="6B1DD235" w14:textId="77777777" w:rsidR="00BB2E25" w:rsidRPr="00BB2E25" w:rsidRDefault="00BB2E25" w:rsidP="00B61F67">
      <w:pPr>
        <w:spacing w:after="0" w:line="480" w:lineRule="auto"/>
        <w:rPr>
          <w:rFonts w:cstheme="minorHAnsi"/>
          <w:b/>
          <w:lang w:val="en-GB"/>
        </w:rPr>
      </w:pPr>
    </w:p>
    <w:p w14:paraId="525AB877" w14:textId="678EC4B9" w:rsidR="00B61F67" w:rsidRPr="00BB2E25" w:rsidRDefault="00B61F67" w:rsidP="00B61F67">
      <w:pPr>
        <w:spacing w:after="0" w:line="480" w:lineRule="auto"/>
        <w:rPr>
          <w:rFonts w:cstheme="minorHAnsi"/>
          <w:b/>
          <w:lang w:val="en-GB"/>
        </w:rPr>
      </w:pPr>
      <w:r w:rsidRPr="00BB2E25">
        <w:rPr>
          <w:rFonts w:cstheme="minorHAnsi"/>
          <w:b/>
          <w:lang w:val="en-GB"/>
        </w:rPr>
        <w:t>Sequencing analysis</w:t>
      </w:r>
    </w:p>
    <w:p w14:paraId="7D6399F3" w14:textId="0C08114F" w:rsidR="00B61F67" w:rsidRPr="00BB2E25" w:rsidRDefault="00BB2E25" w:rsidP="00B61F67">
      <w:pPr>
        <w:spacing w:after="0" w:line="480" w:lineRule="auto"/>
        <w:rPr>
          <w:rFonts w:cstheme="minorHAnsi"/>
          <w:lang w:val="en-GB"/>
        </w:rPr>
      </w:pPr>
      <w:r w:rsidRPr="00BB2E25">
        <w:rPr>
          <w:rFonts w:cstheme="minorHAnsi"/>
          <w:lang w:val="en-GB"/>
        </w:rPr>
        <w:t>P</w:t>
      </w:r>
      <w:r w:rsidR="00B61F67" w:rsidRPr="00BB2E25">
        <w:rPr>
          <w:rFonts w:cstheme="minorHAnsi"/>
          <w:lang w:val="en-GB"/>
        </w:rPr>
        <w:t>rimers with sequences forward:</w:t>
      </w:r>
      <w:r w:rsidR="00B61F67" w:rsidRPr="00BB2E25">
        <w:rPr>
          <w:lang w:val="en-GB"/>
        </w:rPr>
        <w:t xml:space="preserve"> </w:t>
      </w:r>
      <w:r w:rsidR="00B61F67" w:rsidRPr="00BB2E25">
        <w:rPr>
          <w:rFonts w:cstheme="minorHAnsi"/>
          <w:lang w:val="en-GB"/>
        </w:rPr>
        <w:t xml:space="preserve">5´CAGTGCCTCCATGACTGTG3´ and reverse: 5´GCTGAGCAGGAAGAAGATGAG3´ were used to amplify the sequence containing rs460089 locus. Sequencing PCR was prepared using the FastStart™ High Fidelity PCR System (Roche Applied Science, </w:t>
      </w:r>
      <w:proofErr w:type="spellStart"/>
      <w:r w:rsidR="00B61F67" w:rsidRPr="00BB2E25">
        <w:rPr>
          <w:rFonts w:cstheme="minorHAnsi"/>
          <w:lang w:val="en-GB"/>
        </w:rPr>
        <w:t>Penzberg</w:t>
      </w:r>
      <w:proofErr w:type="spellEnd"/>
      <w:r w:rsidR="00B61F67" w:rsidRPr="00BB2E25">
        <w:rPr>
          <w:rFonts w:cstheme="minorHAnsi"/>
          <w:lang w:val="en-GB"/>
        </w:rPr>
        <w:t xml:space="preserve">, Germany), PCR conditions : 95°C for 1min, 35 cycles of 95°C for 30s, of 62.2°C for 30s and 72°C for 1.0 min and 13s, finally 5 min hold at 72°C. Purification of amplicons was performed using the </w:t>
      </w:r>
      <w:proofErr w:type="spellStart"/>
      <w:r w:rsidR="00B61F67" w:rsidRPr="00BB2E25">
        <w:rPr>
          <w:rFonts w:cstheme="minorHAnsi"/>
          <w:lang w:val="en-GB"/>
        </w:rPr>
        <w:t>QIAquick</w:t>
      </w:r>
      <w:proofErr w:type="spellEnd"/>
      <w:r w:rsidR="00B61F67" w:rsidRPr="00BB2E25">
        <w:rPr>
          <w:rFonts w:cstheme="minorHAnsi"/>
          <w:lang w:val="en-GB"/>
        </w:rPr>
        <w:t xml:space="preserve"> PCR Purification Kit (Qiagen, Hilden, Germany), sequencing was using the </w:t>
      </w:r>
      <w:proofErr w:type="spellStart"/>
      <w:r w:rsidR="00B61F67" w:rsidRPr="00BB2E25">
        <w:rPr>
          <w:rFonts w:cstheme="minorHAnsi"/>
          <w:lang w:val="en-GB"/>
        </w:rPr>
        <w:t>BigDye</w:t>
      </w:r>
      <w:proofErr w:type="spellEnd"/>
      <w:r w:rsidR="00B61F67" w:rsidRPr="00BB2E25">
        <w:rPr>
          <w:rFonts w:cstheme="minorHAnsi"/>
          <w:lang w:val="en-GB"/>
        </w:rPr>
        <w:t>® Terminator v3.1 Cycle Sequencing Kit (</w:t>
      </w:r>
      <w:proofErr w:type="spellStart"/>
      <w:r w:rsidR="00B61F67" w:rsidRPr="00BB2E25">
        <w:rPr>
          <w:rFonts w:cstheme="minorHAnsi"/>
          <w:lang w:val="en-GB"/>
        </w:rPr>
        <w:t>Thermo</w:t>
      </w:r>
      <w:proofErr w:type="spellEnd"/>
      <w:r w:rsidR="00B61F67" w:rsidRPr="00BB2E25">
        <w:rPr>
          <w:rFonts w:cstheme="minorHAnsi"/>
          <w:lang w:val="en-GB"/>
        </w:rPr>
        <w:t xml:space="preserve"> Fisher Scientific)  (1.5 </w:t>
      </w:r>
      <w:proofErr w:type="spellStart"/>
      <w:r w:rsidR="00B61F67" w:rsidRPr="00BB2E25">
        <w:rPr>
          <w:rFonts w:cstheme="minorHAnsi"/>
          <w:lang w:val="en-GB"/>
        </w:rPr>
        <w:t>μl</w:t>
      </w:r>
      <w:proofErr w:type="spellEnd"/>
      <w:r w:rsidR="00B61F67" w:rsidRPr="00BB2E25">
        <w:rPr>
          <w:rFonts w:cstheme="minorHAnsi"/>
          <w:lang w:val="en-GB"/>
        </w:rPr>
        <w:t xml:space="preserve"> of purified PCR product + mixture containing 1 </w:t>
      </w:r>
      <w:proofErr w:type="spellStart"/>
      <w:r w:rsidR="00B61F67" w:rsidRPr="00BB2E25">
        <w:rPr>
          <w:rFonts w:cstheme="minorHAnsi"/>
          <w:lang w:val="en-GB"/>
        </w:rPr>
        <w:t>μl</w:t>
      </w:r>
      <w:proofErr w:type="spellEnd"/>
      <w:r w:rsidR="00B61F67" w:rsidRPr="00BB2E25">
        <w:rPr>
          <w:rFonts w:cstheme="minorHAnsi"/>
          <w:lang w:val="en-GB"/>
        </w:rPr>
        <w:t xml:space="preserve"> of 5x Sequencing Buffer, 1 </w:t>
      </w:r>
      <w:proofErr w:type="spellStart"/>
      <w:r w:rsidR="00B61F67" w:rsidRPr="00BB2E25">
        <w:rPr>
          <w:rFonts w:cstheme="minorHAnsi"/>
          <w:lang w:val="en-GB"/>
        </w:rPr>
        <w:t>μl</w:t>
      </w:r>
      <w:proofErr w:type="spellEnd"/>
      <w:r w:rsidR="00B61F67" w:rsidRPr="00BB2E25">
        <w:rPr>
          <w:rFonts w:cstheme="minorHAnsi"/>
          <w:lang w:val="en-GB"/>
        </w:rPr>
        <w:t xml:space="preserve"> of Big Dye v3.1, and 10pmol of the forward or reverse primer). The cycling conditions were: 25 cycles of 96°C for 10 s, 55°C for 10 s, and 60°C for 4 min, the sequencing PCR products were purified, dried resolved and denatured in formamide (</w:t>
      </w:r>
      <w:proofErr w:type="spellStart"/>
      <w:r w:rsidR="00B61F67" w:rsidRPr="00BB2E25">
        <w:rPr>
          <w:rFonts w:cstheme="minorHAnsi"/>
          <w:lang w:val="en-GB"/>
        </w:rPr>
        <w:t>Thermo</w:t>
      </w:r>
      <w:proofErr w:type="spellEnd"/>
      <w:r w:rsidR="00B61F67" w:rsidRPr="00BB2E25">
        <w:rPr>
          <w:rFonts w:cstheme="minorHAnsi"/>
          <w:lang w:val="en-GB"/>
        </w:rPr>
        <w:t xml:space="preserve"> Fisher Scientific). Sequencing of both strands was performed on the ABI PRISM 3500 (</w:t>
      </w:r>
      <w:proofErr w:type="spellStart"/>
      <w:r w:rsidR="00B61F67" w:rsidRPr="00BB2E25">
        <w:rPr>
          <w:rFonts w:cstheme="minorHAnsi"/>
          <w:lang w:val="en-GB"/>
        </w:rPr>
        <w:t>Thermo</w:t>
      </w:r>
      <w:proofErr w:type="spellEnd"/>
      <w:r w:rsidR="00B61F67" w:rsidRPr="00BB2E25">
        <w:rPr>
          <w:rFonts w:cstheme="minorHAnsi"/>
          <w:lang w:val="en-GB"/>
        </w:rPr>
        <w:t xml:space="preserve"> Fisher Scientific). Mutation Surveyor software v3.10 (</w:t>
      </w:r>
      <w:proofErr w:type="spellStart"/>
      <w:r w:rsidR="00B61F67" w:rsidRPr="00BB2E25">
        <w:rPr>
          <w:rFonts w:cstheme="minorHAnsi"/>
          <w:lang w:val="en-GB"/>
        </w:rPr>
        <w:t>Softgenetics</w:t>
      </w:r>
      <w:proofErr w:type="spellEnd"/>
      <w:r w:rsidR="00B61F67" w:rsidRPr="00BB2E25">
        <w:rPr>
          <w:rFonts w:cstheme="minorHAnsi"/>
          <w:lang w:val="en-GB"/>
        </w:rPr>
        <w:t>; State College, PA, USA) was used for sequence analyses and SNP scoring.</w:t>
      </w:r>
    </w:p>
    <w:p w14:paraId="7115EE9E" w14:textId="77777777" w:rsidR="00B61F67" w:rsidRPr="00BB2E25" w:rsidRDefault="00B61F67" w:rsidP="00B61F67">
      <w:pPr>
        <w:spacing w:after="0" w:line="480" w:lineRule="auto"/>
        <w:rPr>
          <w:rFonts w:cstheme="minorHAnsi"/>
          <w:b/>
          <w:lang w:val="en-GB"/>
        </w:rPr>
      </w:pPr>
    </w:p>
    <w:p w14:paraId="6B5913D4" w14:textId="77777777" w:rsidR="00AD0409" w:rsidRPr="00BB2E25" w:rsidRDefault="00AD0409">
      <w:pPr>
        <w:rPr>
          <w:lang w:val="en-GB"/>
        </w:rPr>
      </w:pPr>
    </w:p>
    <w:sectPr w:rsidR="00AD0409" w:rsidRPr="00BB2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67"/>
    <w:rsid w:val="00AD0409"/>
    <w:rsid w:val="00B61F67"/>
    <w:rsid w:val="00BB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BB619"/>
  <w15:chartTrackingRefBased/>
  <w15:docId w15:val="{2B6CBCAE-5301-4050-AB48-51F140D24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1F67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Machová Poláková</dc:creator>
  <cp:keywords/>
  <dc:description/>
  <cp:lastModifiedBy>Katerina Machova Polakova</cp:lastModifiedBy>
  <cp:revision>2</cp:revision>
  <dcterms:created xsi:type="dcterms:W3CDTF">2023-03-31T13:53:00Z</dcterms:created>
  <dcterms:modified xsi:type="dcterms:W3CDTF">2023-03-31T14:05:00Z</dcterms:modified>
</cp:coreProperties>
</file>