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cs="Times New Roman"/>
          <w:b/>
          <w:bCs/>
          <w:sz w:val="24"/>
          <w:szCs w:val="24"/>
          <w:lang w:val="en-US" w:eastAsia="zh-CN"/>
        </w:rPr>
      </w:pPr>
      <w:bookmarkStart w:id="0" w:name="OLE_LINK24"/>
      <w:bookmarkStart w:id="1" w:name="OLE_LINK63"/>
      <w:r>
        <w:rPr>
          <w:rFonts w:hint="eastAsia" w:cs="Times New Roman"/>
          <w:b/>
          <w:bCs/>
          <w:sz w:val="24"/>
          <w:szCs w:val="24"/>
          <w:lang w:val="en-US" w:eastAsia="zh-CN"/>
        </w:rPr>
        <w:t>Supplementary Figures</w:t>
      </w:r>
    </w:p>
    <w:p>
      <w:pPr>
        <w:spacing w:line="360" w:lineRule="auto"/>
        <w:rPr>
          <w:rFonts w:hint="default" w:cs="Times New Roman"/>
          <w:b/>
          <w:bCs/>
          <w:sz w:val="24"/>
          <w:szCs w:val="24"/>
          <w:lang w:val="en-US" w:eastAsia="zh-CN"/>
        </w:rPr>
      </w:pPr>
      <w:r>
        <w:rPr>
          <w:rFonts w:hint="default" w:cs="Times New Roman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5271770" cy="5492115"/>
            <wp:effectExtent l="0" t="0" r="5080" b="13335"/>
            <wp:docPr id="1" name="图片 1" descr="Supplementary 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ementary Fig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5492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Supplementary Figure 1. Differential expressed analyses based on TCGA-THCA cohort, GSE53157 dataset, and GSE27155 dataset. (A) Volcano map of d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ifferentially expressed oxidative stress-related gene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(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DE-OSRGs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)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between THCA and normal samples in the TCGA-THCA cohort. (B) Heatmap of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DE-OSRG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s in the TCGA-THCA cohort. (C) Volcano map of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DE-OSRG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s between cancer tissue samples and para cancer samples in the GSE53157 dataset. (D) Heatmap of DE-OSRGs in the GSE53157 dataset. (E) Volcano map of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DE-OSRG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s between cancer tissue samples and para cancer samples in the GSE27155 dataset. (F) Heatmap of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DE-OSRG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s in the GSE27155 dataset. </w:t>
      </w:r>
      <w:bookmarkStart w:id="2" w:name="OLE_LINK62"/>
      <w:r>
        <w:rPr>
          <w:rFonts w:hint="eastAsia" w:cs="Times New Roman"/>
          <w:b w:val="0"/>
          <w:bCs w:val="0"/>
          <w:sz w:val="24"/>
          <w:szCs w:val="24"/>
          <w:lang w:val="en-US" w:eastAsia="zh-CN"/>
        </w:rPr>
        <w:t>Red dot: up-regulated expression, blue dot: down-regulated expression, black dot: no significant difference.</w:t>
      </w:r>
    </w:p>
    <w:bookmarkEnd w:id="2"/>
    <w:p>
      <w:pPr>
        <w:spacing w:line="360" w:lineRule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bookmarkStart w:id="3" w:name="_GoBack"/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drawing>
          <wp:inline distT="0" distB="0" distL="114300" distR="114300">
            <wp:extent cx="5262245" cy="7525385"/>
            <wp:effectExtent l="0" t="0" r="14605" b="18415"/>
            <wp:docPr id="2" name="图片 2" descr="Supplementary Fig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upplementary Figure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7525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3"/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Times New Roman" w:hAnsi="Times New Roman" w:cs="Times New Roman"/>
          <w:b w:val="0"/>
          <w:bCs w:val="0"/>
          <w:color w:val="0000FF"/>
          <w:sz w:val="24"/>
          <w:szCs w:val="24"/>
          <w:highlight w:val="none"/>
          <w:u w:val="none"/>
          <w:shd w:val="clear" w:fill="auto"/>
          <w:lang w:val="en-US" w:eastAsia="zh-CN" w:bidi="ar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Supplementary Figure 2. Differential expressed analysis of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high and low-risk groups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. (A) Volcano map of differentially expressed genes (DEGs). (B) Heatmap of DEGs.</w:t>
      </w:r>
      <w:bookmarkEnd w:id="0"/>
      <w:r>
        <w:rPr>
          <w:rFonts w:hint="eastAsia" w:cs="Times New Roman"/>
          <w:b w:val="0"/>
          <w:bCs w:val="0"/>
          <w:sz w:val="24"/>
          <w:szCs w:val="24"/>
          <w:lang w:val="en-US" w:eastAsia="zh-CN"/>
        </w:rPr>
        <w:t xml:space="preserve"> Red dot: up-regulated expression, blue dot: down-regulated expression, black dot: no significant difference.</w:t>
      </w:r>
      <w:bookmarkEnd w:id="1"/>
    </w:p>
    <w:p/>
    <w:sectPr>
      <w:pgSz w:w="11906" w:h="16838"/>
      <w:pgMar w:top="1440" w:right="1800" w:bottom="1440" w:left="1800" w:header="851" w:footer="992" w:gutter="0"/>
      <w:lnNumType w:countBy="0"/>
      <w:cols w:space="425" w:num="1"/>
      <w:docGrid w:type="lines" w:linePitch="312" w:charSpace="0"/>
      <mc:AlternateContent>
        <mc:Choice Requires="wpsCustomData">
          <wpsCustomData:blankLineNoLineNum/>
        </mc:Choice>
      </mc:AlternateContent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2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yYjBkMjRlM2EwYmQ1NmU4NDYxMzlkYWNkYjcwMDYifQ=="/>
  </w:docVars>
  <w:rsids>
    <w:rsidRoot w:val="00000000"/>
    <w:rsid w:val="111E3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2023-01-28T06:30:36Z</dcterms:created>
  <dc:creator>Administrator</dc:creator>
  <cp:lastModifiedBy>Anonymous</cp:lastModifiedBy>
  <dcterms:modified xsi:type="dcterms:W3CDTF">2023-01-28T06:31:33Z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1F6DCC65328C4DBE88F59C887BB0738B</vt:lpwstr>
  </property>
</Properties>
</file>