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before="198"/>
        <w:ind w:left="115"/>
        <w:jc w:val="left"/>
        <w:rPr>
          <w:b/>
          <w:bCs/>
          <w:sz w:val="28"/>
          <w:szCs w:val="36"/>
        </w:rPr>
      </w:pPr>
      <w:r>
        <w:rPr>
          <w:rFonts w:ascii="Gill Sans MT" w:hAnsi="Arial" w:eastAsia="宋体" w:cs="Gill Sans MT"/>
          <w:kern w:val="0"/>
          <w:sz w:val="36"/>
          <w:szCs w:val="36"/>
          <w:lang w:bidi="ar"/>
        </w:rPr>
        <w:t>METTL16 Mediated LncRNA TIALD m6A Modification contribute to hepatocellular carcinoma metastasis via inducing AURKA lysosomal degradation</w:t>
      </w:r>
    </w:p>
    <w:p>
      <w:pPr>
        <w:widowControl/>
        <w:jc w:val="center"/>
        <w:rPr>
          <w:b/>
          <w:bCs/>
          <w:sz w:val="28"/>
          <w:szCs w:val="36"/>
        </w:rPr>
      </w:pPr>
    </w:p>
    <w:p>
      <w:pPr>
        <w:widowControl/>
        <w:jc w:val="center"/>
        <w:rPr>
          <w:b/>
          <w:bCs/>
          <w:sz w:val="28"/>
          <w:szCs w:val="36"/>
        </w:rPr>
      </w:pPr>
    </w:p>
    <w:p>
      <w:pPr>
        <w:widowControl/>
        <w:jc w:val="left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Supplementary information</w:t>
      </w:r>
    </w:p>
    <w:p/>
    <w:p/>
    <w:p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Supplementary Figure</w:t>
      </w:r>
    </w:p>
    <w:p>
      <w:pPr>
        <w:rPr>
          <w:b/>
          <w:bCs/>
          <w:sz w:val="28"/>
          <w:szCs w:val="36"/>
        </w:rPr>
      </w:pPr>
    </w:p>
    <w:p>
      <w:pPr>
        <w:rPr>
          <w:b/>
          <w:bCs/>
          <w:sz w:val="28"/>
          <w:szCs w:val="36"/>
        </w:rPr>
      </w:pPr>
    </w:p>
    <w:p>
      <w:pPr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drawing>
          <wp:inline distT="0" distB="0" distL="114300" distR="114300">
            <wp:extent cx="4700270" cy="5022850"/>
            <wp:effectExtent l="0" t="0" r="11430" b="6350"/>
            <wp:docPr id="1" name="图片 1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00270" cy="502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>Supplementary</w:t>
      </w:r>
      <w:r>
        <w:rPr>
          <w:rFonts w:hint="eastAsia" w:ascii="Arial" w:hAnsi="Arial" w:cs="Arial"/>
          <w:b/>
          <w:bCs/>
          <w:szCs w:val="21"/>
        </w:rPr>
        <w:t xml:space="preserve"> </w:t>
      </w:r>
      <w:r>
        <w:rPr>
          <w:rFonts w:ascii="Arial" w:hAnsi="Arial" w:cs="Arial"/>
          <w:b/>
          <w:bCs/>
          <w:szCs w:val="21"/>
        </w:rPr>
        <w:t>Figure S</w:t>
      </w:r>
      <w:r>
        <w:rPr>
          <w:rFonts w:hint="eastAsia" w:ascii="Arial" w:hAnsi="Arial" w:cs="Arial"/>
          <w:b/>
          <w:bCs/>
          <w:szCs w:val="21"/>
        </w:rPr>
        <w:t>1.</w:t>
      </w:r>
      <w:r>
        <w:rPr>
          <w:rFonts w:ascii="Arial" w:hAnsi="Arial" w:cs="Arial"/>
          <w:b/>
          <w:bCs/>
          <w:szCs w:val="21"/>
        </w:rPr>
        <w:t xml:space="preserve"> </w:t>
      </w:r>
      <w:r>
        <w:rPr>
          <w:rFonts w:hint="eastAsia" w:ascii="Arial" w:hAnsi="Arial" w:cs="Arial"/>
          <w:b/>
          <w:bCs/>
          <w:szCs w:val="21"/>
        </w:rPr>
        <w:t xml:space="preserve">Luciferase reporter assay to validate the </w:t>
      </w:r>
      <w:r>
        <w:rPr>
          <w:rFonts w:ascii="Arial" w:hAnsi="Arial" w:cs="Arial"/>
          <w:b/>
          <w:bCs/>
          <w:szCs w:val="21"/>
        </w:rPr>
        <w:t>interaction</w:t>
      </w:r>
      <w:r>
        <w:rPr>
          <w:rFonts w:hint="eastAsia" w:ascii="Arial" w:hAnsi="Arial" w:cs="Arial"/>
          <w:b/>
          <w:bCs/>
          <w:szCs w:val="21"/>
        </w:rPr>
        <w:t xml:space="preserve"> between MTTL16 and TIALD point mutations. </w:t>
      </w:r>
      <w:r>
        <w:rPr>
          <w:rFonts w:ascii="Arial" w:hAnsi="Arial" w:cs="Arial"/>
          <w:b/>
          <w:bCs/>
          <w:szCs w:val="21"/>
        </w:rPr>
        <w:t xml:space="preserve">Wild-type </w:t>
      </w:r>
      <w:r>
        <w:rPr>
          <w:rFonts w:hint="eastAsia" w:ascii="Arial" w:hAnsi="Arial" w:cs="Arial"/>
          <w:b/>
          <w:bCs/>
          <w:szCs w:val="21"/>
        </w:rPr>
        <w:t>TIALD</w:t>
      </w:r>
      <w:r>
        <w:rPr>
          <w:rFonts w:ascii="Arial" w:hAnsi="Arial" w:cs="Arial"/>
          <w:b/>
          <w:bCs/>
          <w:szCs w:val="21"/>
        </w:rPr>
        <w:t xml:space="preserve"> and with a mutation at the m6A consensus sequence were cloned into a luciferase reporter. Relative luciferase activity of the wild-type and 6 mutant </w:t>
      </w:r>
      <w:r>
        <w:rPr>
          <w:rFonts w:hint="eastAsia" w:ascii="Arial" w:hAnsi="Arial" w:cs="Arial"/>
          <w:b/>
          <w:bCs/>
          <w:szCs w:val="21"/>
        </w:rPr>
        <w:t>TIALD</w:t>
      </w:r>
      <w:r>
        <w:rPr>
          <w:rFonts w:ascii="Arial" w:hAnsi="Arial" w:cs="Arial"/>
          <w:b/>
          <w:bCs/>
          <w:szCs w:val="21"/>
        </w:rPr>
        <w:t xml:space="preserve"> reporter vectors catalyzed by METTL16.</w:t>
      </w:r>
    </w:p>
    <w:p>
      <w:pPr>
        <w:spacing w:line="360" w:lineRule="auto"/>
        <w:rPr>
          <w:rFonts w:ascii="Arial" w:hAnsi="Arial" w:cs="Arial"/>
          <w:b/>
          <w:bCs/>
          <w:szCs w:val="21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sz w:val="24"/>
        </w:rPr>
      </w:pPr>
    </w:p>
    <w:p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drawing>
          <wp:inline distT="0" distB="0" distL="114300" distR="114300">
            <wp:extent cx="3502660" cy="2757805"/>
            <wp:effectExtent l="0" t="0" r="2540" b="10795"/>
            <wp:docPr id="4" name="图片 4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02660" cy="275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 w:val="28"/>
          <w:szCs w:val="36"/>
        </w:rPr>
      </w:pPr>
    </w:p>
    <w:p>
      <w:pPr>
        <w:jc w:val="left"/>
        <w:rPr>
          <w:rFonts w:ascii="Arial" w:hAnsi="Arial" w:cs="Arial"/>
          <w:b/>
          <w:bCs/>
          <w:szCs w:val="21"/>
        </w:rPr>
      </w:pPr>
      <w:r>
        <w:rPr>
          <w:rFonts w:hint="eastAsia"/>
          <w:b/>
          <w:bCs/>
          <w:sz w:val="28"/>
          <w:szCs w:val="36"/>
        </w:rPr>
        <w:t xml:space="preserve">Supplementary </w:t>
      </w:r>
      <w:r>
        <w:rPr>
          <w:rFonts w:ascii="Arial" w:hAnsi="Arial" w:cs="Arial"/>
          <w:b/>
          <w:bCs/>
          <w:szCs w:val="21"/>
        </w:rPr>
        <w:t>Figure S</w:t>
      </w:r>
      <w:r>
        <w:rPr>
          <w:rFonts w:hint="eastAsia" w:ascii="Arial" w:hAnsi="Arial" w:cs="Arial"/>
          <w:b/>
          <w:bCs/>
          <w:szCs w:val="21"/>
        </w:rPr>
        <w:t xml:space="preserve">2. </w:t>
      </w:r>
      <w:r>
        <w:rPr>
          <w:rFonts w:ascii="Arial" w:hAnsi="Arial" w:cs="Arial"/>
          <w:b/>
          <w:bCs/>
          <w:szCs w:val="21"/>
        </w:rPr>
        <w:t xml:space="preserve"> Effects of </w:t>
      </w:r>
      <w:r>
        <w:rPr>
          <w:rFonts w:hint="eastAsia" w:ascii="Arial" w:hAnsi="Arial" w:cs="Arial"/>
          <w:b/>
          <w:bCs/>
          <w:szCs w:val="21"/>
        </w:rPr>
        <w:t>TIALD</w:t>
      </w:r>
      <w:r>
        <w:rPr>
          <w:rFonts w:ascii="Arial" w:hAnsi="Arial" w:cs="Arial"/>
          <w:b/>
          <w:bCs/>
          <w:szCs w:val="21"/>
        </w:rPr>
        <w:t xml:space="preserve"> on AURKA ubiquitination.</w:t>
      </w:r>
    </w:p>
    <w:p>
      <w:pPr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br w:type="page"/>
      </w:r>
    </w:p>
    <w:p>
      <w:pPr>
        <w:jc w:val="center"/>
        <w:rPr>
          <w:rFonts w:hint="eastAsia" w:ascii="Arial" w:hAnsi="Arial" w:cs="Arial" w:eastAsiaTheme="minorEastAsia"/>
          <w:b/>
          <w:bCs/>
          <w:szCs w:val="21"/>
          <w:lang w:eastAsia="zh-CN"/>
        </w:rPr>
      </w:pPr>
      <w:r>
        <w:rPr>
          <w:rFonts w:hint="eastAsia" w:ascii="Arial" w:hAnsi="Arial" w:cs="Arial" w:eastAsiaTheme="minorEastAsia"/>
          <w:b/>
          <w:bCs/>
          <w:szCs w:val="21"/>
          <w:lang w:eastAsia="zh-CN"/>
        </w:rPr>
        <w:drawing>
          <wp:inline distT="0" distB="0" distL="114300" distR="114300">
            <wp:extent cx="4806950" cy="3648710"/>
            <wp:effectExtent l="0" t="0" r="6350" b="8890"/>
            <wp:docPr id="5" name="图片 5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06950" cy="364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default" w:ascii="Arial" w:hAnsi="Arial" w:cs="Arial"/>
          <w:b/>
          <w:bCs/>
          <w:sz w:val="21"/>
          <w:szCs w:val="24"/>
          <w:lang w:val="en-US" w:eastAsia="zh-CN"/>
        </w:rPr>
      </w:pPr>
      <w:r>
        <w:rPr>
          <w:rFonts w:hint="default" w:ascii="Arial" w:hAnsi="Arial" w:cs="Arial"/>
          <w:b/>
          <w:bCs/>
          <w:sz w:val="21"/>
          <w:szCs w:val="24"/>
        </w:rPr>
        <w:t>Supplementary</w:t>
      </w:r>
      <w:r>
        <w:rPr>
          <w:rFonts w:hint="default" w:ascii="Arial" w:hAnsi="Arial" w:cs="Arial"/>
          <w:b/>
          <w:bCs/>
          <w:sz w:val="21"/>
          <w:szCs w:val="24"/>
          <w:lang w:val="en-US" w:eastAsia="zh-CN"/>
        </w:rPr>
        <w:t xml:space="preserve"> Figure S3. Representative images of lung metastatic nodules stained with H&amp;E.</w:t>
      </w:r>
    </w:p>
    <w:p>
      <w:pPr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default"/>
          <w:b/>
          <w:bCs/>
          <w:sz w:val="28"/>
          <w:szCs w:val="36"/>
          <w:lang w:val="en-US" w:eastAsia="zh-CN"/>
        </w:rPr>
        <w:br w:type="page"/>
      </w:r>
    </w:p>
    <w:p>
      <w:pPr>
        <w:spacing w:line="360" w:lineRule="auto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jc w:val="center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default"/>
          <w:b/>
          <w:bCs/>
          <w:sz w:val="28"/>
          <w:szCs w:val="36"/>
          <w:lang w:val="en-US" w:eastAsia="zh-CN"/>
        </w:rPr>
        <w:drawing>
          <wp:inline distT="0" distB="0" distL="114300" distR="114300">
            <wp:extent cx="5271770" cy="2637155"/>
            <wp:effectExtent l="0" t="0" r="11430" b="4445"/>
            <wp:docPr id="6" name="图片 6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default" w:ascii="Arial" w:hAnsi="Arial" w:cs="Arial"/>
          <w:b/>
          <w:bCs/>
          <w:sz w:val="21"/>
          <w:szCs w:val="24"/>
          <w:lang w:val="en-US" w:eastAsia="zh-CN"/>
        </w:rPr>
      </w:pPr>
      <w:r>
        <w:rPr>
          <w:rFonts w:hint="default" w:ascii="Arial" w:hAnsi="Arial" w:cs="Arial"/>
          <w:b/>
          <w:bCs/>
          <w:sz w:val="21"/>
          <w:szCs w:val="24"/>
        </w:rPr>
        <w:t>Supplementary</w:t>
      </w:r>
      <w:r>
        <w:rPr>
          <w:rFonts w:hint="default" w:ascii="Arial" w:hAnsi="Arial" w:cs="Arial"/>
          <w:b/>
          <w:bCs/>
          <w:sz w:val="21"/>
          <w:szCs w:val="24"/>
          <w:lang w:val="en-US" w:eastAsia="zh-CN"/>
        </w:rPr>
        <w:t xml:space="preserve"> Figure S4. Representative images of IHC staining in lung metastasis nodules of mice.</w:t>
      </w:r>
    </w:p>
    <w:p>
      <w:pPr>
        <w:jc w:val="center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jc w:val="center"/>
        <w:rPr>
          <w:rFonts w:hint="eastAsia" w:ascii="Arial" w:hAnsi="Arial" w:cs="Arial" w:eastAsiaTheme="minorEastAsia"/>
          <w:b/>
          <w:bCs/>
          <w:szCs w:val="21"/>
          <w:lang w:eastAsia="zh-CN"/>
        </w:rPr>
      </w:pPr>
    </w:p>
    <w:p>
      <w:pPr>
        <w:spacing w:line="360" w:lineRule="auto"/>
      </w:pPr>
      <w:r>
        <w:br w:type="page"/>
      </w:r>
      <w:bookmarkStart w:id="0" w:name="_GoBack"/>
      <w:bookmarkEnd w:id="0"/>
    </w:p>
    <w:p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Supplementary Table</w:t>
      </w:r>
    </w:p>
    <w:p>
      <w:pPr>
        <w:rPr>
          <w:b/>
          <w:bCs/>
          <w:sz w:val="28"/>
          <w:szCs w:val="36"/>
        </w:rPr>
      </w:pPr>
    </w:p>
    <w:p>
      <w:pPr>
        <w:rPr>
          <w:color w:val="FF0000"/>
        </w:rPr>
      </w:pPr>
    </w:p>
    <w:p>
      <w:pPr>
        <w:rPr>
          <w:rFonts w:ascii="Arial" w:hAnsi="Arial" w:cs="Arial"/>
          <w:sz w:val="24"/>
        </w:rPr>
      </w:pPr>
      <w:r>
        <w:rPr>
          <w:rFonts w:hint="eastAsia" w:ascii="Arial" w:hAnsi="Arial" w:cs="Arial"/>
          <w:sz w:val="24"/>
        </w:rPr>
        <w:t>S</w:t>
      </w:r>
      <w:r>
        <w:rPr>
          <w:rFonts w:ascii="Arial" w:hAnsi="Arial" w:cs="Arial"/>
          <w:sz w:val="24"/>
        </w:rPr>
        <w:t>upplementary Table S</w:t>
      </w:r>
      <w:r>
        <w:rPr>
          <w:rFonts w:hint="eastAsia" w:ascii="Arial" w:hAnsi="Arial" w:cs="Arial"/>
          <w:sz w:val="24"/>
        </w:rPr>
        <w:t>1</w:t>
      </w:r>
      <w:r>
        <w:rPr>
          <w:rFonts w:ascii="Arial" w:hAnsi="Arial" w:cs="Arial"/>
          <w:sz w:val="24"/>
        </w:rPr>
        <w:t xml:space="preserve">. </w:t>
      </w:r>
      <w:r>
        <w:rPr>
          <w:rFonts w:hint="eastAsia" w:ascii="Arial" w:hAnsi="Arial" w:cs="Arial"/>
          <w:sz w:val="24"/>
        </w:rPr>
        <w:t>qPCR primer sequences</w:t>
      </w:r>
    </w:p>
    <w:p>
      <w:pPr>
        <w:widowControl/>
        <w:jc w:val="left"/>
        <w:rPr>
          <w:color w:val="FF0000"/>
        </w:rPr>
      </w:pPr>
    </w:p>
    <w:tbl>
      <w:tblPr>
        <w:tblStyle w:val="6"/>
        <w:tblpPr w:leftFromText="180" w:rightFromText="180" w:vertAnchor="page" w:horzAnchor="margin" w:tblpY="3834"/>
        <w:tblW w:w="0" w:type="auto"/>
        <w:tblInd w:w="0" w:type="dxa"/>
        <w:tblBorders>
          <w:top w:val="single" w:color="auto" w:sz="12" w:space="0"/>
          <w:left w:val="single" w:color="auto" w:sz="4" w:space="0"/>
          <w:bottom w:val="single" w:color="auto" w:sz="12" w:space="0"/>
          <w:right w:val="single" w:color="auto" w:sz="4" w:space="0"/>
          <w:insideH w:val="singl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8"/>
        <w:gridCol w:w="5372"/>
      </w:tblGrid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40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Gene symbol</w:t>
            </w:r>
          </w:p>
        </w:tc>
        <w:tc>
          <w:tcPr>
            <w:tcW w:w="537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Sequences (from 5’ to 3’)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40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TIALD</w:t>
            </w:r>
          </w:p>
        </w:tc>
        <w:tc>
          <w:tcPr>
            <w:tcW w:w="537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F: ATCTTCCACCTCGAACGCAA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R: AGGTGAGGGGACCTAGACTC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AURKA</w:t>
            </w:r>
          </w:p>
        </w:tc>
        <w:tc>
          <w:tcPr>
            <w:tcW w:w="5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F: GAGGTCCAAAACGTGTTCTCG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R: ACAGGATGAGGTACACTGGTTG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METTL16</w:t>
            </w:r>
          </w:p>
        </w:tc>
        <w:tc>
          <w:tcPr>
            <w:tcW w:w="5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F: CTCTGACGTGTACTCTCCTAAGG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R: TACCAGCCATTCAAGGTTGCT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ALKBH5</w:t>
            </w:r>
          </w:p>
        </w:tc>
        <w:tc>
          <w:tcPr>
            <w:tcW w:w="5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F: CGGCGAAGGCTACACTTACG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R: CCACCAGCTTTTGGATCACCA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YTHDF2</w:t>
            </w:r>
          </w:p>
        </w:tc>
        <w:tc>
          <w:tcPr>
            <w:tcW w:w="5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F: GTTGGTAGCGGGTCCATTACT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R: GGTCTTCAGTTTAGGTTGCTGT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YTHDC1</w:t>
            </w:r>
          </w:p>
        </w:tc>
        <w:tc>
          <w:tcPr>
            <w:tcW w:w="5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F: CTTCTGATGAGCAAGGGAACAA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R: GGCCTCACTTCGAGTGTCATAA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40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18S</w:t>
            </w:r>
          </w:p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37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F: AGAAACGGCTACCACATCC</w:t>
            </w:r>
          </w:p>
          <w:p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R: CACCAGACTTGCCCTCCA</w:t>
            </w:r>
          </w:p>
        </w:tc>
      </w:tr>
    </w:tbl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tbl>
      <w:tblPr>
        <w:tblStyle w:val="6"/>
        <w:tblpPr w:leftFromText="180" w:rightFromText="180" w:vertAnchor="page" w:horzAnchor="margin" w:tblpXSpec="center" w:tblpY="2407"/>
        <w:tblW w:w="9039" w:type="dxa"/>
        <w:tblInd w:w="0" w:type="dxa"/>
        <w:tblBorders>
          <w:top w:val="single" w:color="auto" w:sz="12" w:space="0"/>
          <w:left w:val="single" w:color="auto" w:sz="4" w:space="0"/>
          <w:bottom w:val="single" w:color="auto" w:sz="12" w:space="0"/>
          <w:right w:val="single" w:color="auto" w:sz="4" w:space="0"/>
          <w:insideH w:val="singl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371"/>
      </w:tblGrid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66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Gene symbol</w:t>
            </w:r>
          </w:p>
        </w:tc>
        <w:tc>
          <w:tcPr>
            <w:tcW w:w="737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Sequences (from 5’ to 3’)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66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eastAsia="等线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sh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TIALD</w:t>
            </w:r>
          </w:p>
        </w:tc>
        <w:tc>
          <w:tcPr>
            <w:tcW w:w="737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 xml:space="preserve">Top Strand: </w:t>
            </w:r>
            <w:r>
              <w:t xml:space="preserve"> GATCCCACCGAGGAAACGAAACTAGGAATCAAGAGTTCCTAGTTTCGTTTCCTCTTTTTG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 xml:space="preserve">Bottom Strand: </w:t>
            </w:r>
            <w:r>
              <w:t xml:space="preserve"> AATTCAAAAAGAGGAAACGAGGAAAAACTCTCTTGATTCCTAGTTTCGTTTCCTCGGTGG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shAURKA</w:t>
            </w: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Top Strand:</w:t>
            </w:r>
          </w:p>
          <w:p>
            <w:r>
              <w:t>CCGGGATGCCCTGTCTTACTGTCACTCGAGTGACAGTAAGACAGGGCATTTTTTG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 xml:space="preserve">Bottom Strand: </w:t>
            </w:r>
          </w:p>
          <w:p>
            <w:r>
              <w:t>AATTCAAAAAATGCCCTGTCTTACTGTCACTCGAGTGACAGTAAGACAGGGCAT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shMETTL16</w:t>
            </w: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 xml:space="preserve">Top Strand: </w:t>
            </w:r>
          </w:p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t>GATCCGCAACAGAAGTGGATGATATGTTCAAGAGACATATCATCCACTTCTGTTGCTTTTTT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 xml:space="preserve">Bottom Strand: </w:t>
            </w:r>
          </w:p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t>AGCTAAAAAAGCAACAGAAGTGGATGATATGTCTCTTGAACATATCATCCACTTCTGTTGCG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shYTHDF2</w:t>
            </w: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 xml:space="preserve">Top Strand: </w:t>
            </w:r>
          </w:p>
          <w:p>
            <w:pPr>
              <w:widowControl/>
              <w:snapToGrid w:val="0"/>
              <w:jc w:val="left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t>CCGGCGGTCCATTAATAACTATAACCTCGAGGTTATAGTTATTAATGGACCGTTTTTG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 xml:space="preserve">Bottom Strand:  </w:t>
            </w:r>
          </w:p>
          <w:p>
            <w:pPr>
              <w:widowControl/>
              <w:snapToGrid w:val="0"/>
              <w:jc w:val="left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t>AATTCAAAAACGGTCCATTAATAACTATAACCTCGAGGTTATAGTTATTAATGGACCG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66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shYTHDC1</w:t>
            </w:r>
          </w:p>
        </w:tc>
        <w:tc>
          <w:tcPr>
            <w:tcW w:w="737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 xml:space="preserve">Top Strand: </w:t>
            </w:r>
          </w:p>
          <w:p>
            <w:pPr>
              <w:widowControl/>
              <w:snapToGrid w:val="0"/>
              <w:jc w:val="left"/>
            </w:pPr>
            <w:r>
              <w:t>CCGGTGCCTCCAGAGAACCTTATAACTCGAGTTATAAGGTTCTCTGGAGGCA TTTTTG</w:t>
            </w:r>
          </w:p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 xml:space="preserve">Bottom Strand: </w:t>
            </w:r>
          </w:p>
          <w:p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t>AATTCAAAAATGCCTCCAGAGAACCTTATAACTCGAGTTATAAGGTTCTCTGGAGGCA</w:t>
            </w:r>
          </w:p>
        </w:tc>
      </w:tr>
    </w:tbl>
    <w:p>
      <w:pPr>
        <w:rPr>
          <w:rFonts w:ascii="Arial" w:hAnsi="Arial" w:cs="Arial"/>
          <w:sz w:val="24"/>
        </w:rPr>
      </w:pPr>
      <w:r>
        <w:rPr>
          <w:rFonts w:hint="eastAsia" w:ascii="Arial" w:hAnsi="Arial" w:cs="Arial"/>
          <w:sz w:val="24"/>
        </w:rPr>
        <w:t>S</w:t>
      </w:r>
      <w:r>
        <w:rPr>
          <w:rFonts w:ascii="Arial" w:hAnsi="Arial" w:cs="Arial"/>
          <w:sz w:val="24"/>
        </w:rPr>
        <w:t>upplementary Table S</w:t>
      </w:r>
      <w:r>
        <w:rPr>
          <w:rFonts w:hint="eastAsia"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 xml:space="preserve">. </w:t>
      </w:r>
      <w:r>
        <w:rPr>
          <w:rFonts w:hint="eastAsia" w:ascii="Arial" w:hAnsi="Arial" w:cs="Arial"/>
          <w:sz w:val="24"/>
        </w:rPr>
        <w:t>shRNA sequence</w:t>
      </w:r>
    </w:p>
    <w:p>
      <w:pPr>
        <w:widowControl/>
        <w:jc w:val="left"/>
        <w:rPr>
          <w:color w:val="FF0000"/>
        </w:rPr>
      </w:pPr>
    </w:p>
    <w:p>
      <w:pPr>
        <w:widowControl/>
        <w:jc w:val="left"/>
        <w:rPr>
          <w:color w:val="FF0000"/>
        </w:rPr>
      </w:pPr>
    </w:p>
    <w:p>
      <w:pPr>
        <w:widowControl/>
        <w:jc w:val="left"/>
        <w:rPr>
          <w:color w:val="FF0000"/>
        </w:rPr>
      </w:pPr>
    </w:p>
    <w:p>
      <w:pPr>
        <w:widowControl/>
        <w:jc w:val="left"/>
        <w:rPr>
          <w:color w:val="FF0000"/>
        </w:rPr>
      </w:pPr>
    </w:p>
    <w:p>
      <w:pPr>
        <w:widowControl/>
        <w:jc w:val="left"/>
        <w:rPr>
          <w:color w:val="FF0000"/>
        </w:rPr>
      </w:pPr>
    </w:p>
    <w:p>
      <w:pPr>
        <w:widowControl/>
        <w:jc w:val="left"/>
        <w:rPr>
          <w:color w:val="FF0000"/>
        </w:rPr>
      </w:pPr>
    </w:p>
    <w:p>
      <w:pPr>
        <w:widowControl/>
        <w:jc w:val="left"/>
        <w:rPr>
          <w:color w:val="FF0000"/>
        </w:rPr>
      </w:pPr>
    </w:p>
    <w:p>
      <w:pPr>
        <w:rPr>
          <w:color w:val="FF0000"/>
        </w:rPr>
      </w:pPr>
      <w:r>
        <w:rPr>
          <w:color w:val="FF0000"/>
        </w:rPr>
        <w:br w:type="page"/>
      </w:r>
    </w:p>
    <w:tbl>
      <w:tblPr>
        <w:tblStyle w:val="6"/>
        <w:tblpPr w:leftFromText="180" w:rightFromText="180" w:vertAnchor="page" w:horzAnchor="margin" w:tblpXSpec="center" w:tblpY="2407"/>
        <w:tblW w:w="8188" w:type="dxa"/>
        <w:tblInd w:w="0" w:type="dxa"/>
        <w:tblBorders>
          <w:top w:val="single" w:color="auto" w:sz="12" w:space="0"/>
          <w:left w:val="single" w:color="auto" w:sz="4" w:space="0"/>
          <w:bottom w:val="single" w:color="auto" w:sz="12" w:space="0"/>
          <w:right w:val="single" w:color="auto" w:sz="4" w:space="0"/>
          <w:insideH w:val="singl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520"/>
      </w:tblGrid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</w:tblPrEx>
        <w:trPr>
          <w:trHeight w:val="379" w:hRule="atLeast"/>
        </w:trPr>
        <w:tc>
          <w:tcPr>
            <w:tcW w:w="166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Gene symbol</w:t>
            </w:r>
          </w:p>
        </w:tc>
        <w:tc>
          <w:tcPr>
            <w:tcW w:w="652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Probe Sequences (from 5’ to 3’)</w:t>
            </w:r>
          </w:p>
        </w:tc>
      </w:tr>
      <w:tr>
        <w:tblPrEx>
          <w:tblBorders>
            <w:top w:val="single" w:color="auto" w:sz="12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66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snapToGrid w:val="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sz w:val="20"/>
                <w:szCs w:val="20"/>
              </w:rPr>
              <w:t>TIALD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20"/>
                <w:szCs w:val="20"/>
                <w:lang w:bidi="ar"/>
              </w:rPr>
              <w:t>CAACAAAAACATATAATTCAGCTCCCACCGACCC (ttt CATCATCAT ACATCATCAT)</w:t>
            </w:r>
          </w:p>
        </w:tc>
      </w:tr>
    </w:tbl>
    <w:p>
      <w:pPr>
        <w:rPr>
          <w:rFonts w:ascii="Arial" w:hAnsi="Arial" w:cs="Arial"/>
          <w:sz w:val="24"/>
        </w:rPr>
      </w:pPr>
      <w:r>
        <w:rPr>
          <w:rFonts w:hint="eastAsia" w:ascii="Arial" w:hAnsi="Arial" w:cs="Arial"/>
          <w:sz w:val="24"/>
        </w:rPr>
        <w:t>S</w:t>
      </w:r>
      <w:r>
        <w:rPr>
          <w:rFonts w:ascii="Arial" w:hAnsi="Arial" w:cs="Arial"/>
          <w:sz w:val="24"/>
        </w:rPr>
        <w:t>upplementary Table S</w:t>
      </w:r>
      <w:r>
        <w:rPr>
          <w:rFonts w:hint="eastAsia"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 xml:space="preserve">. </w:t>
      </w:r>
      <w:r>
        <w:rPr>
          <w:rFonts w:hint="eastAsia" w:ascii="Arial" w:hAnsi="Arial" w:cs="Arial"/>
          <w:sz w:val="24"/>
        </w:rPr>
        <w:t>FISH probe sequence</w:t>
      </w:r>
    </w:p>
    <w:p>
      <w:pPr>
        <w:widowControl/>
        <w:jc w:val="left"/>
        <w:rPr>
          <w:color w:val="FF0000"/>
        </w:rPr>
      </w:pPr>
    </w:p>
    <w:p>
      <w:pPr>
        <w:widowControl/>
        <w:jc w:val="left"/>
        <w:rPr>
          <w:color w:val="FF0000"/>
        </w:rPr>
      </w:pPr>
    </w:p>
    <w:p>
      <w:pPr>
        <w:rPr>
          <w:color w:val="FF0000"/>
        </w:rPr>
      </w:pPr>
      <w:r>
        <w:rPr>
          <w:color w:val="FF0000"/>
        </w:rPr>
        <w:br w:type="page"/>
      </w:r>
    </w:p>
    <w:p>
      <w:pPr>
        <w:rPr>
          <w:rFonts w:ascii="Arial" w:hAnsi="Arial" w:eastAsia="等线" w:cs="Arial"/>
          <w:color w:val="000000"/>
          <w:kern w:val="0"/>
          <w:sz w:val="24"/>
        </w:rPr>
      </w:pPr>
      <w:r>
        <w:rPr>
          <w:rFonts w:ascii="Arial" w:hAnsi="Arial" w:cs="Arial"/>
          <w:sz w:val="24"/>
        </w:rPr>
        <w:t>Supplementary Table S</w:t>
      </w:r>
      <w:r>
        <w:rPr>
          <w:rFonts w:hint="eastAsia" w:ascii="Arial" w:hAnsi="Arial" w:cs="Arial"/>
          <w:sz w:val="24"/>
        </w:rPr>
        <w:t>4</w:t>
      </w:r>
      <w:r>
        <w:rPr>
          <w:rFonts w:ascii="Arial" w:hAnsi="Arial" w:cs="Arial"/>
          <w:sz w:val="24"/>
        </w:rPr>
        <w:t>. Univariate and multivariate cox regression analysis affecting overall survival of HCC patients</w:t>
      </w:r>
    </w:p>
    <w:tbl>
      <w:tblPr>
        <w:tblStyle w:val="6"/>
        <w:tblpPr w:leftFromText="180" w:rightFromText="180" w:vertAnchor="text" w:horzAnchor="page" w:tblpX="1441" w:tblpY="576"/>
        <w:tblW w:w="850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83"/>
        <w:gridCol w:w="921"/>
        <w:gridCol w:w="784"/>
        <w:gridCol w:w="1582"/>
        <w:gridCol w:w="12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3983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76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Variable</w:t>
            </w:r>
          </w:p>
        </w:tc>
        <w:tc>
          <w:tcPr>
            <w:tcW w:w="921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>
            <w:pPr>
              <w:spacing w:line="276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Case number</w:t>
            </w:r>
          </w:p>
        </w:tc>
        <w:tc>
          <w:tcPr>
            <w:tcW w:w="784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>
            <w:pPr>
              <w:spacing w:line="276" w:lineRule="auto"/>
              <w:jc w:val="center"/>
              <w:rPr>
                <w:b/>
                <w:i/>
                <w:iCs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HR</w:t>
            </w:r>
          </w:p>
        </w:tc>
        <w:tc>
          <w:tcPr>
            <w:tcW w:w="1582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>
            <w:pPr>
              <w:spacing w:line="276" w:lineRule="auto"/>
              <w:jc w:val="center"/>
              <w:rPr>
                <w:b/>
                <w:i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95% CI</w:t>
            </w:r>
          </w:p>
        </w:tc>
        <w:tc>
          <w:tcPr>
            <w:tcW w:w="1234" w:type="dxa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>
            <w:pPr>
              <w:spacing w:line="276" w:lineRule="auto"/>
              <w:jc w:val="center"/>
              <w:rPr>
                <w:b/>
                <w:i/>
                <w:color w:val="000000"/>
                <w:szCs w:val="21"/>
              </w:rPr>
            </w:pPr>
            <w:r>
              <w:rPr>
                <w:b/>
                <w:i/>
                <w:color w:val="000000"/>
                <w:szCs w:val="21"/>
              </w:rPr>
              <w:t xml:space="preserve">P </w:t>
            </w:r>
            <w:r>
              <w:rPr>
                <w:b/>
                <w:color w:val="000000"/>
                <w:szCs w:val="21"/>
              </w:rPr>
              <w:t>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3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Univariate analysis</w:t>
            </w:r>
          </w:p>
        </w:tc>
        <w:tc>
          <w:tcPr>
            <w:tcW w:w="921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84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582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3" w:type="dxa"/>
            <w:noWrap/>
            <w:vAlign w:val="center"/>
          </w:tcPr>
          <w:p>
            <w:pPr>
              <w:spacing w:line="276" w:lineRule="auto"/>
              <w:ind w:firstLine="211" w:firstLineChars="100"/>
              <w:rPr>
                <w:rFonts w:ascii="Arial" w:hAnsi="Arial" w:cs="Arial"/>
                <w:b/>
                <w:bCs/>
                <w:color w:val="000000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1"/>
              </w:rPr>
              <w:t>TIALD</w:t>
            </w: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 xml:space="preserve"> (high vs. low)</w:t>
            </w:r>
          </w:p>
        </w:tc>
        <w:tc>
          <w:tcPr>
            <w:tcW w:w="921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55/55</w:t>
            </w:r>
          </w:p>
        </w:tc>
        <w:tc>
          <w:tcPr>
            <w:tcW w:w="78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2.026</w:t>
            </w:r>
          </w:p>
        </w:tc>
        <w:tc>
          <w:tcPr>
            <w:tcW w:w="1582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1.053-3.899</w:t>
            </w:r>
          </w:p>
        </w:tc>
        <w:tc>
          <w:tcPr>
            <w:tcW w:w="123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b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Cs w:val="21"/>
              </w:rPr>
              <w:t>0.034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3" w:type="dxa"/>
            <w:noWrap/>
            <w:vAlign w:val="center"/>
          </w:tcPr>
          <w:p>
            <w:pPr>
              <w:spacing w:line="276" w:lineRule="auto"/>
              <w:ind w:firstLine="211" w:firstLineChars="100"/>
              <w:rPr>
                <w:rFonts w:ascii="Arial" w:hAnsi="Arial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Gender(female vs. male)</w:t>
            </w:r>
          </w:p>
        </w:tc>
        <w:tc>
          <w:tcPr>
            <w:tcW w:w="921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20/90</w:t>
            </w:r>
          </w:p>
        </w:tc>
        <w:tc>
          <w:tcPr>
            <w:tcW w:w="78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0.532</w:t>
            </w:r>
          </w:p>
        </w:tc>
        <w:tc>
          <w:tcPr>
            <w:tcW w:w="1582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 xml:space="preserve">0.258-1.096 </w:t>
            </w:r>
          </w:p>
        </w:tc>
        <w:tc>
          <w:tcPr>
            <w:tcW w:w="123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0.087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3" w:type="dxa"/>
            <w:noWrap/>
            <w:vAlign w:val="center"/>
          </w:tcPr>
          <w:p>
            <w:pPr>
              <w:spacing w:line="276" w:lineRule="auto"/>
              <w:ind w:firstLine="211" w:firstLineChars="100"/>
              <w:rPr>
                <w:rFonts w:ascii="Arial" w:hAnsi="Arial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Age, years (≥55 vs.＜55)</w:t>
            </w:r>
          </w:p>
        </w:tc>
        <w:tc>
          <w:tcPr>
            <w:tcW w:w="921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51/59</w:t>
            </w:r>
          </w:p>
        </w:tc>
        <w:tc>
          <w:tcPr>
            <w:tcW w:w="78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0.518</w:t>
            </w:r>
          </w:p>
        </w:tc>
        <w:tc>
          <w:tcPr>
            <w:tcW w:w="1582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0.266-1.010</w:t>
            </w:r>
          </w:p>
        </w:tc>
        <w:tc>
          <w:tcPr>
            <w:tcW w:w="123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0.054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3983" w:type="dxa"/>
            <w:noWrap/>
            <w:vAlign w:val="center"/>
          </w:tcPr>
          <w:p>
            <w:pPr>
              <w:spacing w:line="276" w:lineRule="auto"/>
              <w:ind w:firstLine="211" w:firstLineChars="100"/>
              <w:rPr>
                <w:rFonts w:ascii="Arial" w:hAnsi="Arial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Tumor size, cm (≥5 vs.＜5)</w:t>
            </w:r>
          </w:p>
        </w:tc>
        <w:tc>
          <w:tcPr>
            <w:tcW w:w="921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52/58</w:t>
            </w:r>
          </w:p>
        </w:tc>
        <w:tc>
          <w:tcPr>
            <w:tcW w:w="78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3.996</w:t>
            </w:r>
          </w:p>
        </w:tc>
        <w:tc>
          <w:tcPr>
            <w:tcW w:w="1582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1.985-8.044</w:t>
            </w:r>
          </w:p>
        </w:tc>
        <w:tc>
          <w:tcPr>
            <w:tcW w:w="123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Cs w:val="21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3" w:type="dxa"/>
            <w:noWrap/>
            <w:vAlign w:val="center"/>
          </w:tcPr>
          <w:p>
            <w:pPr>
              <w:spacing w:line="276" w:lineRule="auto"/>
              <w:ind w:firstLine="211" w:firstLineChars="100"/>
              <w:rPr>
                <w:rFonts w:ascii="Arial" w:hAnsi="Arial" w:cs="Arial"/>
                <w:b/>
                <w:bCs/>
                <w:color w:val="000000"/>
                <w:szCs w:val="21"/>
                <w:lang w:val="nl-NL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Tumor number (multiple vs. single)</w:t>
            </w:r>
          </w:p>
        </w:tc>
        <w:tc>
          <w:tcPr>
            <w:tcW w:w="921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3/107</w:t>
            </w:r>
          </w:p>
        </w:tc>
        <w:tc>
          <w:tcPr>
            <w:tcW w:w="78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0.844</w:t>
            </w:r>
          </w:p>
        </w:tc>
        <w:tc>
          <w:tcPr>
            <w:tcW w:w="1582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0.116-6.150</w:t>
            </w:r>
          </w:p>
        </w:tc>
        <w:tc>
          <w:tcPr>
            <w:tcW w:w="123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b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0.867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983" w:type="dxa"/>
            <w:noWrap/>
            <w:vAlign w:val="center"/>
          </w:tcPr>
          <w:p>
            <w:pPr>
              <w:spacing w:line="276" w:lineRule="auto"/>
              <w:ind w:firstLine="211" w:firstLineChars="100"/>
              <w:rPr>
                <w:rFonts w:ascii="Arial" w:hAnsi="Arial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  <w:lang w:val="nl-NL"/>
              </w:rPr>
              <w:t>AFP, ng/mL (</w:t>
            </w: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≥400</w:t>
            </w:r>
            <w:r>
              <w:rPr>
                <w:rFonts w:ascii="Arial" w:hAnsi="Arial" w:cs="Arial"/>
                <w:b/>
                <w:bCs/>
                <w:color w:val="000000"/>
                <w:szCs w:val="21"/>
                <w:lang w:val="nl-NL"/>
              </w:rPr>
              <w:t xml:space="preserve"> vs.</w:t>
            </w: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＜40</w:t>
            </w:r>
            <w:r>
              <w:rPr>
                <w:rFonts w:ascii="Arial" w:hAnsi="Arial" w:cs="Arial"/>
                <w:b/>
                <w:bCs/>
                <w:color w:val="000000"/>
                <w:szCs w:val="21"/>
                <w:lang w:val="nl-NL"/>
              </w:rPr>
              <w:t>0)</w:t>
            </w:r>
          </w:p>
        </w:tc>
        <w:tc>
          <w:tcPr>
            <w:tcW w:w="921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33/77</w:t>
            </w:r>
          </w:p>
        </w:tc>
        <w:tc>
          <w:tcPr>
            <w:tcW w:w="78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2.541</w:t>
            </w:r>
          </w:p>
        </w:tc>
        <w:tc>
          <w:tcPr>
            <w:tcW w:w="1582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1 .349-4.788</w:t>
            </w:r>
          </w:p>
        </w:tc>
        <w:tc>
          <w:tcPr>
            <w:tcW w:w="123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0.004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3" w:type="dxa"/>
            <w:noWrap/>
            <w:vAlign w:val="center"/>
          </w:tcPr>
          <w:p>
            <w:pPr>
              <w:spacing w:line="276" w:lineRule="auto"/>
              <w:ind w:firstLine="211" w:firstLineChars="100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Vascular invasion (yes vs. no)</w:t>
            </w:r>
          </w:p>
        </w:tc>
        <w:tc>
          <w:tcPr>
            <w:tcW w:w="921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55/55</w:t>
            </w:r>
          </w:p>
        </w:tc>
        <w:tc>
          <w:tcPr>
            <w:tcW w:w="78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4.234</w:t>
            </w:r>
          </w:p>
        </w:tc>
        <w:tc>
          <w:tcPr>
            <w:tcW w:w="1582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2.008-8.925</w:t>
            </w:r>
          </w:p>
        </w:tc>
        <w:tc>
          <w:tcPr>
            <w:tcW w:w="123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Cs w:val="21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3" w:type="dxa"/>
            <w:noWrap/>
            <w:vAlign w:val="center"/>
          </w:tcPr>
          <w:p>
            <w:pPr>
              <w:spacing w:line="276" w:lineRule="auto"/>
              <w:ind w:firstLine="211" w:firstLineChars="100"/>
              <w:rPr>
                <w:rFonts w:ascii="Arial" w:hAnsi="Arial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Tumor capsule (complete vs. none)</w:t>
            </w:r>
          </w:p>
        </w:tc>
        <w:tc>
          <w:tcPr>
            <w:tcW w:w="921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92/18</w:t>
            </w:r>
          </w:p>
        </w:tc>
        <w:tc>
          <w:tcPr>
            <w:tcW w:w="78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3.830</w:t>
            </w:r>
          </w:p>
        </w:tc>
        <w:tc>
          <w:tcPr>
            <w:tcW w:w="1582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1.956-7.500</w:t>
            </w:r>
          </w:p>
        </w:tc>
        <w:tc>
          <w:tcPr>
            <w:tcW w:w="123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Cs w:val="21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3" w:type="dxa"/>
            <w:noWrap/>
            <w:vAlign w:val="center"/>
          </w:tcPr>
          <w:p>
            <w:pPr>
              <w:spacing w:line="276" w:lineRule="auto"/>
              <w:ind w:firstLine="211" w:firstLineChars="100"/>
              <w:rPr>
                <w:rFonts w:ascii="Arial" w:hAnsi="Arial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  <w:lang w:val="fr-FR"/>
              </w:rPr>
              <w:t>TNM stage(</w:t>
            </w: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III-IV vs. I-II)</w:t>
            </w:r>
          </w:p>
        </w:tc>
        <w:tc>
          <w:tcPr>
            <w:tcW w:w="921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25/85</w:t>
            </w:r>
          </w:p>
        </w:tc>
        <w:tc>
          <w:tcPr>
            <w:tcW w:w="78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3.845</w:t>
            </w:r>
          </w:p>
        </w:tc>
        <w:tc>
          <w:tcPr>
            <w:tcW w:w="1582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2.020-7.319</w:t>
            </w:r>
          </w:p>
        </w:tc>
        <w:tc>
          <w:tcPr>
            <w:tcW w:w="123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b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Cs w:val="21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3" w:type="dxa"/>
            <w:noWrap/>
            <w:vAlign w:val="center"/>
          </w:tcPr>
          <w:p>
            <w:pPr>
              <w:spacing w:line="276" w:lineRule="auto"/>
              <w:ind w:firstLine="211" w:firstLineChars="100"/>
              <w:rPr>
                <w:rFonts w:ascii="Arial" w:hAnsi="Arial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Tumor differentiation (III-IV vs. I-II)</w:t>
            </w:r>
          </w:p>
        </w:tc>
        <w:tc>
          <w:tcPr>
            <w:tcW w:w="921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78/32</w:t>
            </w:r>
          </w:p>
        </w:tc>
        <w:tc>
          <w:tcPr>
            <w:tcW w:w="78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2.871</w:t>
            </w:r>
          </w:p>
        </w:tc>
        <w:tc>
          <w:tcPr>
            <w:tcW w:w="1582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1.202-6.859</w:t>
            </w:r>
          </w:p>
        </w:tc>
        <w:tc>
          <w:tcPr>
            <w:tcW w:w="123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b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Cs w:val="21"/>
              </w:rPr>
              <w:t>0.018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3" w:type="dxa"/>
            <w:noWrap/>
            <w:vAlign w:val="center"/>
          </w:tcPr>
          <w:p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Cs w:val="21"/>
              </w:rPr>
              <w:t>Multivariate analysis</w:t>
            </w:r>
          </w:p>
        </w:tc>
        <w:tc>
          <w:tcPr>
            <w:tcW w:w="921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78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582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23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b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3" w:type="dxa"/>
            <w:noWrap/>
            <w:vAlign w:val="center"/>
          </w:tcPr>
          <w:p>
            <w:pPr>
              <w:spacing w:line="276" w:lineRule="auto"/>
              <w:ind w:firstLine="211" w:firstLineChars="100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Cs w:val="21"/>
              </w:rPr>
              <w:t>TIALD</w:t>
            </w: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 xml:space="preserve"> (high vs. low)</w:t>
            </w:r>
          </w:p>
        </w:tc>
        <w:tc>
          <w:tcPr>
            <w:tcW w:w="921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55/55</w:t>
            </w:r>
          </w:p>
        </w:tc>
        <w:tc>
          <w:tcPr>
            <w:tcW w:w="78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2.237</w:t>
            </w:r>
          </w:p>
        </w:tc>
        <w:tc>
          <w:tcPr>
            <w:tcW w:w="1582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1.105-4.528</w:t>
            </w:r>
          </w:p>
        </w:tc>
        <w:tc>
          <w:tcPr>
            <w:tcW w:w="123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Cs w:val="21"/>
              </w:rPr>
              <w:t>0.025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3" w:type="dxa"/>
            <w:noWrap/>
            <w:vAlign w:val="center"/>
          </w:tcPr>
          <w:p>
            <w:pPr>
              <w:spacing w:line="276" w:lineRule="auto"/>
              <w:ind w:firstLine="211" w:firstLineChars="100"/>
              <w:rPr>
                <w:rFonts w:ascii="Arial" w:hAnsi="Arial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Tumor size, cm (≥5 vs.＜5)</w:t>
            </w:r>
          </w:p>
        </w:tc>
        <w:tc>
          <w:tcPr>
            <w:tcW w:w="921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52/58</w:t>
            </w:r>
          </w:p>
        </w:tc>
        <w:tc>
          <w:tcPr>
            <w:tcW w:w="78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2.699</w:t>
            </w:r>
          </w:p>
        </w:tc>
        <w:tc>
          <w:tcPr>
            <w:tcW w:w="1582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1.221-5.694</w:t>
            </w:r>
          </w:p>
        </w:tc>
        <w:tc>
          <w:tcPr>
            <w:tcW w:w="123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b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0.014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3" w:type="dxa"/>
            <w:noWrap/>
            <w:vAlign w:val="center"/>
          </w:tcPr>
          <w:p>
            <w:pPr>
              <w:spacing w:line="276" w:lineRule="auto"/>
              <w:ind w:firstLine="211" w:firstLineChars="100"/>
              <w:rPr>
                <w:rFonts w:ascii="Arial" w:hAnsi="Arial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Vascular invasion (yes vs. no)</w:t>
            </w:r>
          </w:p>
        </w:tc>
        <w:tc>
          <w:tcPr>
            <w:tcW w:w="921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55/55</w:t>
            </w:r>
          </w:p>
        </w:tc>
        <w:tc>
          <w:tcPr>
            <w:tcW w:w="78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2.382</w:t>
            </w:r>
          </w:p>
        </w:tc>
        <w:tc>
          <w:tcPr>
            <w:tcW w:w="1582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0.986-5.754</w:t>
            </w:r>
          </w:p>
        </w:tc>
        <w:tc>
          <w:tcPr>
            <w:tcW w:w="123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0.054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83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spacing w:line="276" w:lineRule="auto"/>
              <w:ind w:firstLine="211" w:firstLineChars="100"/>
              <w:rPr>
                <w:rFonts w:ascii="Arial" w:hAnsi="Arial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Tumor capsule (complete vs. none)</w:t>
            </w:r>
          </w:p>
        </w:tc>
        <w:tc>
          <w:tcPr>
            <w:tcW w:w="921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92/18</w:t>
            </w:r>
          </w:p>
        </w:tc>
        <w:tc>
          <w:tcPr>
            <w:tcW w:w="784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2.679</w:t>
            </w:r>
          </w:p>
        </w:tc>
        <w:tc>
          <w:tcPr>
            <w:tcW w:w="1582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color w:val="000000"/>
                <w:szCs w:val="21"/>
              </w:rPr>
              <w:t>1.318-5.447</w:t>
            </w:r>
          </w:p>
        </w:tc>
        <w:tc>
          <w:tcPr>
            <w:tcW w:w="1234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spacing w:line="276" w:lineRule="auto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1"/>
              </w:rPr>
              <w:t>0.006</w:t>
            </w:r>
          </w:p>
        </w:tc>
      </w:tr>
    </w:tbl>
    <w:p>
      <w:pPr>
        <w:widowControl/>
        <w:jc w:val="left"/>
        <w:rPr>
          <w:color w:val="FF0000"/>
        </w:rPr>
      </w:pPr>
    </w:p>
    <w:p>
      <w:pPr>
        <w:widowControl/>
        <w:jc w:val="left"/>
        <w:rPr>
          <w:color w:val="FF0000"/>
        </w:rPr>
      </w:pPr>
    </w:p>
    <w:p>
      <w:pPr>
        <w:widowControl/>
        <w:jc w:val="left"/>
        <w:rPr>
          <w:color w:val="FF0000"/>
        </w:rPr>
      </w:pPr>
    </w:p>
    <w:p>
      <w:pPr>
        <w:widowControl/>
        <w:jc w:val="left"/>
        <w:rPr>
          <w:color w:val="FF0000"/>
        </w:rPr>
      </w:pPr>
    </w:p>
    <w:p>
      <w:pPr>
        <w:widowControl/>
        <w:jc w:val="left"/>
        <w:rPr>
          <w:color w:val="FF000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ill Sans MT">
    <w:panose1 w:val="020B0502020104020203"/>
    <w:charset w:val="00"/>
    <w:family w:val="swiss"/>
    <w:pitch w:val="default"/>
    <w:sig w:usb0="00000003" w:usb1="00000000" w:usb2="00000000" w:usb3="00000000" w:csb0="20000003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k4OWI0NGZkODliMzFhMmM5NWYyYzQ3ZDUwNWYzYzUifQ=="/>
  </w:docVars>
  <w:rsids>
    <w:rsidRoot w:val="00172A27"/>
    <w:rsid w:val="000D23FD"/>
    <w:rsid w:val="00166236"/>
    <w:rsid w:val="0017092E"/>
    <w:rsid w:val="00172A27"/>
    <w:rsid w:val="001766B9"/>
    <w:rsid w:val="001773E7"/>
    <w:rsid w:val="00197AEF"/>
    <w:rsid w:val="001F5860"/>
    <w:rsid w:val="0028528D"/>
    <w:rsid w:val="002B2123"/>
    <w:rsid w:val="00422DDE"/>
    <w:rsid w:val="00430A62"/>
    <w:rsid w:val="00485CB0"/>
    <w:rsid w:val="005611A6"/>
    <w:rsid w:val="006D7BC2"/>
    <w:rsid w:val="007D72A5"/>
    <w:rsid w:val="008C567C"/>
    <w:rsid w:val="008D435C"/>
    <w:rsid w:val="008F211F"/>
    <w:rsid w:val="00916F84"/>
    <w:rsid w:val="009402F3"/>
    <w:rsid w:val="00A22D8A"/>
    <w:rsid w:val="00B33A50"/>
    <w:rsid w:val="00B42D92"/>
    <w:rsid w:val="00BD6E17"/>
    <w:rsid w:val="00BE370B"/>
    <w:rsid w:val="00C60C3A"/>
    <w:rsid w:val="00C743CC"/>
    <w:rsid w:val="00D875B8"/>
    <w:rsid w:val="00DA52C9"/>
    <w:rsid w:val="00F6455F"/>
    <w:rsid w:val="013B64FD"/>
    <w:rsid w:val="04045C01"/>
    <w:rsid w:val="04814D23"/>
    <w:rsid w:val="08474095"/>
    <w:rsid w:val="1256162F"/>
    <w:rsid w:val="1D05713D"/>
    <w:rsid w:val="1D4B71C6"/>
    <w:rsid w:val="23B05940"/>
    <w:rsid w:val="24913E2D"/>
    <w:rsid w:val="24AF79A6"/>
    <w:rsid w:val="2D0C1238"/>
    <w:rsid w:val="37CF5A9F"/>
    <w:rsid w:val="3C821925"/>
    <w:rsid w:val="3CAE1F14"/>
    <w:rsid w:val="3F3D74FE"/>
    <w:rsid w:val="418D70C9"/>
    <w:rsid w:val="43544429"/>
    <w:rsid w:val="43726FE3"/>
    <w:rsid w:val="452C3745"/>
    <w:rsid w:val="460019E8"/>
    <w:rsid w:val="49340E7A"/>
    <w:rsid w:val="4AD802BA"/>
    <w:rsid w:val="4ED246C7"/>
    <w:rsid w:val="503F34EF"/>
    <w:rsid w:val="51862DF5"/>
    <w:rsid w:val="54461F42"/>
    <w:rsid w:val="55C40418"/>
    <w:rsid w:val="560A3474"/>
    <w:rsid w:val="5A6753B1"/>
    <w:rsid w:val="5B4E5186"/>
    <w:rsid w:val="5C4557EC"/>
    <w:rsid w:val="6EF26375"/>
    <w:rsid w:val="713C6BE8"/>
    <w:rsid w:val="74560FD8"/>
    <w:rsid w:val="7707150E"/>
    <w:rsid w:val="786C0025"/>
    <w:rsid w:val="7DCD6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customStyle="1" w:styleId="9">
    <w:name w:val="批注框文本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眉 字符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标题 1 字符"/>
    <w:basedOn w:val="7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375</Words>
  <Characters>2937</Characters>
  <Lines>23</Lines>
  <Paragraphs>6</Paragraphs>
  <TotalTime>9</TotalTime>
  <ScaleCrop>false</ScaleCrop>
  <LinksUpToDate>false</LinksUpToDate>
  <CharactersWithSpaces>3175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赵必星</cp:lastModifiedBy>
  <dcterms:modified xsi:type="dcterms:W3CDTF">2022-04-27T01:43:49Z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46B822B4DDEE4F9EAD4DF6158E1FDBD1</vt:lpwstr>
  </property>
</Properties>
</file>