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D19" w:rsidRPr="006A3AD7" w:rsidRDefault="006E5D19" w:rsidP="006E5D19">
      <w:pPr>
        <w:spacing w:line="480" w:lineRule="auto"/>
        <w:jc w:val="center"/>
        <w:rPr>
          <w:rFonts w:ascii="Times New Roman" w:eastAsia="Microsoft YaHei" w:hAnsi="Times New Roman" w:cs="Times New Roman"/>
          <w:b/>
          <w:bCs/>
          <w:sz w:val="28"/>
          <w:szCs w:val="28"/>
        </w:rPr>
      </w:pPr>
      <w:bookmarkStart w:id="0" w:name="OLE_LINK363"/>
      <w:bookmarkStart w:id="1" w:name="OLE_LINK362"/>
      <w:r w:rsidRPr="006A3AD7">
        <w:rPr>
          <w:rFonts w:ascii="Times New Roman" w:eastAsia="Microsoft YaHei" w:hAnsi="Times New Roman" w:cs="Times New Roman"/>
          <w:b/>
          <w:bCs/>
          <w:sz w:val="28"/>
          <w:szCs w:val="28"/>
        </w:rPr>
        <w:t xml:space="preserve">Supplementary Information for “Household </w:t>
      </w:r>
      <w:r w:rsidRPr="00D7258C">
        <w:rPr>
          <w:rFonts w:ascii="Times New Roman" w:eastAsia="Microsoft YaHei" w:hAnsi="Times New Roman" w:cs="Times New Roman"/>
          <w:b/>
          <w:bCs/>
          <w:sz w:val="28"/>
          <w:szCs w:val="28"/>
        </w:rPr>
        <w:t>Transmission</w:t>
      </w:r>
      <w:r w:rsidRPr="006A3AD7">
        <w:rPr>
          <w:rFonts w:ascii="Times New Roman" w:eastAsia="Microsoft YaHei" w:hAnsi="Times New Roman" w:cs="Times New Roman"/>
          <w:b/>
          <w:bCs/>
          <w:sz w:val="28"/>
          <w:szCs w:val="28"/>
        </w:rPr>
        <w:t xml:space="preserve"> of SARS-CoV-2 along the Evolution of Pandemic”</w:t>
      </w:r>
    </w:p>
    <w:bookmarkEnd w:id="0"/>
    <w:bookmarkEnd w:id="1"/>
    <w:p w:rsidR="006E5D19" w:rsidRPr="00BE2439" w:rsidRDefault="006E5D19" w:rsidP="006E5D19">
      <w:pPr>
        <w:spacing w:line="480" w:lineRule="auto"/>
        <w:rPr>
          <w:rFonts w:ascii="Times New Roman" w:eastAsia="Microsoft YaHei" w:hAnsi="Times New Roman" w:cs="Times New Roman"/>
          <w:sz w:val="24"/>
          <w:szCs w:val="24"/>
        </w:rPr>
      </w:pPr>
    </w:p>
    <w:p w:rsidR="006E5D19" w:rsidRPr="00BE2439" w:rsidRDefault="006E5D19" w:rsidP="006E5D19">
      <w:pPr>
        <w:spacing w:line="480" w:lineRule="auto"/>
        <w:rPr>
          <w:rFonts w:ascii="Times New Roman" w:eastAsia="Microsoft YaHei" w:hAnsi="Times New Roman" w:cs="Times New Roman"/>
          <w:b/>
          <w:sz w:val="24"/>
          <w:szCs w:val="24"/>
        </w:rPr>
      </w:pPr>
      <w:r w:rsidRPr="00BE2439">
        <w:rPr>
          <w:rFonts w:ascii="Times New Roman" w:eastAsia="Microsoft YaHei" w:hAnsi="Times New Roman" w:cs="Times New Roman"/>
          <w:b/>
          <w:sz w:val="24"/>
          <w:szCs w:val="24"/>
        </w:rPr>
        <w:t xml:space="preserve">Supplement A: Parameter settings </w:t>
      </w:r>
    </w:p>
    <w:tbl>
      <w:tblPr>
        <w:tblStyle w:val="1"/>
        <w:tblW w:w="8506" w:type="dxa"/>
        <w:jc w:val="center"/>
        <w:tblLook w:val="04A0" w:firstRow="1" w:lastRow="0" w:firstColumn="1" w:lastColumn="0" w:noHBand="0" w:noVBand="1"/>
      </w:tblPr>
      <w:tblGrid>
        <w:gridCol w:w="1129"/>
        <w:gridCol w:w="4718"/>
        <w:gridCol w:w="1241"/>
        <w:gridCol w:w="1418"/>
      </w:tblGrid>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sz w:val="20"/>
                <w:szCs w:val="20"/>
              </w:rPr>
            </w:pPr>
            <w:r w:rsidRPr="006A3AD7">
              <w:rPr>
                <w:rFonts w:ascii="Times New Roman" w:hAnsi="Times New Roman" w:cs="Times New Roman"/>
                <w:sz w:val="20"/>
                <w:szCs w:val="20"/>
              </w:rPr>
              <w:t>Parameter</w:t>
            </w:r>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sz w:val="20"/>
                <w:szCs w:val="20"/>
              </w:rPr>
            </w:pPr>
            <w:r w:rsidRPr="006A3AD7">
              <w:rPr>
                <w:rFonts w:ascii="Times New Roman" w:hAnsi="Times New Roman" w:cs="Times New Roman"/>
                <w:sz w:val="20"/>
                <w:szCs w:val="20"/>
              </w:rPr>
              <w:t>Meaning</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hAnsi="Times New Roman" w:cs="Times New Roman"/>
                <w:sz w:val="20"/>
                <w:szCs w:val="20"/>
              </w:rPr>
            </w:pPr>
            <w:r w:rsidRPr="006A3AD7">
              <w:rPr>
                <w:rFonts w:ascii="Times New Roman" w:hAnsi="Times New Roman" w:cs="Times New Roman"/>
                <w:sz w:val="20"/>
                <w:szCs w:val="20"/>
              </w:rPr>
              <w:t>Onset data: Jan 11-24</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hAnsi="Times New Roman" w:cs="Times New Roman"/>
                <w:sz w:val="20"/>
                <w:szCs w:val="20"/>
              </w:rPr>
            </w:pPr>
            <w:r w:rsidRPr="006A3AD7">
              <w:rPr>
                <w:rFonts w:ascii="Times New Roman" w:hAnsi="Times New Roman" w:cs="Times New Roman"/>
                <w:sz w:val="20"/>
                <w:szCs w:val="20"/>
              </w:rPr>
              <w:t>Onset data: Jan 25-Feb 24</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m:oMathPara>
              <m:oMath>
                <m:r>
                  <w:rPr>
                    <w:rFonts w:ascii="Cambria Math" w:hAnsi="Cambria Math" w:cs="Times New Roman"/>
                    <w:sz w:val="20"/>
                    <w:szCs w:val="20"/>
                  </w:rPr>
                  <m:t>b</m:t>
                </m:r>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Transmission rate of for symptomatic cases in community</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i/>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1</m:t>
                    </m:r>
                  </m:sub>
                </m:sSub>
              </m:oMath>
            </m:oMathPara>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2</m:t>
                    </m:r>
                  </m:sub>
                </m:sSub>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small</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 xml:space="preserve">Transmission rate for symptomatic cases within small household </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small</m:t>
                    </m:r>
                  </m:sub>
                </m:sSub>
              </m:oMath>
            </m:oMathPara>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small</m:t>
                    </m:r>
                  </m:sub>
                </m:sSub>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large</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Transmission rate for symptomatic cases within large household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large</m:t>
                    </m:r>
                  </m:sub>
                </m:sSub>
              </m:oMath>
            </m:oMathPara>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
                <w:iCs/>
                <w:sz w:val="20"/>
                <w:szCs w:val="20"/>
              </w:rPr>
            </w:pPr>
            <m:oMathPara>
              <m:oMath>
                <m:sSub>
                  <m:sSubPr>
                    <m:ctrlPr>
                      <w:rPr>
                        <w:rFonts w:ascii="Cambria Math" w:hAnsi="Cambria Math" w:cs="Times New Roman"/>
                        <w:i/>
                        <w:iCs/>
                      </w:rPr>
                    </m:ctrlPr>
                  </m:sSubPr>
                  <m:e>
                    <m:r>
                      <w:rPr>
                        <w:rFonts w:ascii="Cambria Math" w:hAnsi="Cambria Math" w:cs="Times New Roman"/>
                        <w:sz w:val="20"/>
                        <w:szCs w:val="20"/>
                      </w:rPr>
                      <m:t>b</m:t>
                    </m:r>
                  </m:e>
                  <m:sub>
                    <m:r>
                      <w:rPr>
                        <w:rFonts w:ascii="Cambria Math" w:hAnsi="Cambria Math" w:cs="Times New Roman"/>
                        <w:sz w:val="20"/>
                        <w:szCs w:val="20"/>
                      </w:rPr>
                      <m:t>large</m:t>
                    </m:r>
                  </m:sub>
                </m:sSub>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
                <w:iCs/>
                <w:sz w:val="20"/>
                <w:szCs w:val="20"/>
              </w:rPr>
            </w:pPr>
            <m:oMathPara>
              <m:oMath>
                <m:sSub>
                  <m:sSubPr>
                    <m:ctrlPr>
                      <w:rPr>
                        <w:rFonts w:ascii="Cambria Math" w:eastAsia="Microsoft YaHei" w:hAnsi="Cambria Math" w:cs="Times New Roman"/>
                        <w:i/>
                        <w:sz w:val="22"/>
                        <w:szCs w:val="22"/>
                      </w:rPr>
                    </m:ctrlPr>
                  </m:sSubPr>
                  <m:e>
                    <m:r>
                      <w:rPr>
                        <w:rFonts w:ascii="Cambria Math" w:eastAsia="Microsoft YaHei" w:hAnsi="Cambria Math" w:cs="Times New Roman"/>
                      </w:rPr>
                      <m:t>p</m:t>
                    </m:r>
                  </m:e>
                  <m:sub>
                    <m:r>
                      <w:rPr>
                        <w:rFonts w:ascii="Cambria Math" w:eastAsia="Microsoft YaHei" w:hAnsi="Cambria Math" w:cs="Times New Roman"/>
                      </w:rPr>
                      <m:t>s</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Proportions of infectious cases got detected and isolated via contact tracing within small household in the second period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w:r w:rsidRPr="006A3AD7">
              <w:rPr>
                <w:rFonts w:ascii="Times New Roman" w:eastAsia="DengXian" w:hAnsi="Times New Roman" w:cs="Times New Roman"/>
                <w:iCs/>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m:oMathPara>
              <m:oMath>
                <m:sSub>
                  <m:sSubPr>
                    <m:ctrlPr>
                      <w:rPr>
                        <w:rFonts w:ascii="Cambria Math" w:eastAsia="Microsoft YaHei" w:hAnsi="Cambria Math" w:cs="Times New Roman"/>
                        <w:i/>
                        <w:sz w:val="22"/>
                        <w:szCs w:val="22"/>
                      </w:rPr>
                    </m:ctrlPr>
                  </m:sSubPr>
                  <m:e>
                    <m:r>
                      <w:rPr>
                        <w:rFonts w:ascii="Cambria Math" w:eastAsia="Microsoft YaHei" w:hAnsi="Cambria Math" w:cs="Times New Roman"/>
                      </w:rPr>
                      <m:t>p</m:t>
                    </m:r>
                  </m:e>
                  <m:sub>
                    <m:r>
                      <w:rPr>
                        <w:rFonts w:ascii="Cambria Math" w:eastAsia="Microsoft YaHei" w:hAnsi="Cambria Math" w:cs="Times New Roman"/>
                      </w:rPr>
                      <m:t>s</m:t>
                    </m:r>
                  </m:sub>
                </m:sSub>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
                <w:iCs/>
                <w:sz w:val="20"/>
                <w:szCs w:val="20"/>
              </w:rPr>
            </w:pPr>
            <m:oMathPara>
              <m:oMath>
                <m:sSub>
                  <m:sSubPr>
                    <m:ctrlPr>
                      <w:rPr>
                        <w:rFonts w:ascii="Cambria Math" w:eastAsia="Microsoft YaHei" w:hAnsi="Cambria Math" w:cs="Times New Roman"/>
                        <w:i/>
                        <w:sz w:val="22"/>
                        <w:szCs w:val="22"/>
                      </w:rPr>
                    </m:ctrlPr>
                  </m:sSubPr>
                  <m:e>
                    <m:r>
                      <w:rPr>
                        <w:rFonts w:ascii="Cambria Math" w:eastAsia="Microsoft YaHei" w:hAnsi="Cambria Math" w:cs="Times New Roman"/>
                      </w:rPr>
                      <m:t>p</m:t>
                    </m:r>
                  </m:e>
                  <m:sub>
                    <m:r>
                      <w:rPr>
                        <w:rFonts w:ascii="Cambria Math" w:eastAsia="Microsoft YaHei" w:hAnsi="Cambria Math" w:cs="Times New Roman"/>
                      </w:rPr>
                      <m:t>l</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Proportions of infectious cases got detected and isolated via contact tracing within large household in the second period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w:r w:rsidRPr="006A3AD7">
              <w:rPr>
                <w:rFonts w:ascii="Times New Roman" w:eastAsia="DengXian" w:hAnsi="Times New Roman" w:cs="Times New Roman"/>
                <w:iCs/>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iCs/>
                <w:sz w:val="20"/>
                <w:szCs w:val="20"/>
              </w:rPr>
            </w:pPr>
            <m:oMathPara>
              <m:oMath>
                <m:sSub>
                  <m:sSubPr>
                    <m:ctrlPr>
                      <w:rPr>
                        <w:rFonts w:ascii="Cambria Math" w:eastAsia="Microsoft YaHei" w:hAnsi="Cambria Math" w:cs="Times New Roman"/>
                        <w:i/>
                        <w:sz w:val="22"/>
                        <w:szCs w:val="22"/>
                      </w:rPr>
                    </m:ctrlPr>
                  </m:sSubPr>
                  <m:e>
                    <m:r>
                      <w:rPr>
                        <w:rFonts w:ascii="Cambria Math" w:eastAsia="Microsoft YaHei" w:hAnsi="Cambria Math" w:cs="Times New Roman"/>
                      </w:rPr>
                      <m:t>p</m:t>
                    </m:r>
                  </m:e>
                  <m:sub>
                    <m:r>
                      <w:rPr>
                        <w:rFonts w:ascii="Cambria Math" w:eastAsia="Microsoft YaHei" w:hAnsi="Cambria Math" w:cs="Times New Roman"/>
                      </w:rPr>
                      <m:t>l</m:t>
                    </m:r>
                  </m:sub>
                </m:sSub>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r>
                  <w:rPr>
                    <w:rFonts w:ascii="Cambria Math" w:hAnsi="Cambria Math" w:cs="Times New Roman"/>
                    <w:sz w:val="20"/>
                    <w:szCs w:val="20"/>
                  </w:rPr>
                  <m:t>ρ</m:t>
                </m:r>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Fraction of symptomatic cases or general ascertainable ratio</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m:oMathPara>
              <m:oMath>
                <m:r>
                  <w:rPr>
                    <w:rFonts w:ascii="Cambria Math" w:hAnsi="Cambria Math" w:cs="Times New Roman"/>
                    <w:sz w:val="20"/>
                    <w:szCs w:val="20"/>
                  </w:rPr>
                  <m:t>ρ</m:t>
                </m:r>
              </m:oMath>
            </m:oMathPara>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m:oMathPara>
              <m:oMath>
                <m:r>
                  <w:rPr>
                    <w:rFonts w:ascii="Cambria Math" w:hAnsi="Cambria Math" w:cs="Times New Roman"/>
                    <w:sz w:val="20"/>
                    <w:szCs w:val="20"/>
                  </w:rPr>
                  <m:t>ρ</m:t>
                </m:r>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eastAsia="DengXian" w:hAnsi="Times New Roman" w:cs="Times New Roman"/>
                <w:i/>
                <w:sz w:val="20"/>
                <w:szCs w:val="20"/>
              </w:rPr>
            </w:pPr>
            <m:oMathPara>
              <m:oMath>
                <m:r>
                  <m:rPr>
                    <m:sty m:val="p"/>
                  </m:rPr>
                  <w:rPr>
                    <w:rFonts w:ascii="Cambria Math" w:eastAsia="Microsoft YaHei" w:hAnsi="Cambria Math" w:cs="Times New Roman"/>
                  </w:rPr>
                  <m:t>Δ</m:t>
                </m:r>
                <m:r>
                  <w:rPr>
                    <w:rFonts w:ascii="Cambria Math" w:eastAsia="Microsoft YaHei" w:hAnsi="Cambria Math" w:cs="Times New Roman"/>
                  </w:rPr>
                  <m:t>ρ</m:t>
                </m:r>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Additional ascertainable ratio for infections living in a small or large household due to the extra awareness of household members</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sz w:val="20"/>
                <w:szCs w:val="20"/>
              </w:rPr>
            </w:pPr>
            <m:oMathPara>
              <m:oMath>
                <m:r>
                  <m:rPr>
                    <m:sty m:val="p"/>
                  </m:rPr>
                  <w:rPr>
                    <w:rFonts w:ascii="Cambria Math" w:eastAsia="Microsoft YaHei" w:hAnsi="Cambria Math" w:cs="Times New Roman"/>
                  </w:rPr>
                  <m:t>Δ</m:t>
                </m:r>
                <m:r>
                  <w:rPr>
                    <w:rFonts w:ascii="Cambria Math" w:eastAsia="Microsoft YaHei" w:hAnsi="Cambria Math" w:cs="Times New Roman"/>
                  </w:rPr>
                  <m:t>ρ</m:t>
                </m:r>
              </m:oMath>
            </m:oMathPara>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b/>
                <w:sz w:val="20"/>
                <w:szCs w:val="20"/>
              </w:rPr>
            </w:pPr>
            <m:oMathPara>
              <m:oMath>
                <m:r>
                  <m:rPr>
                    <m:sty m:val="p"/>
                  </m:rPr>
                  <w:rPr>
                    <w:rFonts w:ascii="Cambria Math" w:eastAsia="Microsoft YaHei" w:hAnsi="Cambria Math" w:cs="Times New Roman"/>
                  </w:rPr>
                  <m:t>Δ</m:t>
                </m:r>
                <m:r>
                  <w:rPr>
                    <w:rFonts w:ascii="Cambria Math" w:eastAsia="Microsoft YaHei" w:hAnsi="Cambria Math" w:cs="Times New Roman"/>
                  </w:rPr>
                  <m:t>ρ</m:t>
                </m:r>
              </m:oMath>
            </m:oMathPara>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r>
                  <w:rPr>
                    <w:rFonts w:ascii="Cambria Math" w:hAnsi="Cambria Math" w:cs="Times New Roman"/>
                    <w:sz w:val="20"/>
                    <w:szCs w:val="20"/>
                  </w:rPr>
                  <m:t>α</m:t>
                </m:r>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ratio of the transmission rate of presymptomatic/asymptomatic/mild cases to that of symptomatic cases</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0.55</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0.55</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sSub>
                  <m:sSubPr>
                    <m:ctrlPr>
                      <w:rPr>
                        <w:rFonts w:ascii="Cambria Math" w:hAnsi="Cambria Math" w:cs="Times New Roman"/>
                        <w:i/>
                      </w:rPr>
                    </m:ctrlPr>
                  </m:sSubPr>
                  <m:e>
                    <m:r>
                      <w:rPr>
                        <w:rFonts w:ascii="Cambria Math" w:hAnsi="Cambria Math" w:cs="Times New Roman"/>
                        <w:sz w:val="20"/>
                        <w:szCs w:val="20"/>
                      </w:rPr>
                      <m:t>D</m:t>
                    </m:r>
                  </m:e>
                  <m:sub>
                    <m:r>
                      <w:rPr>
                        <w:rFonts w:ascii="Cambria Math" w:hAnsi="Cambria Math" w:cs="Times New Roman"/>
                        <w:sz w:val="20"/>
                        <w:szCs w:val="20"/>
                      </w:rPr>
                      <m:t>e</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Latent period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bookmarkStart w:id="2" w:name="OLE_LINK67"/>
            <w:bookmarkStart w:id="3" w:name="OLE_LINK68"/>
            <w:r w:rsidRPr="006A3AD7">
              <w:rPr>
                <w:rFonts w:ascii="Times New Roman" w:hAnsi="Times New Roman" w:cs="Times New Roman"/>
                <w:sz w:val="20"/>
                <w:szCs w:val="20"/>
              </w:rPr>
              <w:t>2.9</w:t>
            </w:r>
            <w:bookmarkEnd w:id="2"/>
            <w:bookmarkEnd w:id="3"/>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2.9</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sSub>
                  <m:sSubPr>
                    <m:ctrlPr>
                      <w:rPr>
                        <w:rFonts w:ascii="Cambria Math" w:hAnsi="Cambria Math" w:cs="Times New Roman"/>
                        <w:i/>
                      </w:rPr>
                    </m:ctrlPr>
                  </m:sSubPr>
                  <m:e>
                    <m:r>
                      <w:rPr>
                        <w:rFonts w:ascii="Cambria Math" w:hAnsi="Cambria Math" w:cs="Times New Roman"/>
                        <w:sz w:val="20"/>
                        <w:szCs w:val="20"/>
                      </w:rPr>
                      <m:t>D</m:t>
                    </m:r>
                  </m:e>
                  <m:sub>
                    <m:r>
                      <w:rPr>
                        <w:rFonts w:ascii="Cambria Math" w:hAnsi="Cambria Math" w:cs="Times New Roman"/>
                        <w:sz w:val="20"/>
                        <w:szCs w:val="20"/>
                      </w:rPr>
                      <m:t>p</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Presymptomatic infectious period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2.3</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2.3</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sSub>
                  <m:sSubPr>
                    <m:ctrlPr>
                      <w:rPr>
                        <w:rFonts w:ascii="Cambria Math" w:hAnsi="Cambria Math" w:cs="Times New Roman"/>
                        <w:i/>
                      </w:rPr>
                    </m:ctrlPr>
                  </m:sSubPr>
                  <m:e>
                    <m:r>
                      <w:rPr>
                        <w:rFonts w:ascii="Cambria Math" w:hAnsi="Cambria Math" w:cs="Times New Roman"/>
                        <w:sz w:val="20"/>
                        <w:szCs w:val="20"/>
                      </w:rPr>
                      <m:t>D</m:t>
                    </m:r>
                  </m:e>
                  <m:sub>
                    <m:r>
                      <w:rPr>
                        <w:rFonts w:ascii="Cambria Math" w:hAnsi="Cambria Math" w:cs="Times New Roman"/>
                        <w:sz w:val="20"/>
                        <w:szCs w:val="20"/>
                      </w:rPr>
                      <m:t>i</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Symptomatic infectious period</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10</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sSub>
                  <m:sSubPr>
                    <m:ctrlPr>
                      <w:rPr>
                        <w:rFonts w:ascii="Cambria Math" w:hAnsi="Cambria Math" w:cs="Times New Roman"/>
                        <w:i/>
                      </w:rPr>
                    </m:ctrlPr>
                  </m:sSubPr>
                  <m:e>
                    <m:r>
                      <w:rPr>
                        <w:rFonts w:ascii="Cambria Math" w:hAnsi="Cambria Math" w:cs="Times New Roman"/>
                        <w:sz w:val="20"/>
                        <w:szCs w:val="20"/>
                      </w:rPr>
                      <m:t>D</m:t>
                    </m:r>
                  </m:e>
                  <m:sub>
                    <m:r>
                      <w:rPr>
                        <w:rFonts w:ascii="Cambria Math" w:hAnsi="Cambria Math" w:cs="Times New Roman"/>
                        <w:sz w:val="20"/>
                        <w:szCs w:val="20"/>
                      </w:rPr>
                      <m:t>q</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Duration from symptoms onset to isolation</w:t>
            </w:r>
          </w:p>
        </w:tc>
        <w:tc>
          <w:tcPr>
            <w:tcW w:w="2659" w:type="dxa"/>
            <w:gridSpan w:val="2"/>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eastAsia="Microsoft YaHei" w:hAnsi="Times New Roman" w:cs="Times New Roman"/>
              </w:rPr>
              <w:t>16, 12, 9, 7, 6, 5, 5, 4, 2</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i/>
                <w:sz w:val="20"/>
                <w:szCs w:val="20"/>
              </w:rPr>
            </w:pPr>
            <m:oMathPara>
              <m:oMath>
                <m:sSub>
                  <m:sSubPr>
                    <m:ctrlPr>
                      <w:rPr>
                        <w:rFonts w:ascii="Cambria Math" w:eastAsia="Microsoft YaHei" w:hAnsi="Cambria Math" w:cs="Times New Roman"/>
                        <w:sz w:val="22"/>
                        <w:szCs w:val="22"/>
                      </w:rPr>
                    </m:ctrlPr>
                  </m:sSubPr>
                  <m:e>
                    <m:r>
                      <w:rPr>
                        <w:rFonts w:ascii="Cambria Math" w:eastAsia="Microsoft YaHei" w:hAnsi="Cambria Math" w:cs="Times New Roman"/>
                      </w:rPr>
                      <m:t>M</m:t>
                    </m:r>
                  </m:e>
                  <m:sub>
                    <m:r>
                      <w:rPr>
                        <w:rFonts w:ascii="Cambria Math" w:eastAsia="Microsoft YaHei" w:hAnsi="Cambria Math" w:cs="Times New Roman"/>
                      </w:rPr>
                      <m:t>small</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Average sizes of small households</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2.5</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2.5</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sz w:val="20"/>
                <w:szCs w:val="20"/>
              </w:rPr>
            </w:pPr>
            <m:oMathPara>
              <m:oMath>
                <m:sSub>
                  <m:sSubPr>
                    <m:ctrlPr>
                      <w:rPr>
                        <w:rFonts w:ascii="Cambria Math" w:eastAsia="Microsoft YaHei" w:hAnsi="Cambria Math" w:cs="Times New Roman"/>
                        <w:sz w:val="22"/>
                        <w:szCs w:val="22"/>
                      </w:rPr>
                    </m:ctrlPr>
                  </m:sSubPr>
                  <m:e>
                    <m:r>
                      <w:rPr>
                        <w:rFonts w:ascii="Cambria Math" w:eastAsia="Microsoft YaHei" w:hAnsi="Cambria Math" w:cs="Times New Roman"/>
                      </w:rPr>
                      <m:t>M</m:t>
                    </m:r>
                  </m:e>
                  <m:sub>
                    <m:r>
                      <w:rPr>
                        <w:rFonts w:ascii="Cambria Math" w:eastAsia="Microsoft YaHei" w:hAnsi="Cambria Math" w:cs="Times New Roman"/>
                      </w:rPr>
                      <m:t>large</m:t>
                    </m:r>
                  </m:sub>
                </m:sSub>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Average sizes of large households</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5.1</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5.1</w:t>
            </w:r>
          </w:p>
        </w:tc>
      </w:tr>
      <w:tr w:rsidR="006E5D19" w:rsidRPr="006A3AD7" w:rsidTr="005E0B3A">
        <w:trPr>
          <w:jc w:val="center"/>
        </w:trPr>
        <w:tc>
          <w:tcPr>
            <w:tcW w:w="112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DengXian" w:hAnsi="Times New Roman" w:cs="Times New Roman"/>
                <w:sz w:val="20"/>
                <w:szCs w:val="20"/>
              </w:rPr>
            </w:pPr>
            <m:oMathPara>
              <m:oMath>
                <m:r>
                  <w:rPr>
                    <w:rFonts w:ascii="Cambria Math" w:eastAsia="DengXian" w:hAnsi="Cambria Math" w:cs="Times New Roman"/>
                    <w:sz w:val="20"/>
                    <w:szCs w:val="20"/>
                  </w:rPr>
                  <m:t>N</m:t>
                </m:r>
              </m:oMath>
            </m:oMathPara>
          </w:p>
        </w:tc>
        <w:tc>
          <w:tcPr>
            <w:tcW w:w="47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both"/>
              <w:rPr>
                <w:rFonts w:ascii="Times New Roman" w:hAnsi="Times New Roman" w:cs="Times New Roman"/>
                <w:bCs/>
                <w:sz w:val="18"/>
                <w:szCs w:val="18"/>
              </w:rPr>
            </w:pPr>
            <w:r w:rsidRPr="006A3AD7">
              <w:rPr>
                <w:rFonts w:ascii="Times New Roman" w:hAnsi="Times New Roman" w:cs="Times New Roman"/>
                <w:bCs/>
                <w:sz w:val="18"/>
                <w:szCs w:val="18"/>
              </w:rPr>
              <w:t>Population size</w:t>
            </w:r>
          </w:p>
        </w:tc>
        <w:tc>
          <w:tcPr>
            <w:tcW w:w="124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4,000,000</w:t>
            </w:r>
          </w:p>
        </w:tc>
        <w:tc>
          <w:tcPr>
            <w:tcW w:w="14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hAnsi="Times New Roman" w:cs="Times New Roman"/>
                <w:sz w:val="20"/>
                <w:szCs w:val="20"/>
              </w:rPr>
            </w:pPr>
            <w:r w:rsidRPr="006A3AD7">
              <w:rPr>
                <w:rFonts w:ascii="Times New Roman" w:hAnsi="Times New Roman" w:cs="Times New Roman"/>
                <w:sz w:val="20"/>
                <w:szCs w:val="20"/>
              </w:rPr>
              <w:t>4,000,000</w:t>
            </w:r>
          </w:p>
        </w:tc>
      </w:tr>
    </w:tbl>
    <w:p w:rsidR="006E5D19" w:rsidRPr="00BE2439" w:rsidRDefault="006E5D19" w:rsidP="006E5D19">
      <w:pPr>
        <w:spacing w:line="480" w:lineRule="auto"/>
        <w:jc w:val="center"/>
        <w:rPr>
          <w:rFonts w:ascii="Times New Roman" w:hAnsi="Times New Roman" w:cs="Times New Roman"/>
          <w:sz w:val="24"/>
          <w:szCs w:val="24"/>
        </w:rPr>
      </w:pPr>
      <w:r w:rsidRPr="00BE2439">
        <w:rPr>
          <w:rFonts w:ascii="Times New Roman" w:hAnsi="Times New Roman" w:cs="Times New Roman"/>
          <w:sz w:val="24"/>
          <w:szCs w:val="24"/>
        </w:rPr>
        <w:t xml:space="preserve">Table S1. Parameter settings for two periods. The parameters with numbers indicated in the last two columns in the table were prefixed, otherwise were to be inferred from the model. Note that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q</m:t>
            </m:r>
          </m:sub>
        </m:sSub>
      </m:oMath>
      <w:r w:rsidRPr="00BE2439">
        <w:rPr>
          <w:rFonts w:ascii="Times New Roman" w:hAnsi="Times New Roman" w:cs="Times New Roman"/>
          <w:sz w:val="24"/>
          <w:szCs w:val="24"/>
        </w:rPr>
        <w:t xml:space="preserve"> were estimated every 5 days from our data between 11 January to 24 February 2020 (onset date).</w:t>
      </w:r>
    </w:p>
    <w:p w:rsidR="006E5D19" w:rsidRPr="00BE2439" w:rsidRDefault="006E5D19" w:rsidP="006E5D19">
      <w:pPr>
        <w:pStyle w:val="a3"/>
        <w:spacing w:line="480" w:lineRule="auto"/>
        <w:ind w:left="0"/>
        <w:jc w:val="both"/>
        <w:rPr>
          <w:rFonts w:ascii="Times New Roman" w:eastAsia="Microsoft YaHei" w:hAnsi="Times New Roman" w:cs="Times New Roman"/>
          <w:sz w:val="24"/>
          <w:szCs w:val="24"/>
        </w:rPr>
      </w:pPr>
    </w:p>
    <w:p w:rsidR="006E5D19" w:rsidRPr="00BE2439" w:rsidRDefault="006E5D19" w:rsidP="006E5D19">
      <w:pPr>
        <w:spacing w:line="480" w:lineRule="auto"/>
        <w:jc w:val="both"/>
        <w:rPr>
          <w:rFonts w:ascii="Times New Roman" w:eastAsia="Microsoft YaHei" w:hAnsi="Times New Roman" w:cs="Times New Roman"/>
          <w:b/>
          <w:sz w:val="24"/>
          <w:szCs w:val="24"/>
        </w:rPr>
      </w:pPr>
      <w:r w:rsidRPr="00BE2439">
        <w:rPr>
          <w:rFonts w:ascii="Times New Roman" w:eastAsia="Microsoft YaHei" w:hAnsi="Times New Roman" w:cs="Times New Roman"/>
          <w:b/>
          <w:sz w:val="24"/>
          <w:szCs w:val="24"/>
        </w:rPr>
        <w:t>Supplement B: Sensitivity Analyses</w:t>
      </w:r>
    </w:p>
    <w:p w:rsidR="006E5D19" w:rsidRPr="00BE2439" w:rsidRDefault="006E5D19" w:rsidP="006E5D19">
      <w:pPr>
        <w:spacing w:line="480" w:lineRule="auto"/>
        <w:jc w:val="both"/>
        <w:rPr>
          <w:rFonts w:ascii="Times New Roman" w:eastAsia="Microsoft YaHei" w:hAnsi="Times New Roman" w:cs="Times New Roman"/>
          <w:sz w:val="24"/>
          <w:szCs w:val="24"/>
        </w:rPr>
      </w:pPr>
      <w:r w:rsidRPr="00BE2439">
        <w:rPr>
          <w:rFonts w:ascii="Times New Roman" w:eastAsia="Microsoft YaHei" w:hAnsi="Times New Roman" w:cs="Times New Roman"/>
          <w:sz w:val="24"/>
          <w:szCs w:val="24"/>
        </w:rPr>
        <w:t>For each of the sensitivity analyses, we fixed parameters and initial states to be the same as the ones in the subsection of Parameter settings and initial states and Table S1, except for those mentioned below.</w:t>
      </w:r>
    </w:p>
    <w:p w:rsidR="006E5D19" w:rsidRPr="00BE2439" w:rsidRDefault="006E5D19" w:rsidP="006E5D19">
      <w:pPr>
        <w:pStyle w:val="a3"/>
        <w:numPr>
          <w:ilvl w:val="0"/>
          <w:numId w:val="1"/>
        </w:numPr>
        <w:spacing w:line="480" w:lineRule="auto"/>
        <w:jc w:val="both"/>
        <w:rPr>
          <w:rFonts w:ascii="Times New Roman" w:eastAsia="Microsoft YaHei" w:hAnsi="Times New Roman" w:cs="Times New Roman"/>
          <w:sz w:val="24"/>
          <w:szCs w:val="24"/>
        </w:rPr>
      </w:pPr>
      <w:r w:rsidRPr="00BE2439">
        <w:rPr>
          <w:rFonts w:ascii="Times New Roman" w:eastAsia="Microsoft YaHei" w:hAnsi="Times New Roman" w:cs="Times New Roman"/>
          <w:sz w:val="24"/>
          <w:szCs w:val="24"/>
        </w:rPr>
        <w:t xml:space="preserve">As explained in Supplement A, </w:t>
      </w:r>
      <m:oMath>
        <m:r>
          <w:rPr>
            <w:rFonts w:ascii="Cambria Math" w:eastAsia="Microsoft YaHei" w:hAnsi="Cambria Math" w:cs="Times New Roman"/>
            <w:sz w:val="24"/>
            <w:szCs w:val="24"/>
          </w:rPr>
          <m:t>α</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oMath>
      <w:r w:rsidRPr="00BE2439">
        <w:rPr>
          <w:rFonts w:ascii="Times New Roman" w:eastAsia="Microsoft YaHei" w:hAnsi="Times New Roman" w:cs="Times New Roman"/>
          <w:sz w:val="24"/>
          <w:szCs w:val="24"/>
        </w:rPr>
        <w:t xml:space="preserve"> were prefixed and obtained from the highly cited studies</w:t>
      </w:r>
      <w:r w:rsidRPr="00BE2439">
        <w:rPr>
          <w:rFonts w:ascii="Times New Roman" w:eastAsia="Microsoft YaHei" w:hAnsi="Times New Roman" w:cs="Times New Roman"/>
          <w:sz w:val="24"/>
          <w:szCs w:val="24"/>
          <w:vertAlign w:val="superscript"/>
        </w:rPr>
        <w:t>15,18</w:t>
      </w:r>
      <w:r w:rsidRPr="00BE2439">
        <w:rPr>
          <w:rFonts w:ascii="Times New Roman" w:eastAsia="Microsoft YaHei" w:hAnsi="Times New Roman" w:cs="Times New Roman"/>
          <w:sz w:val="24"/>
          <w:szCs w:val="24"/>
        </w:rPr>
        <w:t xml:space="preserve">, however, there is still no consensus on the true value of </w:t>
      </w:r>
      <m:oMath>
        <m:r>
          <w:rPr>
            <w:rFonts w:ascii="Cambria Math" w:eastAsia="Microsoft YaHei" w:hAnsi="Cambria Math" w:cs="Times New Roman"/>
            <w:sz w:val="24"/>
            <w:szCs w:val="24"/>
          </w:rPr>
          <m:t>α</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oMath>
      <w:r w:rsidRPr="00BE2439">
        <w:rPr>
          <w:rFonts w:ascii="Times New Roman" w:eastAsia="Microsoft YaHei" w:hAnsi="Times New Roman" w:cs="Times New Roman"/>
          <w:sz w:val="24"/>
          <w:szCs w:val="24"/>
        </w:rPr>
        <w:t xml:space="preserve">. We hence conducted sensitivity analyses on </w:t>
      </w:r>
      <m:oMath>
        <m:r>
          <w:rPr>
            <w:rFonts w:ascii="Cambria Math" w:eastAsia="Microsoft YaHei" w:hAnsi="Cambria Math" w:cs="Times New Roman"/>
            <w:sz w:val="24"/>
            <w:szCs w:val="24"/>
          </w:rPr>
          <m:t>α</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oMath>
      <w:r w:rsidRPr="00BE2439">
        <w:rPr>
          <w:rFonts w:ascii="Times New Roman" w:eastAsia="Microsoft YaHei" w:hAnsi="Times New Roman" w:cs="Times New Roman"/>
          <w:sz w:val="24"/>
          <w:szCs w:val="24"/>
        </w:rPr>
        <w:t xml:space="preserve"> with </w:t>
      </w:r>
      <m:oMath>
        <m:r>
          <w:rPr>
            <w:rFonts w:ascii="Cambria Math" w:eastAsia="Microsoft YaHei" w:hAnsi="Cambria Math" w:cs="Times New Roman"/>
            <w:sz w:val="24"/>
            <w:szCs w:val="24"/>
          </w:rPr>
          <m:t>α</m:t>
        </m:r>
        <m:r>
          <m:rPr>
            <m:sty m:val="p"/>
          </m:rPr>
          <w:rPr>
            <w:rFonts w:ascii="Cambria Math" w:eastAsia="Microsoft YaHei" w:hAnsi="Cambria Math" w:cs="Times New Roman"/>
            <w:sz w:val="24"/>
            <w:szCs w:val="24"/>
          </w:rPr>
          <m:t>= 0.3, 0.4, 0.5, 0.6</m:t>
        </m:r>
      </m:oMath>
      <w:r w:rsidRPr="00BE2439">
        <w:rPr>
          <w:rFonts w:ascii="Times New Roman" w:eastAsia="Microsoft YaHei" w:hAnsi="Times New Roman" w:cs="Times New Roman"/>
          <w:sz w:val="24"/>
          <w:szCs w:val="24"/>
        </w:rPr>
        <w:t xml:space="preserve"> and </w:t>
      </w:r>
      <m:oMath>
        <m:r>
          <m:rPr>
            <m:sty m:val="p"/>
          </m:rPr>
          <w:rPr>
            <w:rFonts w:ascii="Cambria Math" w:eastAsia="Microsoft YaHei" w:hAnsi="Cambria Math" w:cs="Times New Roman"/>
            <w:sz w:val="24"/>
            <w:szCs w:val="24"/>
          </w:rPr>
          <m:t>0.7</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r>
          <m:rPr>
            <m:sty m:val="p"/>
          </m:rPr>
          <w:rPr>
            <w:rFonts w:ascii="Cambria Math" w:eastAsia="Microsoft YaHei" w:hAnsi="Cambria Math" w:cs="Times New Roman"/>
            <w:sz w:val="24"/>
            <w:szCs w:val="24"/>
          </w:rPr>
          <m:t>=2, 4</m:t>
        </m:r>
      </m:oMath>
      <w:r w:rsidRPr="00BE2439">
        <w:rPr>
          <w:rFonts w:ascii="Times New Roman" w:eastAsia="Microsoft YaHei" w:hAnsi="Times New Roman" w:cs="Times New Roman"/>
          <w:sz w:val="24"/>
          <w:szCs w:val="24"/>
        </w:rPr>
        <w:t xml:space="preserve"> and 5. These different choices of </w:t>
      </w:r>
      <m:oMath>
        <m:r>
          <w:rPr>
            <w:rFonts w:ascii="Cambria Math" w:eastAsia="Microsoft YaHei" w:hAnsi="Cambria Math" w:cs="Times New Roman"/>
            <w:sz w:val="24"/>
            <w:szCs w:val="24"/>
          </w:rPr>
          <m:t>α</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oMath>
      <w:r w:rsidRPr="00BE2439">
        <w:rPr>
          <w:rFonts w:ascii="Times New Roman" w:eastAsia="Microsoft YaHei" w:hAnsi="Times New Roman" w:cs="Times New Roman"/>
          <w:sz w:val="24"/>
          <w:szCs w:val="24"/>
        </w:rPr>
        <w:t xml:space="preserve"> were combined and formed the sensitivity analyses (S1) -- (S15), see Table S2.</w:t>
      </w:r>
    </w:p>
    <w:p w:rsidR="006E5D19" w:rsidRPr="00BE2439" w:rsidRDefault="006E5D19" w:rsidP="006E5D19">
      <w:pPr>
        <w:pStyle w:val="a3"/>
        <w:numPr>
          <w:ilvl w:val="0"/>
          <w:numId w:val="1"/>
        </w:numPr>
        <w:spacing w:line="480" w:lineRule="auto"/>
        <w:jc w:val="both"/>
        <w:rPr>
          <w:rFonts w:ascii="Times New Roman" w:eastAsia="Microsoft YaHei" w:hAnsi="Times New Roman" w:cs="Times New Roman"/>
          <w:sz w:val="24"/>
          <w:szCs w:val="24"/>
        </w:rPr>
      </w:pPr>
      <w:r w:rsidRPr="00BE2439">
        <w:rPr>
          <w:rFonts w:ascii="Times New Roman" w:eastAsia="Microsoft YaHei" w:hAnsi="Times New Roman" w:cs="Times New Roman"/>
          <w:sz w:val="24"/>
          <w:szCs w:val="24"/>
        </w:rPr>
        <w:t xml:space="preserve">To assess the robustness of the model estimates due to the different choices of the initial values of compartment, we reset the initial values of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E</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single</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single</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I</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single</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A</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small</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A</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large</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E</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small</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small</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I</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small</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E</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large</m:t>
                </m:r>
              </m:e>
            </m:d>
          </m:sub>
        </m:sSub>
      </m:oMath>
      <w:r w:rsidRPr="00BE2439">
        <w:rPr>
          <w:rFonts w:ascii="Times New Roman" w:eastAsia="Microsoft YaHei" w:hAnsi="Times New Roman" w:cs="Times New Roman"/>
          <w:sz w:val="24"/>
          <w:szCs w:val="24"/>
        </w:rPr>
        <w:t xml:space="preserve">,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large</m:t>
                </m:r>
              </m:e>
            </m:d>
          </m:sub>
        </m:sSub>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I</m:t>
            </m:r>
          </m:e>
          <m:sub>
            <m:d>
              <m:dPr>
                <m:ctrlPr>
                  <w:rPr>
                    <w:rFonts w:ascii="Cambria Math" w:eastAsia="Microsoft YaHei" w:hAnsi="Cambria Math" w:cs="Times New Roman"/>
                    <w:i/>
                    <w:sz w:val="24"/>
                    <w:szCs w:val="24"/>
                  </w:rPr>
                </m:ctrlPr>
              </m:dPr>
              <m:e>
                <m:r>
                  <w:rPr>
                    <w:rFonts w:ascii="Cambria Math" w:eastAsia="Microsoft YaHei" w:hAnsi="Cambria Math" w:cs="Times New Roman"/>
                    <w:sz w:val="24"/>
                    <w:szCs w:val="24"/>
                  </w:rPr>
                  <m:t>large</m:t>
                </m:r>
              </m:e>
            </m:d>
          </m:sub>
        </m:sSub>
      </m:oMath>
      <w:r w:rsidRPr="00BE2439">
        <w:rPr>
          <w:rFonts w:ascii="Times New Roman" w:eastAsia="Microsoft YaHei" w:hAnsi="Times New Roman" w:cs="Times New Roman"/>
          <w:sz w:val="24"/>
          <w:szCs w:val="24"/>
        </w:rPr>
        <w:t>. Note that we have explained in the subsection of Parameter settings and initial states, the initial values of the first five compartments should be small while the rest should be relatively large. We hence conducted sensitivity analyses by setting small initial values as 1, 2 and 3, while setting large initial values as 6, 9 and 12. These different choices of initial values were combined and formed the sensitivity analyses (S16) -- (S23), see Table S3.</w:t>
      </w:r>
    </w:p>
    <w:p w:rsidR="006E5D19" w:rsidRPr="00BE2439" w:rsidRDefault="006E5D19" w:rsidP="006E5D19">
      <w:pPr>
        <w:pStyle w:val="a3"/>
        <w:numPr>
          <w:ilvl w:val="0"/>
          <w:numId w:val="1"/>
        </w:numPr>
        <w:spacing w:line="480" w:lineRule="auto"/>
        <w:jc w:val="both"/>
        <w:rPr>
          <w:rFonts w:ascii="Times New Roman" w:eastAsia="Microsoft YaHei" w:hAnsi="Times New Roman" w:cs="Times New Roman"/>
          <w:sz w:val="24"/>
          <w:szCs w:val="24"/>
        </w:rPr>
      </w:pPr>
      <w:r w:rsidRPr="00BE2439">
        <w:rPr>
          <w:rFonts w:ascii="Times New Roman" w:eastAsia="Microsoft YaHei" w:hAnsi="Times New Roman" w:cs="Times New Roman"/>
          <w:sz w:val="24"/>
          <w:szCs w:val="24"/>
        </w:rPr>
        <w:t xml:space="preserve">For (S24), </w:t>
      </w:r>
      <w:bookmarkStart w:id="4" w:name="OLE_LINK400"/>
      <w:bookmarkStart w:id="5" w:name="OLE_LINK399"/>
      <w:bookmarkStart w:id="6" w:name="OLE_LINK398"/>
      <w:r w:rsidRPr="00BE2439">
        <w:rPr>
          <w:rFonts w:ascii="Times New Roman" w:eastAsia="Microsoft YaHei" w:hAnsi="Times New Roman" w:cs="Times New Roman"/>
          <w:sz w:val="24"/>
          <w:szCs w:val="24"/>
        </w:rPr>
        <w:t>all prefixed parameters and initial states were unchanged, but a new data was generated through randomly adding or subtracting the onset date by one day for all cases (except for those cases whose onset date was on the same day as the diagnosis date) to assess the effect of recall error on the robustness of the model.</w:t>
      </w:r>
    </w:p>
    <w:p w:rsidR="006E5D19" w:rsidRPr="00BE2439" w:rsidRDefault="006E5D19" w:rsidP="006E5D19">
      <w:pPr>
        <w:spacing w:line="480" w:lineRule="auto"/>
        <w:rPr>
          <w:rFonts w:ascii="Times New Roman" w:eastAsia="Microsoft YaHei" w:hAnsi="Times New Roman" w:cs="Times New Roman"/>
          <w:sz w:val="24"/>
          <w:szCs w:val="24"/>
        </w:rPr>
      </w:pPr>
      <w:bookmarkStart w:id="7" w:name="_Hlk77981805"/>
      <w:bookmarkEnd w:id="4"/>
      <w:bookmarkEnd w:id="5"/>
      <w:bookmarkEnd w:id="6"/>
      <w:r w:rsidRPr="00BE2439">
        <w:rPr>
          <w:rFonts w:ascii="Times New Roman" w:eastAsia="Microsoft YaHei" w:hAnsi="Times New Roman" w:cs="Times New Roman"/>
          <w:sz w:val="24"/>
          <w:szCs w:val="24"/>
        </w:rPr>
        <w:t xml:space="preserve">The estimates of parameters of </w:t>
      </w:r>
      <w:bookmarkStart w:id="8" w:name="_Hlk77981843"/>
      <w:r w:rsidRPr="00BE2439">
        <w:rPr>
          <w:rFonts w:ascii="Times New Roman" w:eastAsia="Microsoft YaHei" w:hAnsi="Times New Roman" w:cs="Times New Roman"/>
          <w:sz w:val="24"/>
          <w:szCs w:val="24"/>
        </w:rPr>
        <w:t xml:space="preserve">interest </w:t>
      </w:r>
      <w:bookmarkEnd w:id="7"/>
      <w:r w:rsidRPr="00BE2439">
        <w:rPr>
          <w:rFonts w:ascii="Times New Roman" w:eastAsia="Microsoft YaHei" w:hAnsi="Times New Roman" w:cs="Times New Roman"/>
          <w:sz w:val="24"/>
          <w:szCs w:val="24"/>
        </w:rPr>
        <w:t>in (S1)—(S24)</w:t>
      </w:r>
      <w:bookmarkEnd w:id="8"/>
      <w:r w:rsidRPr="00BE2439">
        <w:rPr>
          <w:rFonts w:ascii="Times New Roman" w:eastAsia="Microsoft YaHei" w:hAnsi="Times New Roman" w:cs="Times New Roman"/>
          <w:sz w:val="24"/>
          <w:szCs w:val="24"/>
        </w:rPr>
        <w:t xml:space="preserve"> were given in Table S4.</w:t>
      </w:r>
    </w:p>
    <w:p w:rsidR="006E5D19" w:rsidRPr="00BE2439" w:rsidRDefault="006E5D19" w:rsidP="006E5D19">
      <w:pPr>
        <w:spacing w:line="480" w:lineRule="auto"/>
        <w:rPr>
          <w:rFonts w:ascii="Times New Roman" w:eastAsia="Microsoft YaHei" w:hAnsi="Times New Roman" w:cs="Times New Roman"/>
          <w:bCs/>
          <w:sz w:val="24"/>
          <w:szCs w:val="24"/>
        </w:rPr>
      </w:pPr>
    </w:p>
    <w:p w:rsidR="006E5D19" w:rsidRPr="00BE2439" w:rsidRDefault="006E5D19" w:rsidP="006E5D19">
      <w:pPr>
        <w:spacing w:line="480" w:lineRule="auto"/>
        <w:jc w:val="center"/>
        <w:rPr>
          <w:rFonts w:ascii="Times New Roman" w:eastAsia="Microsoft YaHei" w:hAnsi="Times New Roman" w:cs="Times New Roman"/>
          <w:bCs/>
          <w:sz w:val="24"/>
          <w:szCs w:val="24"/>
        </w:rPr>
      </w:pPr>
      <w:r w:rsidRPr="00BE2439">
        <w:rPr>
          <w:rFonts w:ascii="Times New Roman" w:eastAsia="Microsoft YaHei" w:hAnsi="Times New Roman" w:cs="Times New Roman"/>
          <w:bCs/>
          <w:sz w:val="24"/>
          <w:szCs w:val="24"/>
        </w:rPr>
        <w:t xml:space="preserve">Table S2. Prefixed values </w:t>
      </w:r>
      <w:r w:rsidRPr="00BE2439">
        <w:rPr>
          <w:rFonts w:ascii="Times New Roman" w:eastAsia="Microsoft YaHei" w:hAnsi="Times New Roman" w:cs="Times New Roman"/>
          <w:sz w:val="24"/>
          <w:szCs w:val="24"/>
        </w:rPr>
        <w:t xml:space="preserve">of </w:t>
      </w:r>
      <m:oMath>
        <m:r>
          <w:rPr>
            <w:rFonts w:ascii="Cambria Math" w:eastAsia="Microsoft YaHei" w:hAnsi="Cambria Math" w:cs="Times New Roman"/>
            <w:sz w:val="24"/>
            <w:szCs w:val="24"/>
          </w:rPr>
          <m:t>α</m:t>
        </m:r>
      </m:oMath>
      <w:r w:rsidRPr="00BE2439">
        <w:rPr>
          <w:rFonts w:ascii="Times New Roman" w:eastAsia="Microsoft YaHei" w:hAnsi="Times New Roman" w:cs="Times New Roman"/>
          <w:sz w:val="24"/>
          <w:szCs w:val="24"/>
        </w:rPr>
        <w:t xml:space="preserve"> and </w:t>
      </w:r>
      <m:oMath>
        <m:sSub>
          <m:sSubPr>
            <m:ctrlPr>
              <w:rPr>
                <w:rFonts w:ascii="Cambria Math" w:eastAsia="Microsoft YaHei" w:hAnsi="Cambria Math" w:cs="Times New Roman"/>
                <w:sz w:val="24"/>
                <w:szCs w:val="24"/>
              </w:rPr>
            </m:ctrlPr>
          </m:sSubPr>
          <m:e>
            <m:r>
              <w:rPr>
                <w:rFonts w:ascii="Cambria Math" w:eastAsia="Microsoft YaHei" w:hAnsi="Cambria Math" w:cs="Times New Roman"/>
                <w:sz w:val="24"/>
                <w:szCs w:val="24"/>
              </w:rPr>
              <m:t>D</m:t>
            </m:r>
          </m:e>
          <m:sub>
            <m:r>
              <w:rPr>
                <w:rFonts w:ascii="Cambria Math" w:eastAsia="Microsoft YaHei" w:hAnsi="Cambria Math" w:cs="Times New Roman"/>
                <w:sz w:val="24"/>
                <w:szCs w:val="24"/>
              </w:rPr>
              <m:t>e</m:t>
            </m:r>
          </m:sub>
        </m:sSub>
      </m:oMath>
      <w:r w:rsidRPr="00BE2439">
        <w:rPr>
          <w:rFonts w:ascii="Times New Roman" w:eastAsia="Microsoft YaHei" w:hAnsi="Times New Roman" w:cs="Times New Roman"/>
          <w:sz w:val="24"/>
          <w:szCs w:val="24"/>
        </w:rPr>
        <w:t xml:space="preserve"> in the sensitivity analyses (S1)—(S15). The Main model here refers to model with the parameter setting and initial states described in the main body of the study.</w:t>
      </w:r>
    </w:p>
    <w:tbl>
      <w:tblPr>
        <w:tblStyle w:val="a4"/>
        <w:tblpPr w:leftFromText="180" w:rightFromText="180" w:vertAnchor="text" w:horzAnchor="margin" w:tblpX="-849" w:tblpY="-38"/>
        <w:tblW w:w="10515" w:type="dxa"/>
        <w:tblLayout w:type="fixed"/>
        <w:tblLook w:val="04A0" w:firstRow="1" w:lastRow="0" w:firstColumn="1" w:lastColumn="0" w:noHBand="0" w:noVBand="1"/>
      </w:tblPr>
      <w:tblGrid>
        <w:gridCol w:w="1443"/>
        <w:gridCol w:w="719"/>
        <w:gridCol w:w="474"/>
        <w:gridCol w:w="488"/>
        <w:gridCol w:w="516"/>
        <w:gridCol w:w="576"/>
        <w:gridCol w:w="576"/>
        <w:gridCol w:w="576"/>
        <w:gridCol w:w="576"/>
        <w:gridCol w:w="576"/>
        <w:gridCol w:w="576"/>
        <w:gridCol w:w="576"/>
        <w:gridCol w:w="576"/>
        <w:gridCol w:w="576"/>
        <w:gridCol w:w="576"/>
        <w:gridCol w:w="576"/>
        <w:gridCol w:w="539"/>
      </w:tblGrid>
      <w:tr w:rsidR="006E5D19" w:rsidRPr="006A3AD7" w:rsidTr="005E0B3A">
        <w:trPr>
          <w:trHeight w:val="416"/>
        </w:trPr>
        <w:tc>
          <w:tcPr>
            <w:tcW w:w="1445" w:type="dxa"/>
            <w:tcBorders>
              <w:top w:val="single" w:sz="4" w:space="0" w:color="auto"/>
              <w:left w:val="single" w:sz="4" w:space="0" w:color="auto"/>
              <w:bottom w:val="single" w:sz="4" w:space="0" w:color="auto"/>
              <w:right w:val="single" w:sz="4" w:space="0" w:color="auto"/>
              <w:tl2br w:val="single" w:sz="4" w:space="0" w:color="auto"/>
            </w:tcBorders>
            <w:hideMark/>
          </w:tcPr>
          <w:p w:rsidR="006E5D19" w:rsidRPr="006A3AD7" w:rsidRDefault="006E5D19" w:rsidP="005E0B3A">
            <w:pPr>
              <w:spacing w:line="480" w:lineRule="auto"/>
              <w:ind w:firstLineChars="350" w:firstLine="525"/>
              <w:rPr>
                <w:rFonts w:ascii="Times New Roman" w:eastAsia="Microsoft YaHei" w:hAnsi="Times New Roman" w:cs="Times New Roman"/>
                <w:b/>
                <w:sz w:val="15"/>
                <w:szCs w:val="15"/>
              </w:rPr>
            </w:pPr>
            <w:bookmarkStart w:id="9" w:name="OLE_LINK302"/>
            <w:bookmarkStart w:id="10" w:name="OLE_LINK303"/>
            <w:r w:rsidRPr="006A3AD7">
              <w:rPr>
                <w:rFonts w:ascii="Times New Roman" w:eastAsia="Microsoft YaHei" w:hAnsi="Times New Roman" w:cs="Times New Roman"/>
                <w:b/>
                <w:sz w:val="15"/>
                <w:szCs w:val="15"/>
              </w:rPr>
              <w:t>Parameter</w:t>
            </w:r>
            <w:bookmarkEnd w:id="9"/>
            <w:bookmarkEnd w:id="10"/>
          </w:p>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
                <w:sz w:val="15"/>
                <w:szCs w:val="15"/>
              </w:rPr>
              <w:t>Models</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Main</w:t>
            </w:r>
          </w:p>
        </w:tc>
        <w:tc>
          <w:tcPr>
            <w:tcW w:w="4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w:t>
            </w:r>
          </w:p>
        </w:tc>
        <w:tc>
          <w:tcPr>
            <w:tcW w:w="48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S2</w:t>
            </w:r>
          </w:p>
        </w:tc>
        <w:tc>
          <w:tcPr>
            <w:tcW w:w="51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S3</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S6</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S7</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S8</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S9</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S10</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S11</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S12</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S13</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S14</w:t>
            </w:r>
          </w:p>
        </w:tc>
        <w:tc>
          <w:tcPr>
            <w:tcW w:w="53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S15</w:t>
            </w:r>
          </w:p>
        </w:tc>
      </w:tr>
      <w:tr w:rsidR="006E5D19" w:rsidRPr="006A3AD7" w:rsidTr="005E0B3A">
        <w:trPr>
          <w:trHeight w:val="296"/>
        </w:trPr>
        <w:tc>
          <w:tcPr>
            <w:tcW w:w="144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De</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2.9</w:t>
            </w:r>
          </w:p>
        </w:tc>
        <w:tc>
          <w:tcPr>
            <w:tcW w:w="4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48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51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5</w:t>
            </w:r>
          </w:p>
        </w:tc>
        <w:tc>
          <w:tcPr>
            <w:tcW w:w="53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5</w:t>
            </w:r>
          </w:p>
        </w:tc>
      </w:tr>
      <w:tr w:rsidR="006E5D19" w:rsidRPr="006A3AD7" w:rsidTr="005E0B3A">
        <w:trPr>
          <w:trHeight w:val="366"/>
        </w:trPr>
        <w:tc>
          <w:tcPr>
            <w:tcW w:w="144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bCs/>
                <w:sz w:val="20"/>
                <w:szCs w:val="20"/>
              </w:rPr>
            </w:pPr>
            <m:oMathPara>
              <m:oMath>
                <m:r>
                  <w:rPr>
                    <w:rFonts w:ascii="Cambria Math" w:eastAsia="Microsoft YaHei" w:hAnsi="Cambria Math" w:cs="Times New Roman"/>
                    <w:sz w:val="20"/>
                    <w:szCs w:val="20"/>
                  </w:rPr>
                  <m:t>α</m:t>
                </m:r>
              </m:oMath>
            </m:oMathPara>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0.55</w:t>
            </w:r>
          </w:p>
        </w:tc>
        <w:tc>
          <w:tcPr>
            <w:tcW w:w="4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0.3</w:t>
            </w:r>
          </w:p>
        </w:tc>
        <w:tc>
          <w:tcPr>
            <w:tcW w:w="48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0.4</w:t>
            </w:r>
          </w:p>
        </w:tc>
        <w:tc>
          <w:tcPr>
            <w:tcW w:w="51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0.6</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0.7</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0.3</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0.6</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0.7</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0.3</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0.4</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0.5</w:t>
            </w:r>
          </w:p>
        </w:tc>
        <w:tc>
          <w:tcPr>
            <w:tcW w:w="576"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0.6</w:t>
            </w:r>
          </w:p>
        </w:tc>
        <w:tc>
          <w:tcPr>
            <w:tcW w:w="53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0.7</w:t>
            </w:r>
          </w:p>
        </w:tc>
      </w:tr>
    </w:tbl>
    <w:p w:rsidR="006E5D19" w:rsidRPr="00BE2439" w:rsidRDefault="006E5D19" w:rsidP="006E5D19">
      <w:pPr>
        <w:spacing w:line="480" w:lineRule="auto"/>
        <w:jc w:val="center"/>
        <w:rPr>
          <w:rFonts w:ascii="Times New Roman" w:eastAsia="Microsoft YaHei" w:hAnsi="Times New Roman" w:cs="Times New Roman"/>
          <w:bCs/>
          <w:sz w:val="24"/>
        </w:rPr>
      </w:pPr>
      <w:r w:rsidRPr="00BE2439">
        <w:rPr>
          <w:rFonts w:ascii="Times New Roman" w:eastAsia="Microsoft YaHei" w:hAnsi="Times New Roman" w:cs="Times New Roman"/>
          <w:sz w:val="24"/>
        </w:rPr>
        <w:t xml:space="preserve">Table S3. Choices of the </w:t>
      </w:r>
      <w:r w:rsidRPr="00BE2439">
        <w:rPr>
          <w:rFonts w:ascii="Times New Roman" w:eastAsia="Microsoft YaHei" w:hAnsi="Times New Roman" w:cs="Times New Roman"/>
          <w:bCs/>
          <w:sz w:val="24"/>
        </w:rPr>
        <w:t xml:space="preserve">initial states of the compartments </w:t>
      </w:r>
      <w:r w:rsidRPr="00BE2439">
        <w:rPr>
          <w:rFonts w:ascii="Times New Roman" w:eastAsia="Microsoft YaHei" w:hAnsi="Times New Roman" w:cs="Times New Roman"/>
          <w:sz w:val="24"/>
        </w:rPr>
        <w:t>in the sensitivity analyses (S16)—(S23). The Main model here refers to model with the parameter setting and initial states described in the main body of the study.</w:t>
      </w:r>
    </w:p>
    <w:tbl>
      <w:tblPr>
        <w:tblStyle w:val="a4"/>
        <w:tblpPr w:leftFromText="180" w:rightFromText="180" w:vertAnchor="text" w:horzAnchor="page" w:tblpX="2090" w:tblpY="-38"/>
        <w:tblW w:w="7680" w:type="dxa"/>
        <w:tblLayout w:type="fixed"/>
        <w:tblLook w:val="04A0" w:firstRow="1" w:lastRow="0" w:firstColumn="1" w:lastColumn="0" w:noHBand="0" w:noVBand="1"/>
      </w:tblPr>
      <w:tblGrid>
        <w:gridCol w:w="1935"/>
        <w:gridCol w:w="671"/>
        <w:gridCol w:w="615"/>
        <w:gridCol w:w="615"/>
        <w:gridCol w:w="615"/>
        <w:gridCol w:w="615"/>
        <w:gridCol w:w="615"/>
        <w:gridCol w:w="615"/>
        <w:gridCol w:w="615"/>
        <w:gridCol w:w="769"/>
      </w:tblGrid>
      <w:tr w:rsidR="006E5D19" w:rsidRPr="006A3AD7" w:rsidTr="005E0B3A">
        <w:trPr>
          <w:trHeight w:val="789"/>
        </w:trPr>
        <w:tc>
          <w:tcPr>
            <w:tcW w:w="1937" w:type="dxa"/>
            <w:tcBorders>
              <w:top w:val="single" w:sz="4" w:space="0" w:color="auto"/>
              <w:left w:val="single" w:sz="4" w:space="0" w:color="auto"/>
              <w:bottom w:val="single" w:sz="4" w:space="0" w:color="auto"/>
              <w:right w:val="single" w:sz="4" w:space="0" w:color="auto"/>
              <w:tl2br w:val="single" w:sz="4" w:space="0" w:color="auto"/>
            </w:tcBorders>
            <w:hideMark/>
          </w:tcPr>
          <w:p w:rsidR="006E5D19" w:rsidRPr="006A3AD7" w:rsidRDefault="006E5D19" w:rsidP="005E0B3A">
            <w:pPr>
              <w:spacing w:line="480" w:lineRule="auto"/>
              <w:jc w:val="right"/>
              <w:rPr>
                <w:rFonts w:ascii="Times New Roman" w:eastAsia="Microsoft YaHei" w:hAnsi="Times New Roman" w:cs="Times New Roman"/>
                <w:b/>
                <w:sz w:val="15"/>
                <w:szCs w:val="15"/>
              </w:rPr>
            </w:pPr>
            <w:bookmarkStart w:id="11" w:name="_Hlk77981364"/>
            <w:r w:rsidRPr="006A3AD7">
              <w:rPr>
                <w:rFonts w:ascii="Times New Roman" w:eastAsia="Microsoft YaHei" w:hAnsi="Times New Roman" w:cs="Times New Roman"/>
                <w:bCs/>
                <w:sz w:val="10"/>
                <w:szCs w:val="10"/>
              </w:rPr>
              <w:t xml:space="preserve">           </w:t>
            </w:r>
            <w:r w:rsidRPr="006A3AD7">
              <w:rPr>
                <w:rFonts w:ascii="Times New Roman" w:eastAsia="Microsoft YaHei" w:hAnsi="Times New Roman" w:cs="Times New Roman"/>
                <w:b/>
                <w:sz w:val="15"/>
                <w:szCs w:val="15"/>
              </w:rPr>
              <w:t>Initial state of the compartment</w:t>
            </w:r>
            <w:bookmarkEnd w:id="11"/>
          </w:p>
          <w:p w:rsidR="006E5D19" w:rsidRPr="006A3AD7" w:rsidRDefault="006E5D19" w:rsidP="005E0B3A">
            <w:pPr>
              <w:spacing w:line="480" w:lineRule="auto"/>
              <w:jc w:val="center"/>
              <w:rPr>
                <w:rFonts w:ascii="Times New Roman" w:eastAsia="Microsoft YaHei" w:hAnsi="Times New Roman" w:cs="Times New Roman"/>
                <w:b/>
                <w:sz w:val="15"/>
                <w:szCs w:val="15"/>
              </w:rPr>
            </w:pPr>
            <w:r w:rsidRPr="006A3AD7">
              <w:rPr>
                <w:rFonts w:ascii="Times New Roman" w:eastAsia="Microsoft YaHei" w:hAnsi="Times New Roman" w:cs="Times New Roman"/>
                <w:b/>
                <w:sz w:val="15"/>
                <w:szCs w:val="15"/>
              </w:rPr>
              <w:t>Model</w:t>
            </w:r>
          </w:p>
        </w:tc>
        <w:tc>
          <w:tcPr>
            <w:tcW w:w="67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Main</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S16</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S17</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S18</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S19</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S20</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S21</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S22</w:t>
            </w:r>
          </w:p>
        </w:tc>
        <w:tc>
          <w:tcPr>
            <w:tcW w:w="76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bCs/>
                <w:sz w:val="20"/>
                <w:szCs w:val="20"/>
              </w:rPr>
              <w:t>S23</w:t>
            </w:r>
          </w:p>
        </w:tc>
      </w:tr>
      <w:tr w:rsidR="006E5D19" w:rsidRPr="006A3AD7" w:rsidTr="005E0B3A">
        <w:trPr>
          <w:trHeight w:val="356"/>
        </w:trPr>
        <w:tc>
          <w:tcPr>
            <w:tcW w:w="19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E</m:t>
                  </m:r>
                </m:e>
                <m:sub>
                  <m:d>
                    <m:dPr>
                      <m:ctrlPr>
                        <w:rPr>
                          <w:rFonts w:ascii="Cambria Math" w:eastAsia="Microsoft YaHei" w:hAnsi="Cambria Math" w:cs="Times New Roman"/>
                          <w:i/>
                        </w:rPr>
                      </m:ctrlPr>
                    </m:dPr>
                    <m:e>
                      <m:r>
                        <w:rPr>
                          <w:rFonts w:ascii="Cambria Math" w:eastAsia="Microsoft YaHei" w:hAnsi="Cambria Math" w:cs="Times New Roman"/>
                          <w:sz w:val="20"/>
                          <w:szCs w:val="20"/>
                        </w:rPr>
                        <m:t>single</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P</m:t>
                  </m:r>
                </m:e>
                <m:sub>
                  <m:d>
                    <m:dPr>
                      <m:ctrlPr>
                        <w:rPr>
                          <w:rFonts w:ascii="Cambria Math" w:eastAsia="Microsoft YaHei" w:hAnsi="Cambria Math" w:cs="Times New Roman"/>
                          <w:i/>
                        </w:rPr>
                      </m:ctrlPr>
                    </m:dPr>
                    <m:e>
                      <m:r>
                        <w:rPr>
                          <w:rFonts w:ascii="Cambria Math" w:eastAsia="Microsoft YaHei" w:hAnsi="Cambria Math" w:cs="Times New Roman"/>
                          <w:sz w:val="20"/>
                          <w:szCs w:val="20"/>
                        </w:rPr>
                        <m:t>single</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I</m:t>
                  </m:r>
                </m:e>
                <m:sub>
                  <m:d>
                    <m:dPr>
                      <m:ctrlPr>
                        <w:rPr>
                          <w:rFonts w:ascii="Cambria Math" w:eastAsia="Microsoft YaHei" w:hAnsi="Cambria Math" w:cs="Times New Roman"/>
                          <w:i/>
                        </w:rPr>
                      </m:ctrlPr>
                    </m:dPr>
                    <m:e>
                      <m:r>
                        <w:rPr>
                          <w:rFonts w:ascii="Cambria Math" w:eastAsia="Microsoft YaHei" w:hAnsi="Cambria Math" w:cs="Times New Roman"/>
                          <w:sz w:val="20"/>
                          <w:szCs w:val="20"/>
                        </w:rPr>
                        <m:t>single</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A</m:t>
                  </m:r>
                </m:e>
                <m:sub>
                  <m:d>
                    <m:dPr>
                      <m:ctrlPr>
                        <w:rPr>
                          <w:rFonts w:ascii="Cambria Math" w:eastAsia="Microsoft YaHei" w:hAnsi="Cambria Math" w:cs="Times New Roman"/>
                          <w:i/>
                        </w:rPr>
                      </m:ctrlPr>
                    </m:dPr>
                    <m:e>
                      <m:r>
                        <w:rPr>
                          <w:rFonts w:ascii="Cambria Math" w:eastAsia="Microsoft YaHei" w:hAnsi="Cambria Math" w:cs="Times New Roman"/>
                          <w:sz w:val="20"/>
                          <w:szCs w:val="20"/>
                        </w:rPr>
                        <m:t>small</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A</m:t>
                  </m:r>
                </m:e>
                <m:sub>
                  <m:d>
                    <m:dPr>
                      <m:ctrlPr>
                        <w:rPr>
                          <w:rFonts w:ascii="Cambria Math" w:eastAsia="Microsoft YaHei" w:hAnsi="Cambria Math" w:cs="Times New Roman"/>
                          <w:i/>
                        </w:rPr>
                      </m:ctrlPr>
                    </m:dPr>
                    <m:e>
                      <m:r>
                        <w:rPr>
                          <w:rFonts w:ascii="Cambria Math" w:eastAsia="Microsoft YaHei" w:hAnsi="Cambria Math" w:cs="Times New Roman"/>
                          <w:sz w:val="20"/>
                          <w:szCs w:val="20"/>
                        </w:rPr>
                        <m:t>large</m:t>
                      </m:r>
                    </m:e>
                  </m:d>
                </m:sub>
              </m:sSub>
            </m:oMath>
          </w:p>
        </w:tc>
        <w:tc>
          <w:tcPr>
            <w:tcW w:w="67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3</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3</w:t>
            </w:r>
          </w:p>
        </w:tc>
        <w:tc>
          <w:tcPr>
            <w:tcW w:w="76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3</w:t>
            </w:r>
          </w:p>
        </w:tc>
      </w:tr>
      <w:tr w:rsidR="006E5D19" w:rsidRPr="006A3AD7" w:rsidTr="005E0B3A">
        <w:trPr>
          <w:trHeight w:val="1207"/>
        </w:trPr>
        <w:tc>
          <w:tcPr>
            <w:tcW w:w="19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20"/>
                <w:szCs w:val="20"/>
              </w:rPr>
            </w:pPr>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E</m:t>
                  </m:r>
                </m:e>
                <m:sub>
                  <m:d>
                    <m:dPr>
                      <m:ctrlPr>
                        <w:rPr>
                          <w:rFonts w:ascii="Cambria Math" w:eastAsia="Microsoft YaHei" w:hAnsi="Cambria Math" w:cs="Times New Roman"/>
                          <w:i/>
                        </w:rPr>
                      </m:ctrlPr>
                    </m:dPr>
                    <m:e>
                      <m:r>
                        <w:rPr>
                          <w:rFonts w:ascii="Cambria Math" w:eastAsia="Microsoft YaHei" w:hAnsi="Cambria Math" w:cs="Times New Roman"/>
                          <w:sz w:val="20"/>
                          <w:szCs w:val="20"/>
                        </w:rPr>
                        <m:t>small</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P</m:t>
                  </m:r>
                </m:e>
                <m:sub>
                  <m:d>
                    <m:dPr>
                      <m:ctrlPr>
                        <w:rPr>
                          <w:rFonts w:ascii="Cambria Math" w:eastAsia="Microsoft YaHei" w:hAnsi="Cambria Math" w:cs="Times New Roman"/>
                          <w:i/>
                        </w:rPr>
                      </m:ctrlPr>
                    </m:dPr>
                    <m:e>
                      <m:r>
                        <w:rPr>
                          <w:rFonts w:ascii="Cambria Math" w:eastAsia="Microsoft YaHei" w:hAnsi="Cambria Math" w:cs="Times New Roman"/>
                          <w:sz w:val="20"/>
                          <w:szCs w:val="20"/>
                        </w:rPr>
                        <m:t>small</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I</m:t>
                  </m:r>
                </m:e>
                <m:sub>
                  <m:d>
                    <m:dPr>
                      <m:ctrlPr>
                        <w:rPr>
                          <w:rFonts w:ascii="Cambria Math" w:eastAsia="Microsoft YaHei" w:hAnsi="Cambria Math" w:cs="Times New Roman"/>
                          <w:i/>
                        </w:rPr>
                      </m:ctrlPr>
                    </m:dPr>
                    <m:e>
                      <m:r>
                        <w:rPr>
                          <w:rFonts w:ascii="Cambria Math" w:eastAsia="Microsoft YaHei" w:hAnsi="Cambria Math" w:cs="Times New Roman"/>
                          <w:sz w:val="20"/>
                          <w:szCs w:val="20"/>
                        </w:rPr>
                        <m:t>small</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E</m:t>
                  </m:r>
                </m:e>
                <m:sub>
                  <m:d>
                    <m:dPr>
                      <m:ctrlPr>
                        <w:rPr>
                          <w:rFonts w:ascii="Cambria Math" w:eastAsia="Microsoft YaHei" w:hAnsi="Cambria Math" w:cs="Times New Roman"/>
                          <w:i/>
                        </w:rPr>
                      </m:ctrlPr>
                    </m:dPr>
                    <m:e>
                      <m:r>
                        <w:rPr>
                          <w:rFonts w:ascii="Cambria Math" w:eastAsia="Microsoft YaHei" w:hAnsi="Cambria Math" w:cs="Times New Roman"/>
                          <w:sz w:val="20"/>
                          <w:szCs w:val="20"/>
                        </w:rPr>
                        <m:t>large</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P</m:t>
                  </m:r>
                </m:e>
                <m:sub>
                  <m:d>
                    <m:dPr>
                      <m:ctrlPr>
                        <w:rPr>
                          <w:rFonts w:ascii="Cambria Math" w:eastAsia="Microsoft YaHei" w:hAnsi="Cambria Math" w:cs="Times New Roman"/>
                          <w:i/>
                        </w:rPr>
                      </m:ctrlPr>
                    </m:dPr>
                    <m:e>
                      <m:r>
                        <w:rPr>
                          <w:rFonts w:ascii="Cambria Math" w:eastAsia="Microsoft YaHei" w:hAnsi="Cambria Math" w:cs="Times New Roman"/>
                          <w:sz w:val="20"/>
                          <w:szCs w:val="20"/>
                        </w:rPr>
                        <m:t>large</m:t>
                      </m:r>
                    </m:e>
                  </m:d>
                </m:sub>
              </m:sSub>
            </m:oMath>
            <w:r w:rsidRPr="006A3AD7">
              <w:rPr>
                <w:rFonts w:ascii="Times New Roman" w:eastAsia="Microsoft YaHei" w:hAnsi="Times New Roman" w:cs="Times New Roman"/>
                <w:sz w:val="20"/>
                <w:szCs w:val="20"/>
              </w:rPr>
              <w:t xml:space="preserve">, </w:t>
            </w:r>
            <m:oMath>
              <m:sSub>
                <m:sSubPr>
                  <m:ctrlPr>
                    <w:rPr>
                      <w:rFonts w:ascii="Cambria Math" w:eastAsia="Microsoft YaHei" w:hAnsi="Cambria Math" w:cs="Times New Roman"/>
                      <w:i/>
                    </w:rPr>
                  </m:ctrlPr>
                </m:sSubPr>
                <m:e>
                  <m:r>
                    <w:rPr>
                      <w:rFonts w:ascii="Cambria Math" w:eastAsia="Microsoft YaHei" w:hAnsi="Cambria Math" w:cs="Times New Roman"/>
                      <w:sz w:val="20"/>
                      <w:szCs w:val="20"/>
                    </w:rPr>
                    <m:t>I</m:t>
                  </m:r>
                </m:e>
                <m:sub>
                  <m:d>
                    <m:dPr>
                      <m:ctrlPr>
                        <w:rPr>
                          <w:rFonts w:ascii="Cambria Math" w:eastAsia="Microsoft YaHei" w:hAnsi="Cambria Math" w:cs="Times New Roman"/>
                          <w:i/>
                        </w:rPr>
                      </m:ctrlPr>
                    </m:dPr>
                    <m:e>
                      <m:r>
                        <w:rPr>
                          <w:rFonts w:ascii="Cambria Math" w:eastAsia="Microsoft YaHei" w:hAnsi="Cambria Math" w:cs="Times New Roman"/>
                          <w:sz w:val="20"/>
                          <w:szCs w:val="20"/>
                        </w:rPr>
                        <m:t>large</m:t>
                      </m:r>
                    </m:e>
                  </m:d>
                </m:sub>
              </m:sSub>
            </m:oMath>
            <w:r w:rsidRPr="006A3AD7">
              <w:rPr>
                <w:rFonts w:ascii="Times New Roman" w:eastAsia="Microsoft YaHei" w:hAnsi="Times New Roman" w:cs="Times New Roman"/>
                <w:sz w:val="20"/>
                <w:szCs w:val="20"/>
              </w:rPr>
              <w:t xml:space="preserve"> </w:t>
            </w:r>
          </w:p>
        </w:tc>
        <w:tc>
          <w:tcPr>
            <w:tcW w:w="67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6</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12</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6</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12</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6</w:t>
            </w:r>
          </w:p>
        </w:tc>
        <w:tc>
          <w:tcPr>
            <w:tcW w:w="61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9</w:t>
            </w:r>
          </w:p>
        </w:tc>
        <w:tc>
          <w:tcPr>
            <w:tcW w:w="769"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20"/>
                <w:szCs w:val="20"/>
              </w:rPr>
            </w:pPr>
            <w:r w:rsidRPr="006A3AD7">
              <w:rPr>
                <w:rFonts w:ascii="Times New Roman" w:eastAsia="Microsoft YaHei" w:hAnsi="Times New Roman" w:cs="Times New Roman"/>
                <w:sz w:val="20"/>
                <w:szCs w:val="20"/>
              </w:rPr>
              <w:t>12</w:t>
            </w:r>
          </w:p>
        </w:tc>
      </w:tr>
    </w:tbl>
    <w:p w:rsidR="006E5D19" w:rsidRPr="006A3AD7"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rPr>
          <w:rFonts w:ascii="Times New Roman" w:eastAsia="Microsoft YaHei" w:hAnsi="Times New Roman" w:cs="Times New Roman"/>
        </w:rPr>
      </w:pPr>
    </w:p>
    <w:p w:rsidR="006E5D19" w:rsidRDefault="006E5D19" w:rsidP="006E5D19">
      <w:pPr>
        <w:spacing w:line="480" w:lineRule="auto"/>
        <w:rPr>
          <w:rFonts w:ascii="Times New Roman" w:eastAsia="Microsoft YaHei" w:hAnsi="Times New Roman" w:cs="Times New Roman"/>
        </w:rPr>
      </w:pPr>
    </w:p>
    <w:p w:rsidR="006E5D19" w:rsidRPr="006A3AD7" w:rsidRDefault="006E5D19" w:rsidP="006E5D19">
      <w:pPr>
        <w:spacing w:line="480" w:lineRule="auto"/>
        <w:jc w:val="center"/>
        <w:rPr>
          <w:rFonts w:ascii="Times New Roman" w:eastAsia="Microsoft YaHei" w:hAnsi="Times New Roman" w:cs="Times New Roman"/>
        </w:rPr>
      </w:pPr>
    </w:p>
    <w:p w:rsidR="006E5D19" w:rsidRPr="00BE2439" w:rsidRDefault="006E5D19" w:rsidP="006E5D19">
      <w:pPr>
        <w:spacing w:line="480" w:lineRule="auto"/>
        <w:jc w:val="center"/>
        <w:rPr>
          <w:rFonts w:ascii="Times New Roman" w:eastAsia="Microsoft YaHei" w:hAnsi="Times New Roman" w:cs="Times New Roman"/>
          <w:b/>
          <w:bCs/>
          <w:sz w:val="24"/>
        </w:rPr>
      </w:pPr>
      <w:r w:rsidRPr="00BE2439">
        <w:rPr>
          <w:rFonts w:ascii="Times New Roman" w:eastAsia="Microsoft YaHei" w:hAnsi="Times New Roman" w:cs="Times New Roman"/>
          <w:sz w:val="24"/>
        </w:rPr>
        <w:t>Table S4.</w:t>
      </w:r>
      <w:r w:rsidRPr="00BE2439">
        <w:rPr>
          <w:rFonts w:ascii="Times New Roman" w:hAnsi="Times New Roman" w:cs="Times New Roman"/>
          <w:sz w:val="24"/>
        </w:rPr>
        <w:t xml:space="preserve"> The estimates of parameters of interest in the main model as well as (S1)—(S24)</w:t>
      </w:r>
      <w:r w:rsidRPr="00BE2439">
        <w:rPr>
          <w:rFonts w:ascii="Times New Roman" w:eastAsia="Microsoft YaHei" w:hAnsi="Times New Roman" w:cs="Times New Roman"/>
          <w:sz w:val="24"/>
        </w:rPr>
        <w:t xml:space="preserve">. Here </w:t>
      </w:r>
      <m:oMath>
        <m:sSub>
          <m:sSubPr>
            <m:ctrlPr>
              <w:rPr>
                <w:rFonts w:ascii="Cambria Math" w:eastAsia="Microsoft YaHei" w:hAnsi="Cambria Math" w:cs="Times New Roman"/>
                <w:i/>
                <w:sz w:val="24"/>
              </w:rPr>
            </m:ctrlPr>
          </m:sSubPr>
          <m:e>
            <m:r>
              <w:rPr>
                <w:rFonts w:ascii="Cambria Math" w:eastAsia="Microsoft YaHei" w:hAnsi="Cambria Math" w:cs="Times New Roman"/>
                <w:sz w:val="24"/>
              </w:rPr>
              <m:t>C</m:t>
            </m:r>
          </m:e>
          <m:sub>
            <m:r>
              <w:rPr>
                <w:rFonts w:ascii="Cambria Math" w:eastAsia="Microsoft YaHei" w:hAnsi="Cambria Math" w:cs="Times New Roman"/>
                <w:sz w:val="24"/>
              </w:rPr>
              <m:t>1</m:t>
            </m:r>
          </m:sub>
        </m:sSub>
      </m:oMath>
      <w:r w:rsidRPr="00BE2439">
        <w:rPr>
          <w:rFonts w:ascii="Times New Roman" w:eastAsia="Microsoft YaHei" w:hAnsi="Times New Roman" w:cs="Times New Roman"/>
          <w:sz w:val="24"/>
        </w:rPr>
        <w:t xml:space="preserve"> and </w:t>
      </w:r>
      <m:oMath>
        <m:sSub>
          <m:sSubPr>
            <m:ctrlPr>
              <w:rPr>
                <w:rFonts w:ascii="Cambria Math" w:eastAsia="Microsoft YaHei" w:hAnsi="Cambria Math" w:cs="Times New Roman"/>
                <w:i/>
                <w:sz w:val="24"/>
              </w:rPr>
            </m:ctrlPr>
          </m:sSubPr>
          <m:e>
            <m:r>
              <w:rPr>
                <w:rFonts w:ascii="Cambria Math" w:eastAsia="Microsoft YaHei" w:hAnsi="Cambria Math" w:cs="Times New Roman"/>
                <w:sz w:val="24"/>
              </w:rPr>
              <m:t>C</m:t>
            </m:r>
          </m:e>
          <m:sub>
            <m:r>
              <w:rPr>
                <w:rFonts w:ascii="Cambria Math" w:eastAsia="Microsoft YaHei" w:hAnsi="Cambria Math" w:cs="Times New Roman"/>
                <w:sz w:val="24"/>
              </w:rPr>
              <m:t>2</m:t>
            </m:r>
          </m:sub>
        </m:sSub>
      </m:oMath>
      <w:r w:rsidRPr="00BE2439">
        <w:rPr>
          <w:rFonts w:ascii="Times New Roman" w:eastAsia="Microsoft YaHei" w:hAnsi="Times New Roman" w:cs="Times New Roman"/>
          <w:sz w:val="24"/>
        </w:rPr>
        <w:t xml:space="preserve"> stands for the contribution of household transmission to the pandemic in the first and second period respectively.</w:t>
      </w:r>
    </w:p>
    <w:tbl>
      <w:tblPr>
        <w:tblStyle w:val="a4"/>
        <w:tblpPr w:leftFromText="180" w:rightFromText="180" w:vertAnchor="text" w:horzAnchor="margin" w:tblpXSpec="center" w:tblpY="158"/>
        <w:tblW w:w="10995" w:type="dxa"/>
        <w:tblLayout w:type="fixed"/>
        <w:tblLook w:val="04A0" w:firstRow="1" w:lastRow="0" w:firstColumn="1" w:lastColumn="0" w:noHBand="0" w:noVBand="1"/>
      </w:tblPr>
      <w:tblGrid>
        <w:gridCol w:w="1074"/>
        <w:gridCol w:w="539"/>
        <w:gridCol w:w="540"/>
        <w:gridCol w:w="540"/>
        <w:gridCol w:w="540"/>
        <w:gridCol w:w="720"/>
        <w:gridCol w:w="900"/>
        <w:gridCol w:w="1080"/>
        <w:gridCol w:w="1080"/>
        <w:gridCol w:w="918"/>
        <w:gridCol w:w="1242"/>
        <w:gridCol w:w="1044"/>
        <w:gridCol w:w="778"/>
      </w:tblGrid>
      <w:tr w:rsidR="006E5D19" w:rsidRPr="006A3AD7" w:rsidTr="005E0B3A">
        <w:trPr>
          <w:trHeight w:val="530"/>
        </w:trPr>
        <w:tc>
          <w:tcPr>
            <w:tcW w:w="1075" w:type="dxa"/>
            <w:tcBorders>
              <w:top w:val="single" w:sz="4" w:space="0" w:color="auto"/>
              <w:left w:val="single" w:sz="4" w:space="0" w:color="auto"/>
              <w:bottom w:val="single" w:sz="4" w:space="0" w:color="auto"/>
              <w:right w:val="single" w:sz="4" w:space="0" w:color="auto"/>
              <w:tl2br w:val="single" w:sz="4" w:space="0" w:color="auto"/>
            </w:tcBorders>
          </w:tcPr>
          <w:p w:rsidR="006E5D19" w:rsidRPr="006A3AD7" w:rsidRDefault="006E5D19" w:rsidP="005E0B3A">
            <w:pPr>
              <w:spacing w:line="480" w:lineRule="auto"/>
              <w:ind w:firstLineChars="200" w:firstLine="260"/>
              <w:jc w:val="both"/>
              <w:rPr>
                <w:rFonts w:ascii="Times New Roman" w:eastAsia="Microsoft YaHei" w:hAnsi="Times New Roman" w:cs="Times New Roman"/>
                <w:b/>
                <w:sz w:val="13"/>
                <w:szCs w:val="13"/>
              </w:rPr>
            </w:pPr>
            <w:r w:rsidRPr="006A3AD7">
              <w:rPr>
                <w:rFonts w:ascii="Times New Roman" w:eastAsia="Microsoft YaHei" w:hAnsi="Times New Roman" w:cs="Times New Roman"/>
                <w:b/>
                <w:sz w:val="13"/>
                <w:szCs w:val="13"/>
              </w:rPr>
              <w:t>Parameter</w:t>
            </w:r>
          </w:p>
          <w:p w:rsidR="006E5D19" w:rsidRPr="006A3AD7" w:rsidRDefault="006E5D19" w:rsidP="005E0B3A">
            <w:pPr>
              <w:spacing w:line="480" w:lineRule="auto"/>
              <w:rPr>
                <w:rFonts w:ascii="Times New Roman" w:eastAsia="Microsoft YaHei" w:hAnsi="Times New Roman" w:cs="Times New Roman"/>
                <w:b/>
                <w:sz w:val="13"/>
                <w:szCs w:val="13"/>
              </w:rPr>
            </w:pPr>
          </w:p>
          <w:p w:rsidR="006E5D19" w:rsidRPr="006A3AD7" w:rsidRDefault="006E5D19" w:rsidP="005E0B3A">
            <w:pPr>
              <w:spacing w:line="480" w:lineRule="auto"/>
              <w:rPr>
                <w:rFonts w:ascii="Times New Roman" w:eastAsia="Microsoft YaHei" w:hAnsi="Times New Roman" w:cs="Times New Roman"/>
                <w:b/>
                <w:sz w:val="13"/>
                <w:szCs w:val="13"/>
              </w:rPr>
            </w:pPr>
            <w:r w:rsidRPr="006A3AD7">
              <w:rPr>
                <w:rFonts w:ascii="Times New Roman" w:eastAsia="Microsoft YaHei" w:hAnsi="Times New Roman" w:cs="Times New Roman"/>
                <w:b/>
                <w:sz w:val="13"/>
                <w:szCs w:val="13"/>
              </w:rPr>
              <w:t>Model</w:t>
            </w:r>
          </w:p>
          <w:p w:rsidR="006E5D19" w:rsidRPr="006A3AD7" w:rsidRDefault="006E5D19" w:rsidP="005E0B3A">
            <w:pPr>
              <w:spacing w:line="480" w:lineRule="auto"/>
              <w:rPr>
                <w:rFonts w:ascii="Times New Roman" w:eastAsia="Microsoft YaHei" w:hAnsi="Times New Roman" w:cs="Times New Roman"/>
                <w:b/>
                <w:sz w:val="13"/>
                <w:szCs w:val="13"/>
              </w:rPr>
            </w:pP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m:oMathPara>
              <m:oMath>
                <m:sSub>
                  <m:sSubPr>
                    <m:ctrlPr>
                      <w:rPr>
                        <w:rFonts w:ascii="Cambria Math" w:eastAsia="Microsoft YaHei" w:hAnsi="Cambria Math" w:cs="Times New Roman"/>
                        <w:bCs/>
                        <w:i/>
                        <w:sz w:val="14"/>
                        <w:szCs w:val="14"/>
                      </w:rPr>
                    </m:ctrlPr>
                  </m:sSubPr>
                  <m:e>
                    <m:r>
                      <w:rPr>
                        <w:rFonts w:ascii="Cambria Math" w:eastAsia="Microsoft YaHei" w:hAnsi="Cambria Math" w:cs="Times New Roman"/>
                        <w:sz w:val="14"/>
                        <w:szCs w:val="14"/>
                      </w:rPr>
                      <m:t>b</m:t>
                    </m:r>
                  </m:e>
                  <m:sub>
                    <m:r>
                      <w:rPr>
                        <w:rFonts w:ascii="Cambria Math" w:eastAsia="Microsoft YaHei" w:hAnsi="Cambria Math" w:cs="Times New Roman"/>
                        <w:sz w:val="14"/>
                        <w:szCs w:val="14"/>
                      </w:rPr>
                      <m:t>1</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m:oMathPara>
              <m:oMath>
                <m:sSub>
                  <m:sSubPr>
                    <m:ctrlPr>
                      <w:rPr>
                        <w:rFonts w:ascii="Cambria Math" w:eastAsia="Microsoft YaHei" w:hAnsi="Cambria Math" w:cs="Times New Roman"/>
                        <w:bCs/>
                        <w:i/>
                        <w:sz w:val="14"/>
                        <w:szCs w:val="14"/>
                      </w:rPr>
                    </m:ctrlPr>
                  </m:sSubPr>
                  <m:e>
                    <m:r>
                      <w:rPr>
                        <w:rFonts w:ascii="Cambria Math" w:eastAsia="Microsoft YaHei" w:hAnsi="Cambria Math" w:cs="Times New Roman"/>
                        <w:sz w:val="14"/>
                        <w:szCs w:val="14"/>
                      </w:rPr>
                      <m:t>b</m:t>
                    </m:r>
                  </m:e>
                  <m:sub>
                    <m:r>
                      <w:rPr>
                        <w:rFonts w:ascii="Cambria Math" w:eastAsia="Microsoft YaHei" w:hAnsi="Cambria Math" w:cs="Times New Roman"/>
                        <w:sz w:val="14"/>
                        <w:szCs w:val="14"/>
                      </w:rPr>
                      <m:t>2</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m:oMathPara>
              <m:oMath>
                <m:r>
                  <w:rPr>
                    <w:rFonts w:ascii="Cambria Math" w:eastAsia="Microsoft YaHei" w:hAnsi="Cambria Math" w:cs="Times New Roman"/>
                    <w:sz w:val="14"/>
                    <w:szCs w:val="14"/>
                  </w:rPr>
                  <m:t>ρ</m:t>
                </m:r>
              </m:oMath>
            </m:oMathPara>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i/>
                <w:sz w:val="14"/>
                <w:szCs w:val="14"/>
              </w:rPr>
            </w:pPr>
            <m:oMathPara>
              <m:oMath>
                <m:sSub>
                  <m:sSubPr>
                    <m:ctrlPr>
                      <w:rPr>
                        <w:rFonts w:ascii="Cambria Math" w:eastAsia="Microsoft YaHei" w:hAnsi="Cambria Math" w:cs="Times New Roman"/>
                        <w:bCs/>
                        <w:i/>
                        <w:sz w:val="14"/>
                        <w:szCs w:val="14"/>
                      </w:rPr>
                    </m:ctrlPr>
                  </m:sSubPr>
                  <m:e>
                    <m:r>
                      <w:rPr>
                        <w:rFonts w:ascii="Cambria Math" w:eastAsia="Microsoft YaHei" w:hAnsi="Cambria Math" w:cs="Times New Roman"/>
                        <w:sz w:val="14"/>
                        <w:szCs w:val="14"/>
                      </w:rPr>
                      <m:t>ρ</m:t>
                    </m:r>
                  </m:e>
                  <m:sub>
                    <m:r>
                      <w:rPr>
                        <w:rFonts w:ascii="Cambria Math" w:eastAsia="Microsoft YaHei" w:hAnsi="Cambria Math" w:cs="Times New Roman"/>
                        <w:sz w:val="14"/>
                        <w:szCs w:val="14"/>
                      </w:rPr>
                      <m:t>h</m:t>
                    </m:r>
                  </m:sub>
                </m:sSub>
              </m:oMath>
            </m:oMathPara>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m:oMathPara>
              <m:oMath>
                <m:sSub>
                  <m:sSubPr>
                    <m:ctrlPr>
                      <w:rPr>
                        <w:rFonts w:ascii="Cambria Math" w:eastAsia="Microsoft YaHei" w:hAnsi="Cambria Math" w:cs="Times New Roman"/>
                        <w:bCs/>
                        <w:i/>
                        <w:sz w:val="14"/>
                        <w:szCs w:val="14"/>
                      </w:rPr>
                    </m:ctrlPr>
                  </m:sSubPr>
                  <m:e>
                    <m:r>
                      <w:rPr>
                        <w:rFonts w:ascii="Cambria Math" w:eastAsia="Microsoft YaHei" w:hAnsi="Cambria Math" w:cs="Times New Roman"/>
                        <w:sz w:val="14"/>
                        <w:szCs w:val="14"/>
                      </w:rPr>
                      <m:t>b</m:t>
                    </m:r>
                  </m:e>
                  <m:sub>
                    <m:r>
                      <w:rPr>
                        <w:rFonts w:ascii="Cambria Math" w:eastAsia="Microsoft YaHei" w:hAnsi="Cambria Math" w:cs="Times New Roman"/>
                        <w:sz w:val="14"/>
                        <w:szCs w:val="14"/>
                      </w:rPr>
                      <m:t>small</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m:oMathPara>
              <m:oMath>
                <m:sSub>
                  <m:sSubPr>
                    <m:ctrlPr>
                      <w:rPr>
                        <w:rFonts w:ascii="Cambria Math" w:eastAsia="Microsoft YaHei" w:hAnsi="Cambria Math" w:cs="Times New Roman"/>
                        <w:i/>
                        <w:sz w:val="14"/>
                        <w:szCs w:val="14"/>
                      </w:rPr>
                    </m:ctrlPr>
                  </m:sSubPr>
                  <m:e>
                    <m:r>
                      <w:rPr>
                        <w:rFonts w:ascii="Cambria Math" w:eastAsia="Microsoft YaHei" w:hAnsi="Cambria Math" w:cs="Times New Roman"/>
                        <w:sz w:val="14"/>
                        <w:szCs w:val="14"/>
                      </w:rPr>
                      <m:t>p</m:t>
                    </m:r>
                  </m:e>
                  <m:sub>
                    <m:r>
                      <w:rPr>
                        <w:rFonts w:ascii="Cambria Math" w:eastAsia="Microsoft YaHei" w:hAnsi="Cambria Math" w:cs="Times New Roman"/>
                        <w:sz w:val="14"/>
                        <w:szCs w:val="14"/>
                      </w:rPr>
                      <m:t>s</m:t>
                    </m:r>
                  </m:sub>
                </m:sSub>
              </m:oMath>
            </m:oMathPara>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m:oMathPara>
              <m:oMath>
                <m:sSub>
                  <m:sSubPr>
                    <m:ctrlPr>
                      <w:rPr>
                        <w:rFonts w:ascii="Cambria Math" w:eastAsia="Microsoft YaHei" w:hAnsi="Cambria Math" w:cs="Times New Roman"/>
                        <w:bCs/>
                        <w:i/>
                        <w:sz w:val="14"/>
                        <w:szCs w:val="14"/>
                      </w:rPr>
                    </m:ctrlPr>
                  </m:sSubPr>
                  <m:e>
                    <m:r>
                      <w:rPr>
                        <w:rFonts w:ascii="Cambria Math" w:eastAsia="Microsoft YaHei" w:hAnsi="Cambria Math" w:cs="Times New Roman"/>
                        <w:sz w:val="14"/>
                        <w:szCs w:val="14"/>
                      </w:rPr>
                      <m:t>b</m:t>
                    </m:r>
                  </m:e>
                  <m:sub>
                    <m:r>
                      <w:rPr>
                        <w:rFonts w:ascii="Cambria Math" w:eastAsia="Microsoft YaHei" w:hAnsi="Cambria Math" w:cs="Times New Roman"/>
                        <w:sz w:val="14"/>
                        <w:szCs w:val="14"/>
                      </w:rPr>
                      <m:t>large</m:t>
                    </m:r>
                  </m:sub>
                </m:sSub>
              </m:oMath>
            </m:oMathPara>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m:oMathPara>
              <m:oMath>
                <m:sSub>
                  <m:sSubPr>
                    <m:ctrlPr>
                      <w:rPr>
                        <w:rFonts w:ascii="Cambria Math" w:eastAsia="Microsoft YaHei" w:hAnsi="Cambria Math" w:cs="Times New Roman"/>
                        <w:i/>
                        <w:sz w:val="14"/>
                        <w:szCs w:val="14"/>
                      </w:rPr>
                    </m:ctrlPr>
                  </m:sSubPr>
                  <m:e>
                    <m:r>
                      <w:rPr>
                        <w:rFonts w:ascii="Cambria Math" w:eastAsia="Microsoft YaHei" w:hAnsi="Cambria Math" w:cs="Times New Roman"/>
                        <w:sz w:val="14"/>
                        <w:szCs w:val="14"/>
                      </w:rPr>
                      <m:t>p</m:t>
                    </m:r>
                  </m:e>
                  <m:sub>
                    <m:r>
                      <w:rPr>
                        <w:rFonts w:ascii="Cambria Math" w:eastAsia="Microsoft YaHei" w:hAnsi="Cambria Math" w:cs="Times New Roman"/>
                        <w:sz w:val="14"/>
                        <w:szCs w:val="14"/>
                      </w:rPr>
                      <m:t>l</m:t>
                    </m:r>
                  </m:sub>
                </m:sSub>
              </m:oMath>
            </m:oMathPara>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m:oMathPara>
              <m:oMath>
                <m:sSub>
                  <m:sSubPr>
                    <m:ctrlPr>
                      <w:rPr>
                        <w:rFonts w:ascii="Cambria Math" w:eastAsia="Microsoft YaHei" w:hAnsi="Cambria Math" w:cs="Times New Roman"/>
                        <w:i/>
                        <w:sz w:val="14"/>
                        <w:szCs w:val="14"/>
                      </w:rPr>
                    </m:ctrlPr>
                  </m:sSubPr>
                  <m:e>
                    <m:r>
                      <w:rPr>
                        <w:rFonts w:ascii="Cambria Math" w:eastAsia="Microsoft YaHei" w:hAnsi="Cambria Math" w:cs="Times New Roman"/>
                        <w:sz w:val="14"/>
                        <w:szCs w:val="14"/>
                      </w:rPr>
                      <m:t>C</m:t>
                    </m:r>
                  </m:e>
                  <m:sub>
                    <m:r>
                      <w:rPr>
                        <w:rFonts w:ascii="Cambria Math" w:eastAsia="Microsoft YaHei" w:hAnsi="Cambria Math" w:cs="Times New Roman"/>
                        <w:sz w:val="14"/>
                        <w:szCs w:val="14"/>
                      </w:rPr>
                      <m:t>1</m:t>
                    </m:r>
                  </m:sub>
                </m:sSub>
              </m:oMath>
            </m:oMathPara>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m:oMathPara>
              <m:oMath>
                <m:sSub>
                  <m:sSubPr>
                    <m:ctrlPr>
                      <w:rPr>
                        <w:rFonts w:ascii="Cambria Math" w:eastAsia="Microsoft YaHei" w:hAnsi="Cambria Math" w:cs="Times New Roman"/>
                        <w:i/>
                        <w:sz w:val="14"/>
                        <w:szCs w:val="14"/>
                      </w:rPr>
                    </m:ctrlPr>
                  </m:sSubPr>
                  <m:e>
                    <m:r>
                      <w:rPr>
                        <w:rFonts w:ascii="Cambria Math" w:eastAsia="Microsoft YaHei" w:hAnsi="Cambria Math" w:cs="Times New Roman"/>
                        <w:sz w:val="14"/>
                        <w:szCs w:val="14"/>
                      </w:rPr>
                      <m:t>C</m:t>
                    </m:r>
                  </m:e>
                  <m:sub>
                    <m:r>
                      <w:rPr>
                        <w:rFonts w:ascii="Cambria Math" w:eastAsia="Microsoft YaHei" w:hAnsi="Cambria Math" w:cs="Times New Roman"/>
                        <w:sz w:val="14"/>
                        <w:szCs w:val="14"/>
                      </w:rPr>
                      <m:t>2</m:t>
                    </m:r>
                  </m:sub>
                </m:sSub>
              </m:oMath>
            </m:oMathPara>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w:r w:rsidRPr="006A3AD7">
              <w:rPr>
                <w:rFonts w:ascii="Times New Roman" w:eastAsia="Microsoft YaHei" w:hAnsi="Times New Roman" w:cs="Times New Roman"/>
                <w:sz w:val="14"/>
                <w:szCs w:val="14"/>
              </w:rPr>
              <w:t>SAR</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sz w:val="14"/>
                <w:szCs w:val="14"/>
              </w:rPr>
            </w:pPr>
            <w:r w:rsidRPr="006A3AD7">
              <w:rPr>
                <w:rFonts w:ascii="Times New Roman" w:eastAsia="Microsoft YaHei" w:hAnsi="Times New Roman" w:cs="Times New Roman"/>
                <w:sz w:val="14"/>
                <w:szCs w:val="14"/>
              </w:rPr>
              <w:t>loglik</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Main</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(0.39 - 0.55)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(0.68 - 0.85)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(0.78 - 0.99)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 (0.18 - 0.69)</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 (0.62 - 0.92)</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0.17 (0.03 - 0.33)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5"/>
                <w:szCs w:val="15"/>
              </w:rPr>
            </w:pPr>
            <w:r w:rsidRPr="006A3AD7">
              <w:rPr>
                <w:rFonts w:ascii="Times New Roman" w:eastAsia="Microsoft YaHei" w:hAnsi="Times New Roman" w:cs="Times New Roman"/>
                <w:bCs/>
                <w:sz w:val="14"/>
                <w:szCs w:val="14"/>
              </w:rPr>
              <w:t>0.97(0.88-1)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0.256 (0.145-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0.400)</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0.385(0.222-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0.532)</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0.149 (0.086-</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0.238)</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-278.5128</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(0.39 - 0.55)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0.07 (0.05 - 0.08)</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(0.72 - 0.85)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 (0.8 - 0.99)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0.48 (0.26 - 0.78)</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0.81(0.67 - 0.91)</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0.23 (0.09 - 0.43)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0.96(0.84-1)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0.297 (0.201-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0.430)</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0.342(0.197-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0.505)</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0.163(0.107-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0.237)</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-282.5887</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(0.41 - 0.55)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(0.05 - 0.08)</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(0.7 - 0.84)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(0.82 - 0.99)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0.31 (0.15 - 0.54)</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0.75 (0.55 - 0.88)</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 (0.01 - 0.29)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0.92(0.64-1)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0.214(0.120-0.352)</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0.326(0.208-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0.476)</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0.121(0.077-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0.190)</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-282.7107</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(0.04 - 0.07)</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(0.71 - 0.85)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 (0.08 - 0.37)</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0.57 (0.06 - 0.84)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(0 - 0.16)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0.84(0.35-1)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0.139(0.058-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0.259)</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0.341 (0.234-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0.488)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0.093 (0.056-</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0.146)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-281.9596</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0.48 (0.39 - 0.52)</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(0.04 - 0.07)</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0.78 (0.67 - 0.85)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 (0.8 - 0.99)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0.15 (0.06 - 0.36)</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 (0.11 - 0.85)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0.05 (0 - 0.18)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0.81(0.2-1)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0.120(0.055-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0.301)</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0.321(0.209-</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0.433)</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0.083(0.048-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0.156)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-282.0551</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 (0.35 - 0.5)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0.05 (0.04 - 0.07)</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0.78 (0.66 - 0.85)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(0.82 - 1)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0.16 (0.07 - 0.37)</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 (0.05 - 0.84)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(0 - 0.15)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0.82(0.23-0.99)</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0.130 (0.047-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0.294)</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0.339 (0.200-</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0.488)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0.090 (0.048-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0.169)</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-282.4626</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 (0.5 - 0.55)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(0.02 - 0.05)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0.82 (0.77 - 0.85)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(0.87 - 1)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(0.78 - 1)</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 (0.85 - 0.94)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0.45 (0.33 - 0.59)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0.99(0.97-1)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0.405 (0.372-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0.445)</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0.448 (0.257-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0.628)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0.251 (0.202-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0.306)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-278.5922</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S7</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 (0.48 - 0.55)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0.03 (0.02 - 0.04)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 (0.74 - 0.85)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 (0.81 - 0.99)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0.84 (0.62 - 0.99)</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 (0.84 - 0.94)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0.37 (0.25 - 0.54)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0.99(0.95-1)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0.381 (0.335-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0.435)</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0.458(0.285-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0.621)</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0.235(0.186-</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0.287)</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-278.3592</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S8</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0.51 (0.44 - 0.55)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0.03 (0.02 - 0.04)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(0.71 - 0.85)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(0.81 - 0.99)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0.72 (0.47 - 0.96)</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 (0.84 - 0.95)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0.31 (0.19 - 0.45)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0.98(0.95-1)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0.354 (0.292-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0.422)</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0.447 (0.275-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0.616)</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0.213(0.163-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0.274)</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-278.5415</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S9</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(0.41 - 0.55)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0.03 (0.02 - 0.04)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(0.68 - 0.85)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(0.8 - 1)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0.62 (0.37 - 0.95)</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0.89 (0.79 - 0.94)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0.25 (0.11 - 0.39)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0.98(0.95-1)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0.327 (0.237-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0.429)</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0.446(0.269-</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0.617)</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0.196(0.133-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0.275)</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-278.5364</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S10</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0.03 (0.02 - 0.04)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(0.68 - 0.85)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 (0.8 - 1)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(0.26 - 0.86)</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0.87 (0.76 - 0.94)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 (0.06 - 0.32)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0.279(0.177-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0.404)</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0.445(0.302-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0.606)</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0.165 (0.103-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0.257)</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-278.3882</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S11</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 (0.52 - 0.55)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0.03 (0.01 - 0.04)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0.83 (0.8 - 0.85)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0.97 (0.92 - 1)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0.96 (0.88 - 1)</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 (0.85 - 0.94)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 (0.47 - 0.75)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0.99(0.98-1)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0.438(0.410-</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0.468)</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0.537 (0.333-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0.744)</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0.297(0.241-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0.356)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-287.1849</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S12</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 (0.5 - 0.55)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0.02 (0.01 - 0.03)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0.83 (0.78 - 0.85)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0.96 (0.89 - 1)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0.93 (0.81 - 1)</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0.91(0.86 - 0.95)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0.48 (0.36 - 0.6)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0.99(0.98-1)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0.410 (0.383-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0.442</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0.535 (0.345-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0.735)</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0.269 (0.226-</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0.319)</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-283.0827</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 (0.49 - 0.55)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0.02 (0.01 - 0.03)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 (0.73 - 0.85)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(0.86 - 1)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0.89 (0.72 - 0.99)</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0.92(0.88 - 0.96)</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0.37 (0.26 - 0.5)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0.99(0.97-1)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0.383 (0.347-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0.430)</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0.526 (0.305-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0.754)</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0.243(0.198-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0.305)</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-281.683</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 (0.46 - 0.55)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0.02 (0.01 - 0.03)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 (0.72 - 0.85)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(0.83 - 1)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0.81 (0.59 - 0.98)</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bookmarkStart w:id="12" w:name="OLE_LINK300"/>
            <w:bookmarkStart w:id="13" w:name="OLE_LINK301"/>
            <w:r w:rsidRPr="006A3AD7">
              <w:rPr>
                <w:rFonts w:ascii="Times New Roman" w:eastAsia="Microsoft YaHei" w:hAnsi="Times New Roman" w:cs="Times New Roman"/>
                <w:bCs/>
                <w:sz w:val="14"/>
                <w:szCs w:val="14"/>
              </w:rPr>
              <w:t>0.92 (0.87 - 0.96)</w:t>
            </w:r>
            <w:bookmarkEnd w:id="12"/>
            <w:bookmarkEnd w:id="13"/>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0.31 (0.19 - 0.45)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0.99(0.96-1)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0.360 (0.312-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0.421)</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0.526(0.309-</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0.720)</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0.224 (0.175-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0.288)</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-281.3328</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0.02 (0.01 - 0.03)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(0.71 - 0.85)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 (0.82 - 1)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0.73 (0.51 - 0.96)</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0.92 (0.87 - 0.96)</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0.26 (0.14 - 0.42)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0.99(0.96-1)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0.343(0.271-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0.419)</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0.517 (0.295-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0.728)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0.210 (0.151-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0.283)</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-281.655</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(0.42 - 0.55)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(0.7 - 0.85)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(0.83 - 1)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0.65 (0.41 - 0.93)</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0.88 (0.82 - 0.94)</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 (0.17 - 0.46)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0.98(0.95-1)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0.345 (0.264-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0.438)</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0.376(0.228-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0.526)</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0.196(0.140-</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0.273)</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-279.23</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S17</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0.51 (0.39 - 0.55)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0.77 (0.6 - 0.84)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0.88 (0.76 - 1)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 (0.08 - 0.47)</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0.63 (0.16 - 0.85)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(0 - 0.2)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0.88(0.58-1)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0.141(0.065-</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0.333)</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0.380 (0.280-</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0.530)</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0.095(0.052-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0.193)</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-280.1919</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S18</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(0.41 - 0.55)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 (0.66 - 0.84)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(0.84 - 1)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0.58 (0.33 - 0.88)</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0.86(0.74 - 0.92)</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0.26 (0.15 - 0.39)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0.323(0.244-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0.424)</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0.389 (0.261-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0.185 (0.132-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0.247)</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-278.7885</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S19</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(0.34 - 0.55)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0.77 (0.66 - 0.84)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(0.79 - 0.99)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0.34 (0.13 - 0.84)</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0.75(0.35 - 0.9)</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 (0.01 - 0.41)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0.95(0.79-1)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0.218 (0.092-</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0.468)</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0.401(0.268-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0.548)</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0.135 (0.074-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0.278)</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-278.8317</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S20</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(0.42 - 0.55)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0.77 (0.64 - 0.84)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0.88 (0.73 - 0.99)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 (0.07 - 0.35)</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0.58 (0.11 - 0.85)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0.06 (0 - 0.25)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0.8(0.29-1)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0.135(0.043-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0.276)</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0.404 (0.278-</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0.532)</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0.097(0.057-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-281.3405</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S21</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0.49 (0.39 - 0.55)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(0.03 - 0.06)</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(0.71 - 0.85)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0.94 (0.83 - 1)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 (0.31 - 0.88)</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0.85 (0.74 - 0.93)</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0.23 (0.1 - 0.39)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0.98(0.92-1)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0.305(0.210-</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0.430)</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0.396 (0.247-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0.532)</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0.177(0.117-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0.278)</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-279.191</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S22</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(0.68 - 0.85)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0.91 (0.79 - 0.99)</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0.28 (0.13 - 0.6)</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0.73(0.51 - 0.89)</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 (0.01 - 0.23)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0.9(0.48-1)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0.185(0.079-</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0.339)</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0.394(0.271-</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0.544)</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0.116(0.064-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0.184)</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-279.1528</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S23</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 (0.43 - 0.55)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0.75 (0.62 - 0.84)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0.85 (0.72 - 0.98)</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 (0.08 - 0.34)</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0.61 (0.24 - 0.85)</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0.05 (0 - 0.17)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0.8(0.2-1)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0.132 (0.057-</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0.266)</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0.394 (0.259-</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0.529)</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0.093 (0.054-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0.156)</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-281.9309</w:t>
            </w:r>
          </w:p>
        </w:tc>
      </w:tr>
      <w:tr w:rsidR="006E5D19" w:rsidRPr="006A3AD7" w:rsidTr="005E0B3A">
        <w:tc>
          <w:tcPr>
            <w:tcW w:w="107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S24</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0.46 (0.34 - 0.55)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0.04 (0.03 - 0.05)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0.79 (0.68 - 0.85)</w:t>
            </w:r>
          </w:p>
        </w:tc>
        <w:tc>
          <w:tcPr>
            <w:tcW w:w="54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0.95 (0.89 - 1)</w:t>
            </w:r>
          </w:p>
        </w:tc>
        <w:tc>
          <w:tcPr>
            <w:tcW w:w="72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0.46 (0.15 - 0.81)</w:t>
            </w:r>
          </w:p>
        </w:tc>
        <w:tc>
          <w:tcPr>
            <w:tcW w:w="90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0.82 (0.63 - 0.92)</w:t>
            </w:r>
          </w:p>
        </w:tc>
        <w:tc>
          <w:tcPr>
            <w:tcW w:w="1080"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0.19 (0.05 - 0.35)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0.97(0.92-1)</w:t>
            </w:r>
          </w:p>
        </w:tc>
        <w:tc>
          <w:tcPr>
            <w:tcW w:w="91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0.285(0.154-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0.452)</w:t>
            </w:r>
          </w:p>
        </w:tc>
        <w:tc>
          <w:tcPr>
            <w:tcW w:w="1242"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0.413 (0.273-</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0.576)</w:t>
            </w:r>
          </w:p>
        </w:tc>
        <w:tc>
          <w:tcPr>
            <w:tcW w:w="1044"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0.166 (0.094-</w:t>
            </w:r>
          </w:p>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0.312)</w:t>
            </w:r>
          </w:p>
        </w:tc>
        <w:tc>
          <w:tcPr>
            <w:tcW w:w="778"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bCs/>
                <w:sz w:val="14"/>
                <w:szCs w:val="14"/>
              </w:rPr>
            </w:pPr>
            <w:r w:rsidRPr="006A3AD7">
              <w:rPr>
                <w:rFonts w:ascii="Times New Roman" w:eastAsia="Microsoft YaHei" w:hAnsi="Times New Roman" w:cs="Times New Roman"/>
                <w:bCs/>
                <w:sz w:val="14"/>
                <w:szCs w:val="14"/>
              </w:rPr>
              <w:t>-283.8492</w:t>
            </w:r>
          </w:p>
        </w:tc>
      </w:tr>
    </w:tbl>
    <w:p w:rsidR="006E5D19" w:rsidRPr="006A3AD7" w:rsidRDefault="006E5D19" w:rsidP="006E5D19">
      <w:pPr>
        <w:spacing w:line="480" w:lineRule="auto"/>
        <w:jc w:val="center"/>
        <w:rPr>
          <w:rFonts w:ascii="Times New Roman" w:eastAsia="Microsoft YaHei" w:hAnsi="Times New Roman" w:cs="Times New Roman"/>
          <w:sz w:val="14"/>
          <w:szCs w:val="14"/>
        </w:rPr>
      </w:pPr>
    </w:p>
    <w:p w:rsidR="006E5D19" w:rsidRPr="00BE2439" w:rsidRDefault="006E5D19" w:rsidP="006E5D19">
      <w:pPr>
        <w:spacing w:line="480" w:lineRule="auto"/>
        <w:jc w:val="both"/>
        <w:rPr>
          <w:rFonts w:ascii="Times New Roman" w:eastAsia="Microsoft YaHei" w:hAnsi="Times New Roman" w:cs="Times New Roman"/>
          <w:sz w:val="24"/>
        </w:rPr>
      </w:pPr>
    </w:p>
    <w:p w:rsidR="006E5D19" w:rsidRPr="00BE2439" w:rsidRDefault="006E5D19" w:rsidP="006E5D19">
      <w:pPr>
        <w:spacing w:line="480" w:lineRule="auto"/>
        <w:jc w:val="both"/>
        <w:rPr>
          <w:rFonts w:ascii="Times New Roman" w:eastAsia="Microsoft YaHei" w:hAnsi="Times New Roman" w:cs="Times New Roman"/>
          <w:b/>
          <w:sz w:val="24"/>
        </w:rPr>
      </w:pPr>
      <w:r w:rsidRPr="00BE2439">
        <w:rPr>
          <w:rFonts w:ascii="Times New Roman" w:eastAsia="Microsoft YaHei" w:hAnsi="Times New Roman" w:cs="Times New Roman"/>
          <w:b/>
          <w:bCs/>
          <w:sz w:val="24"/>
        </w:rPr>
        <w:t>Supplement C: Simulations</w:t>
      </w:r>
    </w:p>
    <w:p w:rsidR="006E5D19" w:rsidRPr="00BE2439" w:rsidRDefault="006E5D19" w:rsidP="006E5D19">
      <w:pPr>
        <w:spacing w:line="480" w:lineRule="auto"/>
        <w:jc w:val="both"/>
        <w:rPr>
          <w:rFonts w:ascii="Times New Roman" w:eastAsia="Microsoft YaHei" w:hAnsi="Times New Roman" w:cs="Times New Roman"/>
          <w:sz w:val="24"/>
        </w:rPr>
      </w:pPr>
      <w:r w:rsidRPr="00BE2439">
        <w:rPr>
          <w:rFonts w:ascii="Times New Roman" w:eastAsia="Microsoft YaHei" w:hAnsi="Times New Roman" w:cs="Times New Roman"/>
          <w:sz w:val="24"/>
        </w:rPr>
        <w:t xml:space="preserve">Based on </w:t>
      </w:r>
      <w:r w:rsidRPr="00BE2439">
        <w:rPr>
          <w:rFonts w:ascii="Times New Roman" w:eastAsia="Microsoft YaHei" w:hAnsi="Times New Roman" w:cs="Times New Roman"/>
          <w:iCs/>
          <w:sz w:val="24"/>
        </w:rPr>
        <w:t>stochastic simulations</w:t>
      </w:r>
      <w:r w:rsidRPr="00BE2439">
        <w:rPr>
          <w:rFonts w:ascii="Times New Roman" w:eastAsia="Microsoft YaHei" w:hAnsi="Times New Roman" w:cs="Times New Roman"/>
          <w:sz w:val="24"/>
        </w:rPr>
        <w:t xml:space="preserve"> using the ER-household model, we </w:t>
      </w:r>
      <w:r w:rsidRPr="00BE2439">
        <w:rPr>
          <w:rFonts w:ascii="Times New Roman" w:eastAsia="Microsoft YaHei" w:hAnsi="Times New Roman" w:cs="Times New Roman"/>
          <w:iCs/>
          <w:sz w:val="24"/>
        </w:rPr>
        <w:t>investigated</w:t>
      </w:r>
      <w:r w:rsidRPr="00BE2439">
        <w:rPr>
          <w:rFonts w:ascii="Times New Roman" w:eastAsia="Microsoft YaHei" w:hAnsi="Times New Roman" w:cs="Times New Roman"/>
          <w:sz w:val="24"/>
        </w:rPr>
        <w:t xml:space="preserve"> the development of the pandemic under four different NPIs and hence assessed the impact of the corresponding NPIs: (1) no containment measure was implemented, namely, the trend of the first period was retained in the second period; (2)</w:t>
      </w:r>
      <w:bookmarkStart w:id="14" w:name="OLE_LINK277"/>
      <w:bookmarkStart w:id="15" w:name="OLE_LINK276"/>
      <w:r w:rsidRPr="00BE2439">
        <w:rPr>
          <w:rFonts w:ascii="Times New Roman" w:eastAsia="Microsoft YaHei" w:hAnsi="Times New Roman" w:cs="Times New Roman"/>
          <w:sz w:val="24"/>
        </w:rPr>
        <w:t xml:space="preserve"> extremely strict community containment was implemented, namely, no community transmission in the second period; </w:t>
      </w:r>
      <w:bookmarkEnd w:id="14"/>
      <w:bookmarkEnd w:id="15"/>
      <w:r w:rsidRPr="00BE2439">
        <w:rPr>
          <w:rFonts w:ascii="Times New Roman" w:eastAsia="Microsoft YaHei" w:hAnsi="Times New Roman" w:cs="Times New Roman"/>
          <w:sz w:val="24"/>
        </w:rPr>
        <w:t xml:space="preserve">(3) </w:t>
      </w:r>
      <w:bookmarkStart w:id="16" w:name="OLE_LINK291"/>
      <w:bookmarkStart w:id="17" w:name="OLE_LINK290"/>
      <w:r w:rsidRPr="00BE2439">
        <w:rPr>
          <w:rFonts w:ascii="Times New Roman" w:eastAsia="Microsoft YaHei" w:hAnsi="Times New Roman" w:cs="Times New Roman"/>
          <w:sz w:val="24"/>
        </w:rPr>
        <w:t xml:space="preserve">no household contact tracing was implemented in the second period; </w:t>
      </w:r>
      <w:bookmarkEnd w:id="16"/>
      <w:bookmarkEnd w:id="17"/>
      <w:r w:rsidRPr="00BE2439">
        <w:rPr>
          <w:rFonts w:ascii="Times New Roman" w:eastAsia="Microsoft YaHei" w:hAnsi="Times New Roman" w:cs="Times New Roman"/>
          <w:sz w:val="24"/>
        </w:rPr>
        <w:t>(4)</w:t>
      </w:r>
      <w:bookmarkStart w:id="18" w:name="OLE_LINK244"/>
      <w:bookmarkStart w:id="19" w:name="OLE_LINK283"/>
      <w:bookmarkStart w:id="20" w:name="OLE_LINK282"/>
      <w:r w:rsidRPr="00BE2439">
        <w:rPr>
          <w:rFonts w:ascii="Times New Roman" w:eastAsia="Microsoft YaHei" w:hAnsi="Times New Roman" w:cs="Times New Roman"/>
          <w:sz w:val="24"/>
        </w:rPr>
        <w:t xml:space="preserve"> additional household containment measures, such as mask wearing and social distancing, were adopted in the second period, namely, the household transmission rate declines as much as community transmission rate in the second period (an average reduction of ~90%)</w:t>
      </w:r>
      <w:bookmarkEnd w:id="18"/>
      <w:r w:rsidRPr="00BE2439">
        <w:rPr>
          <w:rFonts w:ascii="Times New Roman" w:eastAsia="Microsoft YaHei" w:hAnsi="Times New Roman" w:cs="Times New Roman"/>
          <w:sz w:val="24"/>
        </w:rPr>
        <w:t xml:space="preserve">. </w:t>
      </w:r>
      <w:bookmarkStart w:id="21" w:name="OLE_LINK699"/>
      <w:bookmarkStart w:id="22" w:name="OLE_LINK698"/>
      <w:r w:rsidRPr="00BE2439">
        <w:rPr>
          <w:rFonts w:ascii="Times New Roman" w:eastAsia="Microsoft YaHei" w:hAnsi="Times New Roman" w:cs="Times New Roman"/>
          <w:sz w:val="24"/>
        </w:rPr>
        <w:t xml:space="preserve">Furthermore, we assessed the development of the pandemic in the context of (5) universal vaccination. The protection rate against symptoms was </w:t>
      </w:r>
      <m:oMath>
        <m:r>
          <w:rPr>
            <w:rFonts w:ascii="Cambria Math" w:eastAsia="Microsoft YaHei" w:hAnsi="Cambria Math" w:cs="Times New Roman"/>
            <w:sz w:val="24"/>
          </w:rPr>
          <m:t>~</m:t>
        </m:r>
      </m:oMath>
      <w:r w:rsidRPr="00BE2439">
        <w:rPr>
          <w:rFonts w:ascii="Times New Roman" w:eastAsia="Microsoft YaHei" w:hAnsi="Times New Roman" w:cs="Times New Roman"/>
          <w:sz w:val="24"/>
        </w:rPr>
        <w:t>70% for Sinovac</w:t>
      </w:r>
      <w:bookmarkEnd w:id="21"/>
      <w:bookmarkEnd w:id="22"/>
      <w:r w:rsidRPr="00BE2439">
        <w:rPr>
          <w:rFonts w:ascii="Times New Roman" w:eastAsia="Microsoft YaHei" w:hAnsi="Times New Roman" w:cs="Times New Roman"/>
          <w:sz w:val="24"/>
          <w:vertAlign w:val="superscript"/>
        </w:rPr>
        <w:t>19</w:t>
      </w:r>
      <w:r w:rsidRPr="00BE2439">
        <w:rPr>
          <w:rFonts w:ascii="Times New Roman" w:eastAsia="Microsoft YaHei" w:hAnsi="Times New Roman" w:cs="Times New Roman"/>
          <w:sz w:val="24"/>
        </w:rPr>
        <w:t xml:space="preserve"> </w:t>
      </w:r>
      <w:bookmarkStart w:id="23" w:name="OLE_LINK703"/>
      <w:bookmarkStart w:id="24" w:name="OLE_LINK702"/>
      <w:r w:rsidRPr="00BE2439">
        <w:rPr>
          <w:rFonts w:ascii="Times New Roman" w:eastAsia="Microsoft YaHei" w:hAnsi="Times New Roman" w:cs="Times New Roman"/>
          <w:sz w:val="24"/>
        </w:rPr>
        <w:t>while the exact protection rate against transmission was unclear due to the design of the clinical trials of COVID vaccines. By considering a likely overconservative estimate of protection rate against transmission based on the clinical trial of Pfizer</w:t>
      </w:r>
      <w:r w:rsidRPr="00BE2439">
        <w:rPr>
          <w:rFonts w:ascii="Times New Roman" w:eastAsia="Microsoft YaHei" w:hAnsi="Times New Roman" w:cs="Times New Roman"/>
          <w:sz w:val="24"/>
          <w:vertAlign w:val="superscript"/>
        </w:rPr>
        <w:t>20</w:t>
      </w:r>
      <w:r w:rsidRPr="00BE2439">
        <w:rPr>
          <w:rFonts w:ascii="Times New Roman" w:eastAsia="Microsoft YaHei" w:hAnsi="Times New Roman" w:cs="Times New Roman"/>
          <w:sz w:val="24"/>
        </w:rPr>
        <w:t>, as well as the protection rate of influenza for its corresponding vaccines</w:t>
      </w:r>
      <w:r w:rsidRPr="00BE2439">
        <w:rPr>
          <w:rFonts w:ascii="Times New Roman" w:eastAsia="Microsoft YaHei" w:hAnsi="Times New Roman" w:cs="Times New Roman"/>
          <w:sz w:val="24"/>
          <w:vertAlign w:val="superscript"/>
        </w:rPr>
        <w:t>21</w:t>
      </w:r>
      <w:r w:rsidRPr="00BE2439">
        <w:rPr>
          <w:rFonts w:ascii="Times New Roman" w:eastAsia="Microsoft YaHei" w:hAnsi="Times New Roman" w:cs="Times New Roman"/>
          <w:sz w:val="24"/>
        </w:rPr>
        <w:t>, we set the protection rate of transmission into 20%, 40% and 60% in the simulations</w:t>
      </w:r>
      <w:bookmarkEnd w:id="23"/>
      <w:bookmarkEnd w:id="24"/>
      <w:r w:rsidRPr="00BE2439">
        <w:rPr>
          <w:rFonts w:ascii="Times New Roman" w:eastAsia="Microsoft YaHei" w:hAnsi="Times New Roman" w:cs="Times New Roman"/>
          <w:sz w:val="24"/>
        </w:rPr>
        <w:t>. In addition, the development of the pandemic under (6), a hypothetic and more contagious virus strain instead of the original one, was also assessed by assuming that the new virus strain doubled the risk of transmission and shortened the latent period and presymptomatic infectious period by 20%, and in addition had a longer symptomatic infectious period to 18 days, an equal transmission rate for presymptomatic/asymptomatic/ mild cases and symptomatic cases. Note that the parameters set in (5) and (6) can be replaced by more realistic parameters if detailed characteristics of vaccines and new virus strains become available; while we for the time being were focusing on qualitative results. See Table S5</w:t>
      </w:r>
      <w:r w:rsidRPr="00BE2439">
        <w:rPr>
          <w:rFonts w:ascii="Times New Roman" w:hAnsi="Times New Roman" w:cs="Times New Roman"/>
          <w:sz w:val="24"/>
        </w:rPr>
        <w:t xml:space="preserve"> for SAR, active infection clearance time, total number of infections</w:t>
      </w:r>
      <w:r w:rsidRPr="00BE2439">
        <w:rPr>
          <w:rFonts w:ascii="Times New Roman" w:eastAsia="Microsoft YaHei" w:hAnsi="Times New Roman" w:cs="Times New Roman"/>
          <w:sz w:val="24"/>
        </w:rPr>
        <w:t xml:space="preserve"> in each of six simulations and Figure S1 -- S6 for predictions and the corresponding estimates of effective reproductive number. </w:t>
      </w:r>
      <w:bookmarkEnd w:id="19"/>
      <w:bookmarkEnd w:id="20"/>
    </w:p>
    <w:p w:rsidR="006E5D19" w:rsidRPr="00BE2439" w:rsidRDefault="006E5D19" w:rsidP="006E5D19">
      <w:pPr>
        <w:spacing w:line="480" w:lineRule="auto"/>
        <w:rPr>
          <w:rFonts w:ascii="Times New Roman" w:eastAsia="Microsoft YaHei" w:hAnsi="Times New Roman" w:cs="Times New Roman"/>
          <w:sz w:val="24"/>
        </w:rPr>
      </w:pPr>
    </w:p>
    <w:p w:rsidR="006E5D19" w:rsidRPr="00BE2439" w:rsidRDefault="006E5D19" w:rsidP="006E5D19">
      <w:pPr>
        <w:spacing w:line="480" w:lineRule="auto"/>
        <w:jc w:val="center"/>
        <w:rPr>
          <w:rFonts w:ascii="Times New Roman" w:eastAsia="Microsoft YaHei" w:hAnsi="Times New Roman" w:cs="Times New Roman"/>
          <w:sz w:val="24"/>
        </w:rPr>
      </w:pPr>
      <w:r w:rsidRPr="00BE2439">
        <w:rPr>
          <w:rFonts w:ascii="Times New Roman" w:eastAsia="Microsoft YaHei" w:hAnsi="Times New Roman" w:cs="Times New Roman"/>
          <w:sz w:val="24"/>
        </w:rPr>
        <w:t xml:space="preserve">Table S5. </w:t>
      </w:r>
      <w:r w:rsidRPr="00BE2439">
        <w:rPr>
          <w:rFonts w:ascii="Times New Roman" w:hAnsi="Times New Roman" w:cs="Times New Roman"/>
          <w:sz w:val="24"/>
        </w:rPr>
        <w:t>SAR, active infection clearance time, total number of infections</w:t>
      </w:r>
      <w:r w:rsidRPr="00BE2439">
        <w:rPr>
          <w:rFonts w:ascii="Times New Roman" w:eastAsia="Microsoft YaHei" w:hAnsi="Times New Roman" w:cs="Times New Roman"/>
          <w:sz w:val="24"/>
        </w:rPr>
        <w:t xml:space="preserve"> in four simulation settings. Note that the active infection clearance time was reported using the median value. The clearance times for</w:t>
      </w:r>
      <w:bookmarkStart w:id="25" w:name="OLE_LINK305"/>
      <w:bookmarkStart w:id="26" w:name="OLE_LINK304"/>
      <w:r w:rsidRPr="00BE2439">
        <w:rPr>
          <w:rFonts w:ascii="Times New Roman" w:eastAsia="Microsoft YaHei" w:hAnsi="Times New Roman" w:cs="Times New Roman"/>
          <w:sz w:val="24"/>
        </w:rPr>
        <w:t xml:space="preserve"> S</w:t>
      </w:r>
      <w:bookmarkEnd w:id="25"/>
      <w:bookmarkEnd w:id="26"/>
      <w:r w:rsidRPr="00BE2439">
        <w:rPr>
          <w:rFonts w:ascii="Times New Roman" w:eastAsia="Microsoft YaHei" w:hAnsi="Times New Roman" w:cs="Times New Roman"/>
          <w:sz w:val="24"/>
        </w:rPr>
        <w:t xml:space="preserve">imulation 1 and 6 was not reported as the pandemic would not stop after 700 days from </w:t>
      </w:r>
      <w:r w:rsidRPr="00BE2439">
        <w:rPr>
          <w:rFonts w:ascii="Times New Roman" w:hAnsi="Times New Roman" w:cs="Times New Roman"/>
          <w:sz w:val="24"/>
        </w:rPr>
        <w:t>11 January 2020</w:t>
      </w:r>
      <w:r w:rsidRPr="00BE2439">
        <w:rPr>
          <w:rFonts w:ascii="Times New Roman" w:eastAsia="Microsoft YaHei" w:hAnsi="Times New Roman" w:cs="Times New Roman"/>
          <w:sz w:val="24"/>
        </w:rPr>
        <w:t xml:space="preserve">. Note that 700 was the pre-set maximum number of days for all simulations to run in this study. </w:t>
      </w:r>
    </w:p>
    <w:tbl>
      <w:tblPr>
        <w:tblStyle w:val="a4"/>
        <w:tblW w:w="0" w:type="auto"/>
        <w:tblLook w:val="04A0" w:firstRow="1" w:lastRow="0" w:firstColumn="1" w:lastColumn="0" w:noHBand="0" w:noVBand="1"/>
      </w:tblPr>
      <w:tblGrid>
        <w:gridCol w:w="2337"/>
        <w:gridCol w:w="2337"/>
        <w:gridCol w:w="2521"/>
        <w:gridCol w:w="2155"/>
      </w:tblGrid>
      <w:tr w:rsidR="006E5D19" w:rsidRPr="006A3AD7" w:rsidTr="005E0B3A">
        <w:tc>
          <w:tcPr>
            <w:tcW w:w="2337" w:type="dxa"/>
            <w:tcBorders>
              <w:top w:val="single" w:sz="4" w:space="0" w:color="auto"/>
              <w:left w:val="single" w:sz="4" w:space="0" w:color="auto"/>
              <w:bottom w:val="single" w:sz="4" w:space="0" w:color="auto"/>
              <w:right w:val="single" w:sz="4" w:space="0" w:color="auto"/>
            </w:tcBorders>
          </w:tcPr>
          <w:p w:rsidR="006E5D19" w:rsidRPr="006A3AD7" w:rsidRDefault="006E5D19" w:rsidP="005E0B3A">
            <w:pPr>
              <w:spacing w:line="480" w:lineRule="auto"/>
              <w:jc w:val="center"/>
              <w:rPr>
                <w:rFonts w:ascii="Times New Roman" w:eastAsia="Microsoft YaHei" w:hAnsi="Times New Roman" w:cs="Times New Roman"/>
              </w:rPr>
            </w:pP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SAR</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Active Infection Clearance Time (2020)</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Total Number of Infections by 24 February 2020</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1</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0.136 (0.066-0.246)</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 xml:space="preserve">153,797 </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(89,399-305,210)</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2</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0.176 (0.097-0.298)</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bookmarkStart w:id="27" w:name="OLE_LINK249"/>
            <w:bookmarkStart w:id="28" w:name="OLE_LINK250"/>
            <w:r w:rsidRPr="006A3AD7">
              <w:rPr>
                <w:rFonts w:ascii="Times New Roman" w:eastAsia="Microsoft YaHei" w:hAnsi="Times New Roman" w:cs="Times New Roman"/>
              </w:rPr>
              <w:t>Mar 15 (Feb 26 to Apr 18)</w:t>
            </w:r>
            <w:bookmarkEnd w:id="27"/>
            <w:bookmarkEnd w:id="28"/>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1,048</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 xml:space="preserve"> (831-1,495)</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3</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0.514 (0.259-0.855)</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bookmarkStart w:id="29" w:name="OLE_LINK294"/>
            <w:bookmarkStart w:id="30" w:name="OLE_LINK295"/>
            <w:r w:rsidRPr="006A3AD7">
              <w:rPr>
                <w:rFonts w:ascii="Times New Roman" w:eastAsia="Microsoft YaHei" w:hAnsi="Times New Roman" w:cs="Times New Roman"/>
              </w:rPr>
              <w:t xml:space="preserve">Jun </w:t>
            </w:r>
            <w:bookmarkEnd w:id="29"/>
            <w:bookmarkEnd w:id="30"/>
            <w:r w:rsidRPr="006A3AD7">
              <w:rPr>
                <w:rFonts w:ascii="Times New Roman" w:eastAsia="Microsoft YaHei" w:hAnsi="Times New Roman" w:cs="Times New Roman"/>
              </w:rPr>
              <w:t>7 (Apr 2 to Dec 26)</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 xml:space="preserve">2,827 </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(1,593-4,914)</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bookmarkStart w:id="31" w:name="_Hlk78581013"/>
            <w:r w:rsidRPr="006A3AD7">
              <w:rPr>
                <w:rFonts w:ascii="Times New Roman" w:eastAsia="Microsoft YaHei" w:hAnsi="Times New Roman" w:cs="Times New Roman"/>
              </w:rPr>
              <w:t>Simulation 4</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0.120 (0.052-0.234)</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rPr>
            </w:pPr>
            <w:r w:rsidRPr="006A3AD7">
              <w:rPr>
                <w:rFonts w:ascii="Times New Roman" w:eastAsia="Microsoft YaHei" w:hAnsi="Times New Roman" w:cs="Times New Roman"/>
              </w:rPr>
              <w:t>Mar 21 (Mar 1 to Apr 28)</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 xml:space="preserve">1,218 </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(961-1,718)</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5.1</w:t>
            </w:r>
          </w:p>
          <w:p w:rsidR="006E5D19" w:rsidRPr="006A3AD7" w:rsidRDefault="006E5D19" w:rsidP="005E0B3A">
            <w:pPr>
              <w:spacing w:line="480" w:lineRule="auto"/>
              <w:jc w:val="center"/>
              <w:rPr>
                <w:rFonts w:ascii="Times New Roman" w:eastAsia="Microsoft YaHei" w:hAnsi="Times New Roman" w:cs="Times New Roman"/>
              </w:rPr>
            </w:pPr>
            <w:bookmarkStart w:id="32" w:name="OLE_LINK253"/>
            <w:bookmarkStart w:id="33" w:name="OLE_LINK254"/>
            <w:r w:rsidRPr="006A3AD7">
              <w:rPr>
                <w:rFonts w:ascii="Times New Roman" w:eastAsia="Microsoft YaHei" w:hAnsi="Times New Roman" w:cs="Times New Roman"/>
              </w:rPr>
              <w:t xml:space="preserve">(protection rate of transmission </w:t>
            </w:r>
            <w:bookmarkEnd w:id="32"/>
            <w:bookmarkEnd w:id="33"/>
            <w:r w:rsidRPr="006A3AD7">
              <w:rPr>
                <w:rFonts w:ascii="Times New Roman" w:eastAsia="Microsoft YaHei" w:hAnsi="Times New Roman" w:cs="Times New Roman"/>
              </w:rPr>
              <w:t xml:space="preserve">= 20%) </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0.148 (0.083-0.243)</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rPr>
            </w:pPr>
            <w:r w:rsidRPr="006A3AD7">
              <w:rPr>
                <w:rFonts w:ascii="Times New Roman" w:eastAsia="Microsoft YaHei" w:hAnsi="Times New Roman" w:cs="Times New Roman"/>
              </w:rPr>
              <w:t>Aug 27 (Jun 26 to Dec 16)</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630</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(528-802)</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5.2</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(protection rate of transmission = 40%)</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0.150 (0.081-0.257)</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rPr>
            </w:pPr>
            <w:r w:rsidRPr="006A3AD7">
              <w:rPr>
                <w:rFonts w:ascii="Times New Roman" w:eastAsia="Microsoft YaHei" w:hAnsi="Times New Roman" w:cs="Times New Roman"/>
              </w:rPr>
              <w:t>Jul 28 (Jun 16 to Sep 26)</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359</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(306-445)</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5.3</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(protection rate of transmission = 60%)</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0.154 (0.079-0.281)</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rPr>
                <w:rFonts w:ascii="Times New Roman" w:eastAsia="Microsoft YaHei" w:hAnsi="Times New Roman" w:cs="Times New Roman"/>
              </w:rPr>
            </w:pPr>
            <w:r w:rsidRPr="006A3AD7">
              <w:rPr>
                <w:rFonts w:ascii="Times New Roman" w:eastAsia="Microsoft YaHei" w:hAnsi="Times New Roman" w:cs="Times New Roman"/>
              </w:rPr>
              <w:t>Jun 29 (Jun 4 to Jul 30)</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184</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(161- 223)</w:t>
            </w:r>
          </w:p>
        </w:tc>
      </w:tr>
      <w:tr w:rsidR="006E5D19" w:rsidRPr="006A3AD7" w:rsidTr="005E0B3A">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Simulation 6</w:t>
            </w:r>
          </w:p>
        </w:tc>
        <w:tc>
          <w:tcPr>
            <w:tcW w:w="2337"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0.177(0.104-0.255)</w:t>
            </w:r>
          </w:p>
        </w:tc>
        <w:tc>
          <w:tcPr>
            <w:tcW w:w="2521"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w:t>
            </w:r>
          </w:p>
        </w:tc>
        <w:tc>
          <w:tcPr>
            <w:tcW w:w="2155" w:type="dxa"/>
            <w:tcBorders>
              <w:top w:val="single" w:sz="4" w:space="0" w:color="auto"/>
              <w:left w:val="single" w:sz="4" w:space="0" w:color="auto"/>
              <w:bottom w:val="single" w:sz="4" w:space="0" w:color="auto"/>
              <w:right w:val="single" w:sz="4" w:space="0" w:color="auto"/>
            </w:tcBorders>
            <w:hideMark/>
          </w:tcPr>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83,903</w:t>
            </w:r>
          </w:p>
          <w:p w:rsidR="006E5D19" w:rsidRPr="006A3AD7" w:rsidRDefault="006E5D19" w:rsidP="005E0B3A">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rPr>
              <w:t>(63,660-120,097)</w:t>
            </w:r>
          </w:p>
        </w:tc>
      </w:tr>
    </w:tbl>
    <w:p w:rsidR="006E5D19" w:rsidRPr="00BE2439" w:rsidRDefault="006E5D19" w:rsidP="006E5D19">
      <w:pPr>
        <w:spacing w:line="480" w:lineRule="auto"/>
        <w:jc w:val="both"/>
        <w:rPr>
          <w:rFonts w:ascii="Times New Roman" w:eastAsia="Microsoft YaHei" w:hAnsi="Times New Roman" w:cs="Times New Roman"/>
          <w:sz w:val="24"/>
        </w:rPr>
      </w:pPr>
      <w:bookmarkStart w:id="34" w:name="OLE_LINK246"/>
      <w:bookmarkStart w:id="35" w:name="OLE_LINK245"/>
      <w:bookmarkEnd w:id="31"/>
      <w:r w:rsidRPr="00BE2439">
        <w:rPr>
          <w:rFonts w:ascii="Times New Roman" w:eastAsia="Microsoft YaHei" w:hAnsi="Times New Roman" w:cs="Times New Roman"/>
          <w:bCs/>
          <w:sz w:val="24"/>
        </w:rPr>
        <w:t>Under (1</w:t>
      </w:r>
      <w:r w:rsidRPr="00BE2439">
        <w:rPr>
          <w:rFonts w:ascii="Times New Roman" w:eastAsia="Microsoft YaHei" w:hAnsi="Times New Roman" w:cs="Times New Roman"/>
          <w:sz w:val="24"/>
        </w:rPr>
        <w:t>), no containment measure was implemented</w:t>
      </w:r>
      <w:r w:rsidRPr="00BE2439">
        <w:rPr>
          <w:rFonts w:ascii="Times New Roman" w:eastAsia="Microsoft YaHei" w:hAnsi="Times New Roman" w:cs="Times New Roman"/>
          <w:bCs/>
          <w:sz w:val="24"/>
        </w:rPr>
        <w:t>,</w:t>
      </w:r>
      <w:bookmarkStart w:id="36" w:name="OLE_LINK148"/>
      <w:bookmarkStart w:id="37" w:name="OLE_LINK149"/>
      <w:r w:rsidRPr="00BE2439">
        <w:rPr>
          <w:rFonts w:ascii="Times New Roman" w:eastAsia="Microsoft YaHei" w:hAnsi="Times New Roman" w:cs="Times New Roman"/>
          <w:bCs/>
          <w:sz w:val="24"/>
        </w:rPr>
        <w:t xml:space="preserve"> the pandemic would soar with 152,501 more infections up to 24 February 2020 and an effective reproductive number of 2.13 (1.81-2.65) on 24 February 2020 (see Figure S1). </w:t>
      </w:r>
      <w:bookmarkStart w:id="38" w:name="OLE_LINK248"/>
      <w:bookmarkStart w:id="39" w:name="OLE_LINK247"/>
      <w:r w:rsidRPr="00BE2439">
        <w:rPr>
          <w:rFonts w:ascii="Times New Roman" w:eastAsia="Microsoft YaHei" w:hAnsi="Times New Roman" w:cs="Times New Roman"/>
          <w:bCs/>
          <w:sz w:val="24"/>
        </w:rPr>
        <w:t>This is to say, the lockdown policy (as well as other containment measures implemented at the same time) in Yichang reduced 99.2% of the total infection.</w:t>
      </w:r>
      <w:bookmarkEnd w:id="38"/>
      <w:bookmarkEnd w:id="39"/>
      <w:r w:rsidRPr="00BE2439">
        <w:rPr>
          <w:rFonts w:ascii="Times New Roman" w:eastAsia="Microsoft YaHei" w:hAnsi="Times New Roman" w:cs="Times New Roman"/>
          <w:bCs/>
          <w:sz w:val="24"/>
        </w:rPr>
        <w:t xml:space="preserve"> </w:t>
      </w:r>
      <w:bookmarkEnd w:id="34"/>
      <w:bookmarkEnd w:id="35"/>
      <w:bookmarkEnd w:id="36"/>
      <w:bookmarkEnd w:id="37"/>
      <w:r w:rsidRPr="00BE2439">
        <w:rPr>
          <w:rFonts w:ascii="Times New Roman" w:eastAsia="Microsoft YaHei" w:hAnsi="Times New Roman" w:cs="Times New Roman"/>
          <w:bCs/>
          <w:sz w:val="24"/>
        </w:rPr>
        <w:t xml:space="preserve">Under (2), </w:t>
      </w:r>
      <w:r w:rsidRPr="00BE2439">
        <w:rPr>
          <w:rFonts w:ascii="Times New Roman" w:eastAsia="Microsoft YaHei" w:hAnsi="Times New Roman" w:cs="Times New Roman"/>
          <w:sz w:val="24"/>
        </w:rPr>
        <w:t>extremely strict community containment was implemented</w:t>
      </w:r>
      <w:r w:rsidRPr="00BE2439">
        <w:rPr>
          <w:rFonts w:ascii="Times New Roman" w:eastAsia="Microsoft YaHei" w:hAnsi="Times New Roman" w:cs="Times New Roman"/>
          <w:bCs/>
          <w:sz w:val="24"/>
        </w:rPr>
        <w:t>,</w:t>
      </w:r>
      <w:bookmarkStart w:id="40" w:name="OLE_LINK147"/>
      <w:bookmarkStart w:id="41" w:name="OLE_LINK146"/>
      <w:r w:rsidRPr="00BE2439">
        <w:rPr>
          <w:rFonts w:ascii="Times New Roman" w:eastAsia="Microsoft YaHei" w:hAnsi="Times New Roman" w:cs="Times New Roman"/>
          <w:bCs/>
          <w:sz w:val="24"/>
        </w:rPr>
        <w:t xml:space="preserve"> the total infections would be reduced by 248 cases up to 24 February 2020, and the</w:t>
      </w:r>
      <w:r w:rsidRPr="00BE2439">
        <w:rPr>
          <w:rFonts w:ascii="Times New Roman" w:eastAsia="Microsoft YaHei" w:hAnsi="Times New Roman" w:cs="Times New Roman"/>
          <w:sz w:val="24"/>
        </w:rPr>
        <w:t xml:space="preserve"> clearance of all active infections would occur on Mar 15 (Feb 26 to Apr 18)</w:t>
      </w:r>
      <w:r w:rsidRPr="00BE2439">
        <w:rPr>
          <w:rFonts w:ascii="Times New Roman" w:eastAsia="Microsoft YaHei" w:hAnsi="Times New Roman" w:cs="Times New Roman"/>
          <w:bCs/>
          <w:sz w:val="24"/>
        </w:rPr>
        <w:t xml:space="preserve"> which was only 12 days earlier compared to the date based on the observed data (see Figure S2). </w:t>
      </w:r>
      <w:bookmarkStart w:id="42" w:name="OLE_LINK145"/>
      <w:bookmarkStart w:id="43" w:name="OLE_LINK144"/>
      <w:r w:rsidRPr="00BE2439">
        <w:rPr>
          <w:rFonts w:ascii="Times New Roman" w:eastAsia="Microsoft YaHei" w:hAnsi="Times New Roman" w:cs="Times New Roman"/>
          <w:bCs/>
          <w:sz w:val="24"/>
        </w:rPr>
        <w:t>That means the community control measures implemented in Yichang was sufficiently effective enough, extra effort on the community control measures would not help too much on the pandemic.</w:t>
      </w:r>
      <w:bookmarkEnd w:id="42"/>
      <w:bookmarkEnd w:id="43"/>
      <w:r w:rsidRPr="00BE2439">
        <w:rPr>
          <w:rFonts w:ascii="Times New Roman" w:eastAsia="Microsoft YaHei" w:hAnsi="Times New Roman" w:cs="Times New Roman"/>
          <w:bCs/>
          <w:sz w:val="24"/>
        </w:rPr>
        <w:t xml:space="preserve"> </w:t>
      </w:r>
      <w:bookmarkEnd w:id="40"/>
      <w:bookmarkEnd w:id="41"/>
      <w:r w:rsidRPr="00BE2439">
        <w:rPr>
          <w:rFonts w:ascii="Times New Roman" w:eastAsia="Microsoft YaHei" w:hAnsi="Times New Roman" w:cs="Times New Roman"/>
          <w:bCs/>
          <w:sz w:val="24"/>
        </w:rPr>
        <w:t xml:space="preserve">Under (3), </w:t>
      </w:r>
      <w:r w:rsidRPr="00BE2439">
        <w:rPr>
          <w:rFonts w:ascii="Times New Roman" w:eastAsia="Microsoft YaHei" w:hAnsi="Times New Roman" w:cs="Times New Roman"/>
          <w:sz w:val="24"/>
        </w:rPr>
        <w:t>no household contact tracing was implemented in the second period</w:t>
      </w:r>
      <w:r w:rsidRPr="00BE2439">
        <w:rPr>
          <w:rFonts w:ascii="Times New Roman" w:eastAsia="Microsoft YaHei" w:hAnsi="Times New Roman" w:cs="Times New Roman"/>
          <w:bCs/>
          <w:sz w:val="24"/>
        </w:rPr>
        <w:t>, the total infections would be increased by amount of 118.1% up to 24 February 2020 and</w:t>
      </w:r>
      <w:bookmarkStart w:id="44" w:name="OLE_LINK252"/>
      <w:bookmarkStart w:id="45" w:name="OLE_LINK251"/>
      <w:r w:rsidRPr="00BE2439">
        <w:rPr>
          <w:rFonts w:ascii="Times New Roman" w:eastAsia="Microsoft YaHei" w:hAnsi="Times New Roman" w:cs="Times New Roman"/>
          <w:bCs/>
          <w:sz w:val="24"/>
        </w:rPr>
        <w:t xml:space="preserve"> the average effective reproductive number was 0.62 (0.41-0.78) which shows that contact tracing did reduce the size of pandemic significantly (see Figure S3). </w:t>
      </w:r>
      <w:bookmarkEnd w:id="44"/>
      <w:bookmarkEnd w:id="45"/>
      <w:r w:rsidRPr="00BE2439">
        <w:rPr>
          <w:rFonts w:ascii="Times New Roman" w:eastAsia="Microsoft YaHei" w:hAnsi="Times New Roman" w:cs="Times New Roman"/>
          <w:bCs/>
          <w:sz w:val="24"/>
        </w:rPr>
        <w:t xml:space="preserve">Under (4), </w:t>
      </w:r>
      <w:r w:rsidRPr="00BE2439">
        <w:rPr>
          <w:rFonts w:ascii="Times New Roman" w:eastAsia="Microsoft YaHei" w:hAnsi="Times New Roman" w:cs="Times New Roman"/>
          <w:sz w:val="24"/>
        </w:rPr>
        <w:t>additional household containment measures</w:t>
      </w:r>
      <w:r w:rsidRPr="00BE2439">
        <w:rPr>
          <w:rFonts w:ascii="Times New Roman" w:eastAsia="Microsoft YaHei" w:hAnsi="Times New Roman" w:cs="Times New Roman"/>
          <w:bCs/>
          <w:sz w:val="24"/>
        </w:rPr>
        <w:t>, the total infections would be reduced by 78 up to 24 February 2020 (see Figure S4), and the</w:t>
      </w:r>
      <w:r w:rsidRPr="00BE2439">
        <w:rPr>
          <w:rFonts w:ascii="Times New Roman" w:eastAsia="Microsoft YaHei" w:hAnsi="Times New Roman" w:cs="Times New Roman"/>
          <w:sz w:val="24"/>
        </w:rPr>
        <w:t xml:space="preserve"> clearance of all active infections would occur on Mar 21 (Mar 1 to Apr 28). </w:t>
      </w:r>
      <w:r w:rsidRPr="00BE2439">
        <w:rPr>
          <w:rFonts w:ascii="Times New Roman" w:eastAsia="Microsoft YaHei" w:hAnsi="Times New Roman" w:cs="Times New Roman"/>
          <w:bCs/>
          <w:sz w:val="24"/>
        </w:rPr>
        <w:t xml:space="preserve">Hence, we would say that the impact of potentially extra household containment measures was limited. Under (5), </w:t>
      </w:r>
      <w:r w:rsidRPr="00BE2439">
        <w:rPr>
          <w:rFonts w:ascii="Times New Roman" w:eastAsia="Microsoft YaHei" w:hAnsi="Times New Roman" w:cs="Times New Roman"/>
          <w:sz w:val="24"/>
        </w:rPr>
        <w:t>universal vaccination</w:t>
      </w:r>
      <w:r w:rsidRPr="00BE2439">
        <w:rPr>
          <w:rFonts w:ascii="Times New Roman" w:eastAsia="Microsoft YaHei" w:hAnsi="Times New Roman" w:cs="Times New Roman"/>
          <w:bCs/>
          <w:sz w:val="24"/>
        </w:rPr>
        <w:t xml:space="preserve">, the total infection size would reduce significantly but the </w:t>
      </w:r>
      <w:r w:rsidRPr="00BE2439">
        <w:rPr>
          <w:rFonts w:ascii="Times New Roman" w:eastAsia="Microsoft YaHei" w:hAnsi="Times New Roman" w:cs="Times New Roman"/>
          <w:sz w:val="24"/>
        </w:rPr>
        <w:t>clearance of all active infections would be postponed to 27 August, 28 July, and 29 June 2020 respectively. To see this seemingly counterintuitive point, we note that vaccine against COVID-19 is generally believed to be more effective at preventing symptoms than infection. Thus, under the protection of vaccines, cases are much more likely to be asymptomatic and hence hard to be detected and subsequently quarantined to prevent further transmission.</w:t>
      </w:r>
      <w:r w:rsidRPr="00BE2439">
        <w:rPr>
          <w:rFonts w:ascii="Times New Roman" w:hAnsi="Times New Roman" w:cs="Times New Roman"/>
          <w:sz w:val="24"/>
        </w:rPr>
        <w:t xml:space="preserve"> </w:t>
      </w:r>
      <w:r w:rsidRPr="00BE2439">
        <w:rPr>
          <w:rFonts w:ascii="Times New Roman" w:eastAsia="Microsoft YaHei" w:hAnsi="Times New Roman" w:cs="Times New Roman"/>
          <w:sz w:val="24"/>
        </w:rPr>
        <w:t xml:space="preserve"> Under (6), with a more contagious virus strain, the reproductive number could be as high as 11.07 in the beginning of the pandemic and the pandemic would not stop before December 2021. That implies stronger containment measures, or vaccines, or preferably the combination of both, are needed to defeat a more threatening virus strain.</w:t>
      </w:r>
    </w:p>
    <w:p w:rsidR="006E5D19" w:rsidRPr="00BE2439" w:rsidRDefault="006E5D19" w:rsidP="006E5D19">
      <w:pPr>
        <w:spacing w:line="480" w:lineRule="auto"/>
        <w:jc w:val="both"/>
        <w:rPr>
          <w:rFonts w:ascii="Times New Roman" w:hAnsi="Times New Roman" w:cs="Times New Roman"/>
          <w:sz w:val="24"/>
        </w:rPr>
      </w:pPr>
    </w:p>
    <w:p w:rsidR="006E5D19" w:rsidRPr="006A3AD7" w:rsidRDefault="006E5D19" w:rsidP="006E5D19">
      <w:pPr>
        <w:spacing w:line="480" w:lineRule="auto"/>
        <w:jc w:val="center"/>
        <w:rPr>
          <w:rFonts w:ascii="Times New Roman" w:eastAsia="Microsoft YaHei" w:hAnsi="Times New Roman" w:cs="Times New Roman"/>
          <w:b/>
        </w:rPr>
      </w:pPr>
      <w:r w:rsidRPr="006A3AD7">
        <w:rPr>
          <w:rFonts w:ascii="Times New Roman" w:eastAsia="Microsoft YaHei" w:hAnsi="Times New Roman" w:cs="Times New Roman"/>
          <w:b/>
          <w:noProof/>
        </w:rPr>
        <w:drawing>
          <wp:inline distT="0" distB="0" distL="0" distR="0" wp14:anchorId="016772D5" wp14:editId="78AD17D6">
            <wp:extent cx="3633788" cy="4441232"/>
            <wp:effectExtent l="0" t="0" r="5080" b="0"/>
            <wp:docPr id="16" name="图片 16" descr="图形用户界面, 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图形用户界面, 图表, 直方图&#10;&#10;描述已自动生成"/>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8303" cy="4458973"/>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
        </w:rPr>
      </w:pPr>
      <w:r w:rsidRPr="006A3AD7">
        <w:rPr>
          <w:rFonts w:ascii="Times New Roman" w:eastAsia="Microsoft YaHei" w:hAnsi="Times New Roman" w:cs="Times New Roman"/>
          <w:noProof/>
        </w:rPr>
        <w:drawing>
          <wp:inline distT="0" distB="0" distL="0" distR="0" wp14:anchorId="2378715E" wp14:editId="5EA1F57E">
            <wp:extent cx="5913124" cy="1847850"/>
            <wp:effectExtent l="0" t="0" r="0" b="0"/>
            <wp:docPr id="15" name="图片 1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图表&#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8222" cy="1861943"/>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Figure S1</w:t>
      </w:r>
      <w:bookmarkStart w:id="46" w:name="OLE_LINK159"/>
      <w:bookmarkStart w:id="47" w:name="OLE_LINK158"/>
      <w:r w:rsidRPr="006A3AD7">
        <w:rPr>
          <w:rFonts w:ascii="Times New Roman" w:hAnsi="Times New Roman" w:cs="Times New Roman"/>
        </w:rPr>
        <w:t xml:space="preserve"> </w:t>
      </w:r>
      <w:r w:rsidRPr="006A3AD7">
        <w:rPr>
          <w:rFonts w:ascii="Times New Roman" w:eastAsia="Microsoft YaHei" w:hAnsi="Times New Roman" w:cs="Times New Roman"/>
        </w:rPr>
        <w:t>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w:t>
      </w:r>
      <w:bookmarkStart w:id="48" w:name="OLE_LINK194"/>
      <w:bookmarkStart w:id="49" w:name="OLE_LINK193"/>
      <w:r w:rsidRPr="006A3AD7">
        <w:rPr>
          <w:rFonts w:ascii="Times New Roman" w:eastAsia="Microsoft YaHei" w:hAnsi="Times New Roman" w:cs="Times New Roman"/>
        </w:rPr>
        <w:t>using parameters estimated from the first period (11–24 January), namely, no containment measure was implemented for the entire studying period. T</w:t>
      </w:r>
      <w:r w:rsidRPr="006A3AD7">
        <w:rPr>
          <w:rFonts w:ascii="Times New Roman" w:eastAsia="Microsoft YaHei" w:hAnsi="Times New Roman" w:cs="Times New Roman"/>
          <w:bCs/>
        </w:rPr>
        <w:t>he pandemic would soar with 152,501 more infections up to 24 February 2020 and an effective reproductive number of 2.13 (1.81-2.65) on 24 February 2020.</w:t>
      </w:r>
      <w:bookmarkEnd w:id="46"/>
      <w:bookmarkEnd w:id="47"/>
      <w:bookmarkEnd w:id="48"/>
      <w:bookmarkEnd w:id="49"/>
    </w:p>
    <w:p w:rsidR="006E5D19" w:rsidRPr="006A3AD7" w:rsidRDefault="006E5D19" w:rsidP="006E5D19">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noProof/>
        </w:rPr>
        <w:drawing>
          <wp:inline distT="0" distB="0" distL="0" distR="0" wp14:anchorId="0653D485" wp14:editId="590C9B73">
            <wp:extent cx="3220720" cy="3936551"/>
            <wp:effectExtent l="0" t="0" r="0" b="6985"/>
            <wp:docPr id="14" name="图片 1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图表, 直方图&#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4352" cy="3940990"/>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noProof/>
        </w:rPr>
        <w:drawing>
          <wp:inline distT="0" distB="0" distL="0" distR="0" wp14:anchorId="53B48044" wp14:editId="4EA98359">
            <wp:extent cx="5943600" cy="1857375"/>
            <wp:effectExtent l="0" t="0" r="0" b="9525"/>
            <wp:docPr id="13"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图表&#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 xml:space="preserve"> Figure S2. 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if extremely strict community containment was implemented, namely, no community transmission in the second period</w:t>
      </w:r>
      <w:r w:rsidRPr="006A3AD7">
        <w:rPr>
          <w:rFonts w:ascii="Times New Roman" w:eastAsia="Microsoft YaHei" w:hAnsi="Times New Roman" w:cs="Times New Roman"/>
          <w:bCs/>
        </w:rPr>
        <w:t>. The total infections would be reduced by 248 cases up to 24 February 2020, and the</w:t>
      </w:r>
      <w:r w:rsidRPr="006A3AD7">
        <w:rPr>
          <w:rFonts w:ascii="Times New Roman" w:eastAsia="Microsoft YaHei" w:hAnsi="Times New Roman" w:cs="Times New Roman"/>
        </w:rPr>
        <w:t xml:space="preserve"> clearance of all active infections would occur on Mar 15 (Feb 26 to Apr 18)</w:t>
      </w:r>
      <w:r w:rsidRPr="006A3AD7">
        <w:rPr>
          <w:rFonts w:ascii="Times New Roman" w:eastAsia="Microsoft YaHei" w:hAnsi="Times New Roman" w:cs="Times New Roman"/>
          <w:bCs/>
        </w:rPr>
        <w:t xml:space="preserve">. </w:t>
      </w:r>
    </w:p>
    <w:p w:rsidR="006E5D19" w:rsidRPr="006A3AD7" w:rsidRDefault="006E5D19" w:rsidP="006E5D19">
      <w:pPr>
        <w:spacing w:line="480" w:lineRule="auto"/>
        <w:jc w:val="center"/>
        <w:rPr>
          <w:rFonts w:ascii="Times New Roman" w:eastAsia="Microsoft YaHei" w:hAnsi="Times New Roman" w:cs="Times New Roman"/>
          <w:b/>
        </w:rPr>
      </w:pPr>
      <w:r w:rsidRPr="006A3AD7">
        <w:rPr>
          <w:rFonts w:ascii="Times New Roman" w:eastAsia="Microsoft YaHei" w:hAnsi="Times New Roman" w:cs="Times New Roman"/>
          <w:b/>
          <w:noProof/>
        </w:rPr>
        <w:drawing>
          <wp:inline distT="0" distB="0" distL="0" distR="0" wp14:anchorId="5820D495" wp14:editId="7E883D81">
            <wp:extent cx="3771900" cy="4610100"/>
            <wp:effectExtent l="0" t="0" r="0" b="0"/>
            <wp:docPr id="12" name="图片 1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图表&#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4610100"/>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noProof/>
        </w:rPr>
        <w:drawing>
          <wp:inline distT="0" distB="0" distL="0" distR="0" wp14:anchorId="4BAC74D9" wp14:editId="320B93C2">
            <wp:extent cx="5943600" cy="1857375"/>
            <wp:effectExtent l="0" t="0" r="0" b="9525"/>
            <wp:docPr id="11" name="图片 1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图表&#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inline>
        </w:drawing>
      </w:r>
    </w:p>
    <w:p w:rsidR="006E5D19" w:rsidRPr="00031076"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 xml:space="preserve">Figure S3. </w:t>
      </w:r>
      <w:bookmarkStart w:id="50" w:name="OLE_LINK151"/>
      <w:bookmarkStart w:id="51" w:name="OLE_LINK150"/>
      <w:r w:rsidRPr="006A3AD7">
        <w:rPr>
          <w:rFonts w:ascii="Times New Roman" w:eastAsia="Microsoft YaHei" w:hAnsi="Times New Roman" w:cs="Times New Roman"/>
        </w:rPr>
        <w:t>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if no household containment measure, such as household social distancing, mask wearing and household contact tracing, was implemented</w:t>
      </w:r>
      <w:r w:rsidRPr="006A3AD7">
        <w:rPr>
          <w:rFonts w:ascii="Times New Roman" w:eastAsia="Microsoft YaHei" w:hAnsi="Times New Roman" w:cs="Times New Roman"/>
          <w:bCs/>
        </w:rPr>
        <w:t xml:space="preserve"> in the second period. The total infections would be increased by amount of 118.1% up to 24 February 2020</w:t>
      </w:r>
      <w:bookmarkEnd w:id="50"/>
      <w:bookmarkEnd w:id="51"/>
      <w:r w:rsidRPr="006A3AD7">
        <w:rPr>
          <w:rFonts w:ascii="Times New Roman" w:eastAsia="Microsoft YaHei" w:hAnsi="Times New Roman" w:cs="Times New Roman"/>
          <w:bCs/>
        </w:rPr>
        <w:t xml:space="preserve">. </w:t>
      </w:r>
    </w:p>
    <w:p w:rsidR="006E5D19" w:rsidRPr="006A3AD7" w:rsidRDefault="006E5D19" w:rsidP="006E5D19">
      <w:pPr>
        <w:spacing w:line="480" w:lineRule="auto"/>
        <w:jc w:val="center"/>
        <w:rPr>
          <w:rFonts w:ascii="Times New Roman" w:eastAsia="Microsoft YaHei" w:hAnsi="Times New Roman" w:cs="Times New Roman"/>
          <w:b/>
        </w:rPr>
      </w:pPr>
      <w:r w:rsidRPr="006A3AD7">
        <w:rPr>
          <w:rFonts w:ascii="Times New Roman" w:eastAsia="Microsoft YaHei" w:hAnsi="Times New Roman" w:cs="Times New Roman"/>
          <w:b/>
          <w:noProof/>
        </w:rPr>
        <w:drawing>
          <wp:inline distT="0" distB="0" distL="0" distR="0" wp14:anchorId="013034AD" wp14:editId="316170FE">
            <wp:extent cx="3439160" cy="4207049"/>
            <wp:effectExtent l="0" t="0" r="8890" b="3175"/>
            <wp:docPr id="10" name="图片 1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图表, 直方图&#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4466" cy="4213540"/>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rPr>
      </w:pPr>
      <w:r w:rsidRPr="006A3AD7">
        <w:rPr>
          <w:rFonts w:ascii="Times New Roman" w:eastAsia="Microsoft YaHei" w:hAnsi="Times New Roman" w:cs="Times New Roman"/>
          <w:noProof/>
        </w:rPr>
        <w:drawing>
          <wp:inline distT="0" distB="0" distL="0" distR="0" wp14:anchorId="02389732" wp14:editId="500D0CC0">
            <wp:extent cx="5943600" cy="1857375"/>
            <wp:effectExtent l="0" t="0" r="0" b="9525"/>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图表&#10;&#10;描述已自动生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
        </w:rPr>
      </w:pPr>
      <w:r w:rsidRPr="006A3AD7">
        <w:rPr>
          <w:rFonts w:ascii="Times New Roman" w:eastAsia="Microsoft YaHei" w:hAnsi="Times New Roman" w:cs="Times New Roman"/>
        </w:rPr>
        <w:t xml:space="preserve">Figure S4. </w:t>
      </w:r>
      <w:bookmarkStart w:id="52" w:name="OLE_LINK266"/>
      <w:bookmarkStart w:id="53" w:name="OLE_LINK265"/>
      <w:r w:rsidRPr="006A3AD7">
        <w:rPr>
          <w:rFonts w:ascii="Times New Roman" w:eastAsia="Microsoft YaHei" w:hAnsi="Times New Roman" w:cs="Times New Roman"/>
        </w:rPr>
        <w:t>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if stronger household containment measures were adopted in the second period, namely, the household transmission rate declines as much as community transmission rate in the second period (an average reduction of ~90%).</w:t>
      </w:r>
      <w:bookmarkEnd w:id="52"/>
      <w:bookmarkEnd w:id="53"/>
      <w:r w:rsidRPr="006A3AD7">
        <w:rPr>
          <w:rFonts w:ascii="Times New Roman" w:eastAsia="Microsoft YaHei" w:hAnsi="Times New Roman" w:cs="Times New Roman"/>
        </w:rPr>
        <w:t xml:space="preserve"> </w:t>
      </w:r>
      <w:r w:rsidRPr="006A3AD7">
        <w:rPr>
          <w:rFonts w:ascii="Times New Roman" w:eastAsia="Microsoft YaHei" w:hAnsi="Times New Roman" w:cs="Times New Roman"/>
          <w:bCs/>
        </w:rPr>
        <w:t>The total infections would be reduced by 78 up to 24 February 2020, and the</w:t>
      </w:r>
      <w:r w:rsidRPr="006A3AD7">
        <w:rPr>
          <w:rFonts w:ascii="Times New Roman" w:eastAsia="Microsoft YaHei" w:hAnsi="Times New Roman" w:cs="Times New Roman"/>
        </w:rPr>
        <w:t xml:space="preserve"> clearance of all active infections would occur on Mar 21 (Mar 1 to Apr 28)</w:t>
      </w:r>
      <w:r w:rsidRPr="006A3AD7">
        <w:rPr>
          <w:rFonts w:ascii="Times New Roman" w:eastAsia="Microsoft YaHei" w:hAnsi="Times New Roman" w:cs="Times New Roman"/>
          <w:bCs/>
        </w:rPr>
        <w:t>.</w:t>
      </w:r>
    </w:p>
    <w:p w:rsidR="006E5D19" w:rsidRPr="006A3AD7" w:rsidRDefault="006E5D19" w:rsidP="006E5D19">
      <w:pPr>
        <w:spacing w:line="480" w:lineRule="auto"/>
        <w:jc w:val="center"/>
        <w:rPr>
          <w:rFonts w:ascii="Times New Roman" w:hAnsi="Times New Roman" w:cs="Times New Roman"/>
          <w:b/>
          <w:bCs/>
          <w:sz w:val="28"/>
          <w:szCs w:val="28"/>
        </w:rPr>
      </w:pPr>
      <w:r w:rsidRPr="006A3AD7">
        <w:rPr>
          <w:rFonts w:ascii="Times New Roman" w:hAnsi="Times New Roman" w:cs="Times New Roman"/>
          <w:b/>
          <w:noProof/>
          <w:sz w:val="28"/>
          <w:szCs w:val="28"/>
        </w:rPr>
        <w:drawing>
          <wp:inline distT="0" distB="0" distL="0" distR="0" wp14:anchorId="1FAF1110" wp14:editId="1A2E4372">
            <wp:extent cx="3524596" cy="4307840"/>
            <wp:effectExtent l="0" t="0" r="0" b="0"/>
            <wp:docPr id="8" name="图片 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图表, 直方图&#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0563" cy="4315132"/>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hAnsi="Times New Roman" w:cs="Times New Roman"/>
          <w:b/>
          <w:bCs/>
          <w:sz w:val="28"/>
          <w:szCs w:val="28"/>
        </w:rPr>
      </w:pPr>
      <w:r w:rsidRPr="006A3AD7">
        <w:rPr>
          <w:rFonts w:ascii="Times New Roman" w:hAnsi="Times New Roman" w:cs="Times New Roman"/>
          <w:b/>
          <w:noProof/>
          <w:sz w:val="28"/>
          <w:szCs w:val="28"/>
        </w:rPr>
        <w:drawing>
          <wp:inline distT="0" distB="0" distL="0" distR="0" wp14:anchorId="7BDE1B77" wp14:editId="12D0A722">
            <wp:extent cx="5882640" cy="1838325"/>
            <wp:effectExtent l="0" t="0" r="3810" b="9525"/>
            <wp:docPr id="7"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图表&#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2640" cy="1838325"/>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 xml:space="preserve">Figure S5.1 </w:t>
      </w:r>
      <w:bookmarkStart w:id="54" w:name="OLE_LINK196"/>
      <w:bookmarkStart w:id="55" w:name="OLE_LINK195"/>
      <w:r w:rsidRPr="006A3AD7">
        <w:rPr>
          <w:rFonts w:ascii="Times New Roman" w:eastAsia="Microsoft YaHei" w:hAnsi="Times New Roman" w:cs="Times New Roman"/>
        </w:rPr>
        <w:t xml:space="preserve">Prediction of the number of the reported cases and the corresponding estimation </w:t>
      </w:r>
      <w:bookmarkEnd w:id="54"/>
      <w:bookmarkEnd w:id="55"/>
      <w:r w:rsidRPr="006A3AD7">
        <w:rPr>
          <w:rFonts w:ascii="Times New Roman" w:eastAsia="Microsoft YaHei" w:hAnsi="Times New Roman" w:cs="Times New Roman"/>
        </w:rPr>
        <w:t>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under the context of universal vaccination with the 20% protection rate against transmission</w:t>
      </w:r>
      <w:r w:rsidRPr="006A3AD7">
        <w:rPr>
          <w:rFonts w:ascii="Times New Roman" w:eastAsia="Microsoft YaHei" w:hAnsi="Times New Roman" w:cs="Times New Roman"/>
          <w:bCs/>
        </w:rPr>
        <w:t xml:space="preserve">. The total infections would be reduced to 630 up to 24 February 2020. However, the </w:t>
      </w:r>
      <w:r w:rsidRPr="006A3AD7">
        <w:rPr>
          <w:rFonts w:ascii="Times New Roman" w:eastAsia="Microsoft YaHei" w:hAnsi="Times New Roman" w:cs="Times New Roman"/>
        </w:rPr>
        <w:t xml:space="preserve">clearance of all active infections was postponed to 27 August 2020. </w:t>
      </w:r>
      <w:r w:rsidRPr="006A3AD7">
        <w:rPr>
          <w:rFonts w:ascii="Times New Roman" w:eastAsia="Microsoft YaHei" w:hAnsi="Times New Roman" w:cs="Times New Roman"/>
          <w:bCs/>
        </w:rPr>
        <w:t xml:space="preserve"> </w:t>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noProof/>
        </w:rPr>
        <w:drawing>
          <wp:inline distT="0" distB="0" distL="0" distR="0" wp14:anchorId="69A8836A" wp14:editId="00C65EF7">
            <wp:extent cx="3946122" cy="4826000"/>
            <wp:effectExtent l="0" t="0" r="0" b="0"/>
            <wp:docPr id="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图表&#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1576" cy="4832670"/>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noProof/>
        </w:rPr>
        <w:drawing>
          <wp:inline distT="0" distB="0" distL="0" distR="0" wp14:anchorId="5535DAF5" wp14:editId="0E1DCFCF">
            <wp:extent cx="5257800" cy="1643380"/>
            <wp:effectExtent l="0" t="0" r="0" b="0"/>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图表&#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1643380"/>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Figure S5.2 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under the context of universal vaccination with the 40% protection rate against transmission</w:t>
      </w:r>
      <w:r w:rsidRPr="006A3AD7">
        <w:rPr>
          <w:rFonts w:ascii="Times New Roman" w:eastAsia="Microsoft YaHei" w:hAnsi="Times New Roman" w:cs="Times New Roman"/>
          <w:bCs/>
        </w:rPr>
        <w:t xml:space="preserve">. The total infections would be reduced to 359 up to 24 February 2020. However, the </w:t>
      </w:r>
      <w:r w:rsidRPr="006A3AD7">
        <w:rPr>
          <w:rFonts w:ascii="Times New Roman" w:eastAsia="Microsoft YaHei" w:hAnsi="Times New Roman" w:cs="Times New Roman"/>
        </w:rPr>
        <w:t xml:space="preserve">clearance of all active infections was postponed to 28 July 2020. </w:t>
      </w:r>
      <w:r w:rsidRPr="006A3AD7">
        <w:rPr>
          <w:rFonts w:ascii="Times New Roman" w:eastAsia="Microsoft YaHei" w:hAnsi="Times New Roman" w:cs="Times New Roman"/>
          <w:bCs/>
        </w:rPr>
        <w:t xml:space="preserve"> </w:t>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noProof/>
        </w:rPr>
        <w:drawing>
          <wp:inline distT="0" distB="0" distL="0" distR="0" wp14:anchorId="28B9FF3C" wp14:editId="02815BC5">
            <wp:extent cx="3903785" cy="4770120"/>
            <wp:effectExtent l="0" t="0" r="1905" b="0"/>
            <wp:docPr id="17" name="图片 1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图表&#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8666" cy="4776084"/>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noProof/>
        </w:rPr>
        <w:drawing>
          <wp:inline distT="0" distB="0" distL="0" distR="0" wp14:anchorId="37AA462B" wp14:editId="1A52C2E8">
            <wp:extent cx="5701030" cy="1781175"/>
            <wp:effectExtent l="0" t="0" r="0" b="9525"/>
            <wp:docPr id="18" name="图片 18"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图表&#10;&#10;中度可信度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1030" cy="1781175"/>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eastAsia="Microsoft YaHei" w:hAnsi="Times New Roman" w:cs="Times New Roman"/>
          <w:bCs/>
        </w:rPr>
      </w:pPr>
      <w:r w:rsidRPr="006A3AD7">
        <w:rPr>
          <w:rFonts w:ascii="Times New Roman" w:eastAsia="Microsoft YaHei" w:hAnsi="Times New Roman" w:cs="Times New Roman"/>
        </w:rPr>
        <w:t xml:space="preserve">Figure S5.3 </w:t>
      </w:r>
      <w:bookmarkStart w:id="56" w:name="OLE_LINK404"/>
      <w:bookmarkStart w:id="57" w:name="OLE_LINK403"/>
      <w:r w:rsidRPr="006A3AD7">
        <w:rPr>
          <w:rFonts w:ascii="Times New Roman" w:eastAsia="Microsoft YaHei" w:hAnsi="Times New Roman" w:cs="Times New Roman"/>
        </w:rPr>
        <w:t>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under the context of universal vaccination with the 60% protection rate against transmission</w:t>
      </w:r>
      <w:r w:rsidRPr="006A3AD7">
        <w:rPr>
          <w:rFonts w:ascii="Times New Roman" w:eastAsia="Microsoft YaHei" w:hAnsi="Times New Roman" w:cs="Times New Roman"/>
          <w:bCs/>
        </w:rPr>
        <w:t xml:space="preserve">. </w:t>
      </w:r>
      <w:bookmarkStart w:id="58" w:name="OLE_LINK406"/>
      <w:bookmarkStart w:id="59" w:name="OLE_LINK405"/>
      <w:r w:rsidRPr="006A3AD7">
        <w:rPr>
          <w:rFonts w:ascii="Times New Roman" w:eastAsia="Microsoft YaHei" w:hAnsi="Times New Roman" w:cs="Times New Roman"/>
          <w:bCs/>
        </w:rPr>
        <w:t>The total infections would be reduced to 184 up to 24 February 2020.</w:t>
      </w:r>
      <w:bookmarkEnd w:id="56"/>
      <w:bookmarkEnd w:id="57"/>
      <w:r w:rsidRPr="006A3AD7">
        <w:rPr>
          <w:rFonts w:ascii="Times New Roman" w:eastAsia="Microsoft YaHei" w:hAnsi="Times New Roman" w:cs="Times New Roman"/>
          <w:bCs/>
        </w:rPr>
        <w:t xml:space="preserve"> </w:t>
      </w:r>
      <w:bookmarkEnd w:id="58"/>
      <w:bookmarkEnd w:id="59"/>
      <w:r w:rsidRPr="006A3AD7">
        <w:rPr>
          <w:rFonts w:ascii="Times New Roman" w:eastAsia="Microsoft YaHei" w:hAnsi="Times New Roman" w:cs="Times New Roman"/>
          <w:bCs/>
        </w:rPr>
        <w:t xml:space="preserve">However, the </w:t>
      </w:r>
      <w:r w:rsidRPr="006A3AD7">
        <w:rPr>
          <w:rFonts w:ascii="Times New Roman" w:eastAsia="Microsoft YaHei" w:hAnsi="Times New Roman" w:cs="Times New Roman"/>
        </w:rPr>
        <w:t xml:space="preserve">clearance of all active infections was postponed to 29 June 2020. </w:t>
      </w:r>
      <w:r w:rsidRPr="006A3AD7">
        <w:rPr>
          <w:rFonts w:ascii="Times New Roman" w:eastAsia="Microsoft YaHei" w:hAnsi="Times New Roman" w:cs="Times New Roman"/>
          <w:bCs/>
        </w:rPr>
        <w:t xml:space="preserve"> </w:t>
      </w:r>
    </w:p>
    <w:p w:rsidR="006E5D19" w:rsidRPr="006A3AD7" w:rsidRDefault="006E5D19" w:rsidP="006E5D19">
      <w:pPr>
        <w:spacing w:line="480" w:lineRule="auto"/>
        <w:jc w:val="center"/>
        <w:rPr>
          <w:rFonts w:ascii="Times New Roman" w:hAnsi="Times New Roman" w:cs="Times New Roman"/>
          <w:b/>
          <w:bCs/>
          <w:sz w:val="28"/>
          <w:szCs w:val="28"/>
        </w:rPr>
      </w:pPr>
      <w:r w:rsidRPr="006A3AD7">
        <w:rPr>
          <w:rFonts w:ascii="Times New Roman" w:hAnsi="Times New Roman" w:cs="Times New Roman"/>
          <w:b/>
          <w:noProof/>
          <w:sz w:val="28"/>
          <w:szCs w:val="28"/>
        </w:rPr>
        <w:drawing>
          <wp:inline distT="0" distB="0" distL="0" distR="0" wp14:anchorId="740BFC3E" wp14:editId="0AD8DF0C">
            <wp:extent cx="3698294" cy="4516120"/>
            <wp:effectExtent l="0" t="0" r="0" b="0"/>
            <wp:docPr id="19" name="图片 19" descr="图表, 表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图表, 表面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2124" cy="4533009"/>
                    </a:xfrm>
                    <a:prstGeom prst="rect">
                      <a:avLst/>
                    </a:prstGeom>
                    <a:noFill/>
                    <a:ln>
                      <a:noFill/>
                    </a:ln>
                  </pic:spPr>
                </pic:pic>
              </a:graphicData>
            </a:graphic>
          </wp:inline>
        </w:drawing>
      </w:r>
    </w:p>
    <w:p w:rsidR="006E5D19" w:rsidRPr="006A3AD7" w:rsidRDefault="006E5D19" w:rsidP="006E5D19">
      <w:pPr>
        <w:spacing w:line="480" w:lineRule="auto"/>
        <w:jc w:val="center"/>
        <w:rPr>
          <w:rFonts w:ascii="Times New Roman" w:hAnsi="Times New Roman" w:cs="Times New Roman"/>
          <w:b/>
          <w:bCs/>
          <w:sz w:val="28"/>
          <w:szCs w:val="28"/>
        </w:rPr>
      </w:pPr>
      <w:r w:rsidRPr="006A3AD7">
        <w:rPr>
          <w:rFonts w:ascii="Times New Roman" w:hAnsi="Times New Roman" w:cs="Times New Roman"/>
          <w:b/>
          <w:noProof/>
          <w:sz w:val="28"/>
          <w:szCs w:val="28"/>
        </w:rPr>
        <w:drawing>
          <wp:inline distT="0" distB="0" distL="0" distR="0" wp14:anchorId="3CF1810A" wp14:editId="17F02085">
            <wp:extent cx="5943600" cy="1857375"/>
            <wp:effectExtent l="0" t="0" r="0" b="9525"/>
            <wp:docPr id="20" name="图片 2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表&#10;&#10;描述已自动生成"/>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inline>
        </w:drawing>
      </w:r>
    </w:p>
    <w:p w:rsidR="00ED7430" w:rsidRDefault="006E5D19" w:rsidP="006E5D19">
      <w:r w:rsidRPr="006A3AD7">
        <w:rPr>
          <w:rFonts w:ascii="Times New Roman" w:eastAsia="Microsoft YaHei" w:hAnsi="Times New Roman" w:cs="Times New Roman"/>
        </w:rPr>
        <w:t>Figure S6.</w:t>
      </w:r>
      <w:bookmarkStart w:id="60" w:name="OLE_LINK402"/>
      <w:bookmarkStart w:id="61" w:name="OLE_LINK401"/>
      <w:r w:rsidRPr="006A3AD7">
        <w:rPr>
          <w:rFonts w:ascii="Times New Roman" w:eastAsia="Microsoft YaHei" w:hAnsi="Times New Roman" w:cs="Times New Roman"/>
        </w:rPr>
        <w:t xml:space="preserve"> Prediction of the number of the reported cases and the corresponding estimation of</w:t>
      </w:r>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H</m:t>
            </m:r>
          </m:sub>
        </m:sSub>
      </m:oMath>
      <w:r w:rsidRPr="006A3AD7">
        <w:rPr>
          <w:rFonts w:ascii="Times New Roman" w:eastAsia="Microsoft YaHei" w:hAnsi="Times New Roman" w:cs="Times New Roman"/>
          <w:bCs/>
        </w:rPr>
        <w:t xml:space="preserve">, </w:t>
      </w:r>
      <m:oMath>
        <m:sSub>
          <m:sSubPr>
            <m:ctrlPr>
              <w:rPr>
                <w:rFonts w:ascii="Cambria Math" w:eastAsia="Microsoft YaHei" w:hAnsi="Cambria Math" w:cs="Times New Roman"/>
              </w:rPr>
            </m:ctrlPr>
          </m:sSubPr>
          <m:e>
            <m:r>
              <w:rPr>
                <w:rFonts w:ascii="Cambria Math" w:eastAsia="Microsoft YaHei" w:hAnsi="Cambria Math" w:cs="Times New Roman"/>
              </w:rPr>
              <m:t>R</m:t>
            </m:r>
          </m:e>
          <m:sub>
            <m:r>
              <w:rPr>
                <w:rFonts w:ascii="Cambria Math" w:eastAsia="Microsoft YaHei" w:hAnsi="Cambria Math" w:cs="Times New Roman"/>
              </w:rPr>
              <m:t>c</m:t>
            </m:r>
          </m:sub>
        </m:sSub>
      </m:oMath>
      <w:r w:rsidRPr="006A3AD7">
        <w:rPr>
          <w:rFonts w:ascii="Times New Roman" w:eastAsia="Microsoft YaHei" w:hAnsi="Times New Roman" w:cs="Times New Roman"/>
          <w:bCs/>
        </w:rPr>
        <w:t xml:space="preserve"> and </w:t>
      </w:r>
      <m:oMath>
        <m:r>
          <w:rPr>
            <w:rFonts w:ascii="Cambria Math" w:eastAsia="Microsoft YaHei" w:hAnsi="Cambria Math" w:cs="Times New Roman"/>
          </w:rPr>
          <m:t>R</m:t>
        </m:r>
      </m:oMath>
      <w:r w:rsidRPr="006A3AD7">
        <w:rPr>
          <w:rFonts w:ascii="Times New Roman" w:eastAsia="Microsoft YaHei" w:hAnsi="Times New Roman" w:cs="Times New Roman"/>
        </w:rPr>
        <w:t xml:space="preserve"> if a more threatening virus strain emerged. </w:t>
      </w:r>
      <w:r w:rsidRPr="006A3AD7">
        <w:rPr>
          <w:rFonts w:ascii="Times New Roman" w:eastAsia="Microsoft YaHei" w:hAnsi="Times New Roman" w:cs="Times New Roman"/>
          <w:bCs/>
        </w:rPr>
        <w:t>The total infections would be increased to 83,903 up to 24 February 2020, the</w:t>
      </w:r>
      <w:r w:rsidRPr="006A3AD7">
        <w:rPr>
          <w:rFonts w:ascii="Times New Roman" w:eastAsia="Microsoft YaHei" w:hAnsi="Times New Roman" w:cs="Times New Roman"/>
        </w:rPr>
        <w:t xml:space="preserve"> clearance of all active infections would not occur in the near future, </w:t>
      </w:r>
      <w:bookmarkStart w:id="62" w:name="OLE_LINK409"/>
      <w:bookmarkStart w:id="63" w:name="OLE_LINK408"/>
      <w:bookmarkStart w:id="64" w:name="OLE_LINK407"/>
      <w:r w:rsidRPr="006A3AD7">
        <w:rPr>
          <w:rFonts w:ascii="Times New Roman" w:eastAsia="Microsoft YaHei" w:hAnsi="Times New Roman" w:cs="Times New Roman"/>
        </w:rPr>
        <w:t>and the reproductive number could be as high as 11.07 in the beginning of the pandemic (as of 24 January 2020)</w:t>
      </w:r>
      <w:bookmarkEnd w:id="60"/>
      <w:bookmarkEnd w:id="61"/>
      <w:bookmarkEnd w:id="62"/>
      <w:bookmarkEnd w:id="63"/>
      <w:bookmarkEnd w:id="64"/>
      <w:r>
        <w:rPr>
          <w:rFonts w:ascii="Times New Roman" w:eastAsia="Microsoft YaHei" w:hAnsi="Times New Roman" w:cs="Times New Roman"/>
          <w:b/>
        </w:rPr>
        <w:t>.</w:t>
      </w:r>
      <w:bookmarkStart w:id="65" w:name="_GoBack"/>
      <w:bookmarkEnd w:id="65"/>
    </w:p>
    <w:sectPr w:rsidR="00ED74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default"/>
    <w:sig w:usb0="00000000" w:usb1="0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133FD"/>
    <w:multiLevelType w:val="hybridMultilevel"/>
    <w:tmpl w:val="B900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19"/>
    <w:rsid w:val="002E7661"/>
    <w:rsid w:val="004553C6"/>
    <w:rsid w:val="006E5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8BAFD-3B3B-47B1-BF7F-9A82C51A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D19"/>
    <w:pPr>
      <w:ind w:left="720"/>
      <w:contextualSpacing/>
    </w:pPr>
  </w:style>
  <w:style w:type="table" w:styleId="a4">
    <w:name w:val="Table Grid"/>
    <w:basedOn w:val="a1"/>
    <w:uiPriority w:val="39"/>
    <w:rsid w:val="006E5D19"/>
    <w:pPr>
      <w:spacing w:after="0" w:line="240" w:lineRule="auto"/>
    </w:pPr>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39"/>
    <w:rsid w:val="006E5D19"/>
    <w:pPr>
      <w:spacing w:after="0" w:line="240" w:lineRule="auto"/>
    </w:pPr>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 Chong</dc:creator>
  <cp:keywords/>
  <dc:description/>
  <cp:lastModifiedBy>You Chong</cp:lastModifiedBy>
  <cp:revision>1</cp:revision>
  <dcterms:created xsi:type="dcterms:W3CDTF">2023-04-02T15:13:00Z</dcterms:created>
  <dcterms:modified xsi:type="dcterms:W3CDTF">2023-04-02T15:14:00Z</dcterms:modified>
</cp:coreProperties>
</file>