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bookmarkStart w:id="0" w:name="OLE_LINK88"/>
      <w:bookmarkStart w:id="1" w:name="OLE_LINK87"/>
      <w:r>
        <w:rPr>
          <w:rFonts w:ascii="Times New Roman" w:hAnsi="Times New Roman" w:cs="Times New Roman"/>
          <w:b/>
          <w:bCs/>
          <w:sz w:val="24"/>
        </w:rPr>
        <w:t>Supplementary Fig</w:t>
      </w:r>
      <w:bookmarkEnd w:id="0"/>
      <w:bookmarkEnd w:id="1"/>
      <w:r>
        <w:rPr>
          <w:rFonts w:ascii="Times New Roman" w:hAnsi="Times New Roman" w:cs="Times New Roman"/>
          <w:b/>
          <w:bCs/>
          <w:sz w:val="24"/>
        </w:rPr>
        <w:t xml:space="preserve"> 1</w:t>
      </w:r>
    </w:p>
    <w:p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bookmarkStart w:id="2" w:name="OLE_LINK85"/>
      <w:bookmarkStart w:id="3" w:name="OLE_LINK86"/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Photoconversion of CRC cell 3D collective invasion model and </w:t>
      </w:r>
      <w:r>
        <w:rPr>
          <w:rFonts w:ascii="Times New Roman" w:hAnsi="Times New Roman" w:cs="Times New Roman"/>
          <w:b/>
          <w:bCs/>
          <w:szCs w:val="21"/>
        </w:rPr>
        <w:t>functional analyses</w:t>
      </w: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 in vitro</w:t>
      </w:r>
    </w:p>
    <w:bookmarkEnd w:id="2"/>
    <w:bookmarkEnd w:id="3"/>
    <w:p>
      <w:pPr>
        <w:spacing w:line="480" w:lineRule="auto"/>
        <w:rPr>
          <w:rFonts w:ascii="Times New Roman" w:hAnsi="Times New Roman" w:cs="Times New Roman"/>
          <w:szCs w:val="21"/>
          <w:highlight w:val="yellow"/>
        </w:rPr>
      </w:pPr>
      <w:r>
        <w:rPr>
          <w:rFonts w:ascii="Times New Roman" w:hAnsi="Times New Roman" w:cs="Times New Roman"/>
          <w:b/>
          <w:bCs/>
          <w:szCs w:val="21"/>
        </w:rPr>
        <w:t>(A)</w:t>
      </w:r>
      <w:r>
        <w:rPr>
          <w:rFonts w:ascii="Times New Roman" w:hAnsi="Times New Roman" w:cs="Times New Roman"/>
          <w:szCs w:val="21"/>
        </w:rPr>
        <w:t xml:space="preserve"> 3D multicellular spheroids culture of colorectal cancer cell lines. Scale bar, 200 μm. (</w:t>
      </w:r>
      <w:r>
        <w:rPr>
          <w:rFonts w:ascii="Times New Roman" w:hAnsi="Times New Roman" w:cs="Times New Roman"/>
          <w:b/>
          <w:bCs/>
          <w:szCs w:val="21"/>
        </w:rPr>
        <w:t>B-C)</w:t>
      </w:r>
      <w:r>
        <w:rPr>
          <w:rFonts w:ascii="Times New Roman" w:hAnsi="Times New Roman" w:cs="Times New Roman"/>
          <w:szCs w:val="21"/>
        </w:rPr>
        <w:t xml:space="preserve"> Schematic diagram of fluorescent transformation plasmid. (</w:t>
      </w:r>
      <w:r>
        <w:rPr>
          <w:rFonts w:ascii="Times New Roman" w:hAnsi="Times New Roman" w:cs="Times New Roman"/>
          <w:b/>
          <w:bCs/>
          <w:szCs w:val="21"/>
        </w:rPr>
        <w:t xml:space="preserve">D) </w:t>
      </w:r>
      <w:r>
        <w:rPr>
          <w:rFonts w:ascii="Times New Roman" w:hAnsi="Times New Roman" w:cs="Times New Roman"/>
          <w:szCs w:val="21"/>
        </w:rPr>
        <w:t>pDendar2-C plasmid transfection of colorectal cancer cell lines. Scale bar, 50μm. (</w:t>
      </w:r>
      <w:r>
        <w:rPr>
          <w:rFonts w:ascii="Times New Roman" w:hAnsi="Times New Roman" w:cs="Times New Roman"/>
          <w:b/>
          <w:bCs/>
          <w:szCs w:val="21"/>
        </w:rPr>
        <w:t>E)</w:t>
      </w:r>
      <w:r>
        <w:rPr>
          <w:rFonts w:ascii="Times New Roman" w:hAnsi="Times New Roman" w:cs="Times New Roman"/>
          <w:szCs w:val="21"/>
        </w:rPr>
        <w:t xml:space="preserve"> Fluorescence conversion of HCT15pDendar2-C Leader cells. Scale bar, 50μm. </w:t>
      </w:r>
    </w:p>
    <w:p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 Fig 2</w:t>
      </w:r>
    </w:p>
    <w:p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bookmarkStart w:id="4" w:name="OLE_LINK89"/>
      <w:bookmarkStart w:id="5" w:name="OLE_LINK47"/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The validation of </w:t>
      </w:r>
      <w:bookmarkStart w:id="6" w:name="OLE_LINK8"/>
      <w:r>
        <w:rPr>
          <w:rFonts w:ascii="Times New Roman" w:hAnsi="Times New Roman" w:cs="Times New Roman"/>
          <w:b/>
          <w:bCs/>
          <w:color w:val="000000"/>
          <w:szCs w:val="21"/>
        </w:rPr>
        <w:t>differentially expressed genes</w:t>
      </w:r>
      <w:bookmarkEnd w:id="6"/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 between leader cells and follower cells derived from SW620</w:t>
      </w:r>
    </w:p>
    <w:bookmarkEnd w:id="4"/>
    <w:bookmarkEnd w:id="5"/>
    <w:p>
      <w:pPr>
        <w:spacing w:line="480" w:lineRule="auto"/>
        <w:rPr>
          <w:rFonts w:ascii="Times New Roman" w:hAnsi="Times New Roman" w:cs="Times New Roman"/>
          <w:szCs w:val="21"/>
          <w:highlight w:val="yellow"/>
        </w:rPr>
      </w:pPr>
      <w:bookmarkStart w:id="7" w:name="OLE_LINK1"/>
      <w:r>
        <w:rPr>
          <w:rFonts w:ascii="Times New Roman" w:hAnsi="Times New Roman" w:cs="Times New Roman"/>
          <w:b/>
          <w:bCs/>
          <w:szCs w:val="21"/>
        </w:rPr>
        <w:t>(A)</w:t>
      </w:r>
      <w:bookmarkEnd w:id="7"/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Cs w:val="21"/>
        </w:rPr>
        <w:t xml:space="preserve">ELISA for the detection of NADH dehydrogenase complex I at the concentration of 150ug/ml. Each bar represents mean ± S.D. (n = 3);* P&lt;0.05. </w:t>
      </w:r>
      <w:r>
        <w:rPr>
          <w:rFonts w:ascii="Times New Roman" w:hAnsi="Times New Roman" w:cs="Times New Roman"/>
          <w:b/>
          <w:bCs/>
          <w:szCs w:val="21"/>
        </w:rPr>
        <w:t>(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B</w:t>
      </w:r>
      <w:r>
        <w:rPr>
          <w:rFonts w:ascii="Times New Roman" w:hAnsi="Times New Roman" w:cs="Times New Roman"/>
          <w:b/>
          <w:bCs/>
          <w:szCs w:val="21"/>
        </w:rPr>
        <w:t>)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Cs w:val="21"/>
        </w:rPr>
        <w:t xml:space="preserve">The detection of ATP in leader and follower cells derived from SW620. Each bar represents mean ± S.D. (n = 3); * P&lt;0.05. </w:t>
      </w:r>
      <w:r>
        <w:rPr>
          <w:rFonts w:ascii="Times New Roman" w:hAnsi="Times New Roman" w:cs="Times New Roman"/>
          <w:b/>
          <w:bCs/>
          <w:szCs w:val="21"/>
        </w:rPr>
        <w:t>(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C</w:t>
      </w:r>
      <w:r>
        <w:rPr>
          <w:rFonts w:ascii="Times New Roman" w:hAnsi="Times New Roman" w:cs="Times New Roman"/>
          <w:b/>
          <w:bCs/>
          <w:szCs w:val="21"/>
        </w:rPr>
        <w:t>)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Cs w:val="21"/>
        </w:rPr>
        <w:t>Lactic acid detection.</w:t>
      </w:r>
      <w:r>
        <w:rPr>
          <w:rFonts w:hint="eastAsia" w:ascii="Times New Roman" w:hAnsi="Times New Roman" w:cs="Times New Roman"/>
          <w:b w:val="0"/>
          <w:bCs w:val="0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(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D</w:t>
      </w:r>
      <w:r>
        <w:rPr>
          <w:rFonts w:ascii="Times New Roman" w:hAnsi="Times New Roman" w:cs="Times New Roman"/>
          <w:b/>
          <w:bCs/>
          <w:szCs w:val="21"/>
        </w:rPr>
        <w:t>)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WB analysis for </w:t>
      </w:r>
      <w:bookmarkStart w:id="8" w:name="OLE_LINK36"/>
      <w:r>
        <w:rPr>
          <w:rFonts w:ascii="Times New Roman" w:hAnsi="Times New Roman" w:cs="Times New Roman"/>
          <w:szCs w:val="21"/>
        </w:rPr>
        <w:t>the verification of</w:t>
      </w:r>
      <w:bookmarkEnd w:id="8"/>
      <w:r>
        <w:rPr>
          <w:rFonts w:ascii="Times New Roman" w:hAnsi="Times New Roman" w:cs="Times New Roman"/>
          <w:szCs w:val="21"/>
        </w:rPr>
        <w:t xml:space="preserve"> IDH2 and SAT1 interference efficiency.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/>
          <w:b/>
          <w:bCs/>
          <w:szCs w:val="21"/>
        </w:rPr>
        <w:t>E)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Cs w:val="21"/>
        </w:rPr>
        <w:t xml:space="preserve">The detection of ATP in SW620 derived leader cells which interfered with IDH2 and SAT1. Each bar represents mean ± S.D.(n = 3); * P&lt;0.05. </w:t>
      </w:r>
      <w:r>
        <w:rPr>
          <w:rFonts w:ascii="Times New Roman" w:hAnsi="Times New Roman" w:cs="Times New Roman"/>
          <w:b/>
          <w:bCs/>
          <w:szCs w:val="21"/>
        </w:rPr>
        <w:t>(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F</w:t>
      </w:r>
      <w:r>
        <w:rPr>
          <w:rFonts w:ascii="Times New Roman" w:hAnsi="Times New Roman" w:cs="Times New Roman"/>
          <w:b/>
          <w:bCs/>
          <w:szCs w:val="21"/>
        </w:rPr>
        <w:t>)</w:t>
      </w:r>
      <w:r>
        <w:rPr>
          <w:rFonts w:hint="eastAsia" w:ascii="Times New Roman" w:hAnsi="Times New Roman" w:cs="Times New Roman"/>
          <w:b w:val="0"/>
          <w:bCs w:val="0"/>
          <w:szCs w:val="21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Cs w:val="21"/>
        </w:rPr>
        <w:t>Transwell assay in vitro for the detection of invasion ability of follower cells following oligomycin treatment. Scale bar, 50 μm; Each bar represents mean ± S.D.(n = 5); * P&lt;0.05.</w:t>
      </w:r>
      <w:r>
        <w:rPr>
          <w:rFonts w:hint="eastAsia" w:ascii="Times New Roman" w:hAnsi="Times New Roman" w:cs="Times New Roman"/>
          <w:b w:val="0"/>
          <w:bCs w:val="0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(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G</w:t>
      </w:r>
      <w:r>
        <w:rPr>
          <w:rFonts w:ascii="Times New Roman" w:hAnsi="Times New Roman" w:cs="Times New Roman"/>
          <w:b/>
          <w:bCs/>
          <w:szCs w:val="21"/>
        </w:rPr>
        <w:t>)</w:t>
      </w:r>
      <w:r>
        <w:rPr>
          <w:rFonts w:hint="eastAsia" w:ascii="Times New Roman" w:hAnsi="Times New Roman" w:cs="Times New Roman"/>
          <w:b w:val="0"/>
          <w:bCs w:val="0"/>
          <w:szCs w:val="21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Cs w:val="21"/>
        </w:rPr>
        <w:t xml:space="preserve">3D multicellular spheroids culture in vitro for the detection of collective cell invasion ability of follower cells following oligomycin treatment. Scale bar, 100 μm. </w:t>
      </w:r>
      <w:r>
        <w:rPr>
          <w:rFonts w:hint="eastAsia" w:ascii="Times New Roman" w:hAnsi="Times New Roman" w:cs="Times New Roman"/>
          <w:b w:val="0"/>
          <w:bCs w:val="0"/>
          <w:szCs w:val="21"/>
          <w:lang w:val="en-US" w:eastAsia="zh-CN"/>
        </w:rPr>
        <w:t xml:space="preserve"> </w:t>
      </w:r>
    </w:p>
    <w:p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 Fig 3</w:t>
      </w:r>
    </w:p>
    <w:p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>Validation of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Cs w:val="21"/>
        </w:rPr>
        <w:t>interference efficiency</w:t>
      </w:r>
    </w:p>
    <w:p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(A-L)</w:t>
      </w:r>
      <w:r>
        <w:rPr>
          <w:rFonts w:ascii="Times New Roman" w:hAnsi="Times New Roman" w:cs="Times New Roman"/>
          <w:szCs w:val="21"/>
        </w:rPr>
        <w:t xml:space="preserve"> WB analysis and RT-PCR for the verification of interference efficiency of CCL5, SLC2A1 (GLUT1), PLOD2, GBE1, SYP, CXCR4, ANKRD37, BNIP3L, TCEAL7, SLC2A3 (GLUT3), ISG20, and BEND5 in Leader cells. </w:t>
      </w:r>
    </w:p>
    <w:p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 Fig 4</w:t>
      </w:r>
    </w:p>
    <w:p>
      <w:pPr>
        <w:spacing w:line="480" w:lineRule="auto"/>
        <w:rPr>
          <w:rFonts w:ascii="Times New Roman" w:hAnsi="Times New Roman" w:cs="Times New Roman"/>
          <w:b/>
          <w:bCs/>
          <w:color w:val="000000"/>
          <w:szCs w:val="21"/>
        </w:rPr>
      </w:pPr>
      <w:bookmarkStart w:id="9" w:name="OLE_LINK90"/>
      <w:bookmarkStart w:id="10" w:name="OLE_LINK91"/>
      <w:r>
        <w:rPr>
          <w:rFonts w:ascii="Times New Roman" w:hAnsi="Times New Roman" w:cs="Times New Roman"/>
          <w:b/>
          <w:bCs/>
          <w:color w:val="000000"/>
          <w:szCs w:val="21"/>
        </w:rPr>
        <w:t>The effect on invasion ability after interfering with differentially expressed genes in vitro</w:t>
      </w:r>
    </w:p>
    <w:bookmarkEnd w:id="9"/>
    <w:bookmarkEnd w:id="10"/>
    <w:p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(A-B)</w:t>
      </w:r>
      <w:r>
        <w:rPr>
          <w:rFonts w:ascii="Times New Roman" w:hAnsi="Times New Roman" w:cs="Times New Roman"/>
          <w:szCs w:val="21"/>
        </w:rPr>
        <w:t xml:space="preserve"> Transwell assay</w:t>
      </w:r>
      <w:r>
        <w:rPr>
          <w:rFonts w:ascii="Times New Roman" w:hAnsi="Times New Roman" w:cs="Times New Roman"/>
          <w:b/>
          <w:bCs/>
          <w:color w:val="FF0000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in vitro for the detection of the invasion ability of</w:t>
      </w:r>
      <w:bookmarkStart w:id="11" w:name="OLE_LINK38"/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leader cells following interference with different genes.</w:t>
      </w:r>
      <w:bookmarkEnd w:id="11"/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Scale bar, 50μm; Each bar represents mean ± S.D. (n = 5), 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* P&lt;0.05, </w:t>
      </w:r>
      <w:r>
        <w:rPr>
          <w:rFonts w:ascii="Times New Roman" w:hAnsi="Times New Roman" w:cs="Times New Roman"/>
          <w:szCs w:val="21"/>
        </w:rPr>
        <w:t>** P&lt;0.01.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(C)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3D multicellular spheroids culture in vitro for the detection of collective cell invasion ability </w:t>
      </w:r>
      <w:r>
        <w:rPr>
          <w:rFonts w:ascii="Times New Roman" w:hAnsi="Times New Roman" w:cs="Times New Roman"/>
          <w:szCs w:val="21"/>
        </w:rPr>
        <w:t>of leader cells following interference with different genes. Scale bar, 100μm.</w:t>
      </w:r>
    </w:p>
    <w:p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 Fig 5</w:t>
      </w:r>
    </w:p>
    <w:p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The effect verification of different inhibitors on leader cells</w:t>
      </w:r>
    </w:p>
    <w:p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(A) </w:t>
      </w:r>
      <w:bookmarkStart w:id="12" w:name="OLE_LINK42"/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WB analysis to rescue the role of GLUT1 in leader cells following interference with CCL5.</w:t>
      </w:r>
      <w:bookmarkEnd w:id="12"/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B</w:t>
      </w:r>
      <w:r>
        <w:rPr>
          <w:rFonts w:ascii="Times New Roman" w:hAnsi="Times New Roman" w:cs="Times New Roman"/>
          <w:b/>
          <w:bCs/>
          <w:szCs w:val="21"/>
        </w:rPr>
        <w:t xml:space="preserve">) 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WB analysis to rescue the role of PLOD2 in leader cells following interference with CCL5.</w:t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 w:cs="Times New Roman"/>
          <w:b/>
          <w:bCs/>
          <w:szCs w:val="21"/>
        </w:rPr>
        <w:t>)</w:t>
      </w:r>
      <w:r>
        <w:rPr>
          <w:rFonts w:ascii="Times New Roman" w:hAnsi="Times New Roman" w:cs="Times New Roman"/>
          <w:szCs w:val="21"/>
        </w:rPr>
        <w:t>The flow cytometry sorting diagram CCL5</w:t>
      </w:r>
      <w:r>
        <w:rPr>
          <w:rFonts w:ascii="Times New Roman" w:hAnsi="Times New Roman" w:cs="Times New Roman"/>
          <w:szCs w:val="21"/>
          <w:vertAlign w:val="superscript"/>
        </w:rPr>
        <w:t>+</w:t>
      </w:r>
      <w:r>
        <w:rPr>
          <w:rFonts w:ascii="Times New Roman" w:hAnsi="Times New Roman" w:cs="Times New Roman"/>
          <w:szCs w:val="21"/>
        </w:rPr>
        <w:t>GLUT1</w:t>
      </w:r>
      <w:r>
        <w:rPr>
          <w:rFonts w:ascii="Times New Roman" w:hAnsi="Times New Roman" w:cs="Times New Roman"/>
          <w:szCs w:val="21"/>
          <w:vertAlign w:val="superscript"/>
        </w:rPr>
        <w:t>+</w:t>
      </w:r>
      <w:r>
        <w:rPr>
          <w:rFonts w:ascii="Times New Roman" w:hAnsi="Times New Roman" w:cs="Times New Roman"/>
          <w:szCs w:val="21"/>
        </w:rPr>
        <w:t xml:space="preserve"> and CCL5</w:t>
      </w:r>
      <w:r>
        <w:rPr>
          <w:rFonts w:ascii="Times New Roman" w:hAnsi="Times New Roman" w:cs="Times New Roman"/>
          <w:szCs w:val="21"/>
          <w:vertAlign w:val="superscript"/>
        </w:rPr>
        <w:t>-</w:t>
      </w:r>
      <w:r>
        <w:rPr>
          <w:rFonts w:ascii="Times New Roman" w:hAnsi="Times New Roman" w:cs="Times New Roman"/>
          <w:szCs w:val="21"/>
        </w:rPr>
        <w:t>GLUT1</w:t>
      </w:r>
      <w:bookmarkStart w:id="15" w:name="_GoBack"/>
      <w:r>
        <w:rPr>
          <w:rFonts w:ascii="Times New Roman" w:hAnsi="Times New Roman" w:cs="Times New Roman"/>
          <w:szCs w:val="21"/>
          <w:vertAlign w:val="superscript"/>
        </w:rPr>
        <w:t>-</w:t>
      </w:r>
      <w:bookmarkEnd w:id="15"/>
      <w:r>
        <w:rPr>
          <w:rFonts w:ascii="Times New Roman" w:hAnsi="Times New Roman" w:cs="Times New Roman"/>
          <w:szCs w:val="21"/>
        </w:rPr>
        <w:t xml:space="preserve"> cells. </w:t>
      </w:r>
      <w:r>
        <w:rPr>
          <w:rFonts w:ascii="Times New Roman" w:hAnsi="Times New Roman" w:cs="Times New Roman"/>
          <w:b/>
          <w:bCs/>
          <w:szCs w:val="21"/>
        </w:rPr>
        <w:t>(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) </w:t>
      </w:r>
      <w:r>
        <w:rPr>
          <w:rFonts w:ascii="Times New Roman" w:hAnsi="Times New Roman" w:cs="Times New Roman"/>
          <w:szCs w:val="21"/>
        </w:rPr>
        <w:t>WB analysis for the effectiveness verification in leader cells following Maraviroc, BAY-876, and both treatments respectively.</w:t>
      </w:r>
    </w:p>
    <w:p>
      <w:pPr>
        <w:spacing w:line="480" w:lineRule="auto"/>
        <w:rPr>
          <w:rFonts w:hint="eastAsia" w:ascii="Times New Roman" w:hAnsi="Times New Roman" w:cs="Times New Roman" w:eastAsiaTheme="minorEastAsia"/>
          <w:b/>
          <w:bCs/>
          <w:szCs w:val="21"/>
          <w:lang w:eastAsia="zh-CN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Fig 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6</w:t>
      </w:r>
    </w:p>
    <w:p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bookmarkStart w:id="13" w:name="OLE_LINK94"/>
      <w:bookmarkStart w:id="14" w:name="OLE_LINK95"/>
      <w:r>
        <w:rPr>
          <w:rFonts w:ascii="Times New Roman" w:hAnsi="Times New Roman" w:cs="Times New Roman"/>
          <w:b/>
          <w:bCs/>
          <w:szCs w:val="21"/>
        </w:rPr>
        <w:t>Clinicopathological analysis of collective invasion in colorectal cancer patients</w:t>
      </w:r>
    </w:p>
    <w:bookmarkEnd w:id="13"/>
    <w:bookmarkEnd w:id="14"/>
    <w:p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szCs w:val="21"/>
        </w:rPr>
        <w:t>(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A</w:t>
      </w:r>
      <w:r>
        <w:rPr>
          <w:rFonts w:ascii="Times New Roman" w:hAnsi="Times New Roman" w:cs="Times New Roman"/>
          <w:b/>
          <w:bCs/>
          <w:szCs w:val="21"/>
        </w:rPr>
        <w:t>-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I</w:t>
      </w:r>
      <w:r>
        <w:rPr>
          <w:rFonts w:ascii="Times New Roman" w:hAnsi="Times New Roman" w:cs="Times New Roman"/>
          <w:b/>
          <w:bCs/>
          <w:szCs w:val="21"/>
        </w:rPr>
        <w:t xml:space="preserve">) </w:t>
      </w:r>
      <w:r>
        <w:rPr>
          <w:rFonts w:ascii="Times New Roman" w:hAnsi="Times New Roman" w:cs="Times New Roman"/>
          <w:szCs w:val="21"/>
        </w:rPr>
        <w:t xml:space="preserve">The relationship between different clinicopathological characteristics and invasion frontier in patients with colorectal cancer. </w:t>
      </w:r>
      <w:r>
        <w:rPr>
          <w:rFonts w:ascii="Times New Roman" w:hAnsi="Times New Roman" w:cs="Times New Roman"/>
          <w:b/>
          <w:bCs/>
          <w:szCs w:val="21"/>
        </w:rPr>
        <w:t>(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J</w:t>
      </w:r>
      <w:r>
        <w:rPr>
          <w:rFonts w:ascii="Times New Roman" w:hAnsi="Times New Roman" w:cs="Times New Roman"/>
          <w:b/>
          <w:bCs/>
          <w:szCs w:val="21"/>
        </w:rPr>
        <w:t>)</w:t>
      </w:r>
      <w:r>
        <w:rPr>
          <w:rFonts w:ascii="Times New Roman" w:hAnsi="Times New Roman" w:cs="Times New Roman"/>
          <w:szCs w:val="21"/>
        </w:rPr>
        <w:t xml:space="preserve"> Type I collagen </w:t>
      </w:r>
      <w:r>
        <w:rPr>
          <w:rFonts w:hint="eastAsia" w:ascii="Times New Roman" w:hAnsi="Times New Roman" w:cs="Times New Roman"/>
          <w:szCs w:val="21"/>
          <w:lang w:val="en-US" w:eastAsia="zh-CN"/>
        </w:rPr>
        <w:t>IHC</w:t>
      </w:r>
      <w:r>
        <w:rPr>
          <w:rFonts w:ascii="Times New Roman" w:hAnsi="Times New Roman" w:cs="Times New Roman"/>
          <w:szCs w:val="21"/>
        </w:rPr>
        <w:t xml:space="preserve"> staining of human colorectal cancer tissues. Scale bar, 50μm, 20μm. </w:t>
      </w:r>
      <w:r>
        <w:rPr>
          <w:rFonts w:ascii="Times New Roman" w:hAnsi="Times New Roman" w:cs="Times New Roman"/>
          <w:b/>
          <w:bCs/>
          <w:szCs w:val="21"/>
        </w:rPr>
        <w:t>(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K</w:t>
      </w:r>
      <w:r>
        <w:rPr>
          <w:rFonts w:ascii="Times New Roman" w:hAnsi="Times New Roman" w:cs="Times New Roman"/>
          <w:b/>
          <w:bCs/>
          <w:szCs w:val="21"/>
        </w:rPr>
        <w:t xml:space="preserve">) </w:t>
      </w:r>
      <w:r>
        <w:rPr>
          <w:rFonts w:ascii="Times New Roman" w:hAnsi="Times New Roman" w:cs="Times New Roman"/>
          <w:szCs w:val="21"/>
        </w:rPr>
        <w:t xml:space="preserve">Type I collagen </w:t>
      </w:r>
      <w:r>
        <w:rPr>
          <w:rFonts w:hint="eastAsia" w:ascii="Times New Roman" w:hAnsi="Times New Roman" w:cs="Times New Roman"/>
          <w:szCs w:val="21"/>
          <w:lang w:val="en-US" w:eastAsia="zh-CN"/>
        </w:rPr>
        <w:t>IHC</w:t>
      </w:r>
      <w:r>
        <w:rPr>
          <w:rFonts w:ascii="Times New Roman" w:hAnsi="Times New Roman" w:cs="Times New Roman"/>
          <w:szCs w:val="21"/>
        </w:rPr>
        <w:t xml:space="preserve"> staining of nude mouse subcutaneous tumor tissues. Scale bar, 50μm, 20μm.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Times New Roman (正文 CS 字体)">
    <w:altName w:val="宋体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2MjJlOGM5N2U4ZjZhNDMwM2U5MDViZDE3ZDI4NDQifQ=="/>
  </w:docVars>
  <w:rsids>
    <w:rsidRoot w:val="3AD66ED1"/>
    <w:rsid w:val="00107762"/>
    <w:rsid w:val="00162403"/>
    <w:rsid w:val="003905DF"/>
    <w:rsid w:val="0046000C"/>
    <w:rsid w:val="00732BBA"/>
    <w:rsid w:val="00755EB1"/>
    <w:rsid w:val="007B0BA8"/>
    <w:rsid w:val="00871EC6"/>
    <w:rsid w:val="0094457C"/>
    <w:rsid w:val="00A7116A"/>
    <w:rsid w:val="00B01A65"/>
    <w:rsid w:val="00CC0204"/>
    <w:rsid w:val="00D84292"/>
    <w:rsid w:val="00DC501D"/>
    <w:rsid w:val="00E41D41"/>
    <w:rsid w:val="00E6078E"/>
    <w:rsid w:val="01D2142F"/>
    <w:rsid w:val="01EA691E"/>
    <w:rsid w:val="022E3448"/>
    <w:rsid w:val="02867DBD"/>
    <w:rsid w:val="02A315BF"/>
    <w:rsid w:val="02BC46CA"/>
    <w:rsid w:val="034E6227"/>
    <w:rsid w:val="03696BF2"/>
    <w:rsid w:val="038033D7"/>
    <w:rsid w:val="03FB3941"/>
    <w:rsid w:val="04893C18"/>
    <w:rsid w:val="04F5507E"/>
    <w:rsid w:val="04FF5CDF"/>
    <w:rsid w:val="050E27CC"/>
    <w:rsid w:val="051C683A"/>
    <w:rsid w:val="05A045D0"/>
    <w:rsid w:val="06091024"/>
    <w:rsid w:val="066823D6"/>
    <w:rsid w:val="06763107"/>
    <w:rsid w:val="069C5DB6"/>
    <w:rsid w:val="074F5919"/>
    <w:rsid w:val="076171CF"/>
    <w:rsid w:val="079F2D52"/>
    <w:rsid w:val="08255A35"/>
    <w:rsid w:val="08471E20"/>
    <w:rsid w:val="08474547"/>
    <w:rsid w:val="08934354"/>
    <w:rsid w:val="08C711B3"/>
    <w:rsid w:val="08F14771"/>
    <w:rsid w:val="09391BDB"/>
    <w:rsid w:val="095A3F88"/>
    <w:rsid w:val="09C302F4"/>
    <w:rsid w:val="09FC08F4"/>
    <w:rsid w:val="0A4B5251"/>
    <w:rsid w:val="0B2671AD"/>
    <w:rsid w:val="0B5E5DFE"/>
    <w:rsid w:val="0C272694"/>
    <w:rsid w:val="0CA1314C"/>
    <w:rsid w:val="0CA5554C"/>
    <w:rsid w:val="0CAD14FE"/>
    <w:rsid w:val="0CC64C38"/>
    <w:rsid w:val="0D0A1775"/>
    <w:rsid w:val="0D4C1C87"/>
    <w:rsid w:val="0D5D47A1"/>
    <w:rsid w:val="0D8C6961"/>
    <w:rsid w:val="0D9D3015"/>
    <w:rsid w:val="0DAE3D7A"/>
    <w:rsid w:val="0E123D2D"/>
    <w:rsid w:val="0E15476E"/>
    <w:rsid w:val="0E1E3623"/>
    <w:rsid w:val="0E8E39AD"/>
    <w:rsid w:val="0F356D7A"/>
    <w:rsid w:val="1060742F"/>
    <w:rsid w:val="106654C9"/>
    <w:rsid w:val="10A738FF"/>
    <w:rsid w:val="11162392"/>
    <w:rsid w:val="112E0647"/>
    <w:rsid w:val="115200D9"/>
    <w:rsid w:val="115F59AD"/>
    <w:rsid w:val="118B3CBF"/>
    <w:rsid w:val="118D159A"/>
    <w:rsid w:val="119836EC"/>
    <w:rsid w:val="11AF6FAB"/>
    <w:rsid w:val="11C3218F"/>
    <w:rsid w:val="121C0B68"/>
    <w:rsid w:val="12445622"/>
    <w:rsid w:val="12B13884"/>
    <w:rsid w:val="12F708E7"/>
    <w:rsid w:val="13663B64"/>
    <w:rsid w:val="14BD1160"/>
    <w:rsid w:val="151920E2"/>
    <w:rsid w:val="15235D67"/>
    <w:rsid w:val="15780504"/>
    <w:rsid w:val="15B61D16"/>
    <w:rsid w:val="15D466AF"/>
    <w:rsid w:val="162D33AE"/>
    <w:rsid w:val="16C2623D"/>
    <w:rsid w:val="16DC407B"/>
    <w:rsid w:val="17F378CF"/>
    <w:rsid w:val="18383EAD"/>
    <w:rsid w:val="1841108A"/>
    <w:rsid w:val="18D21C6B"/>
    <w:rsid w:val="19461C80"/>
    <w:rsid w:val="1995735D"/>
    <w:rsid w:val="1AB23B8D"/>
    <w:rsid w:val="1B4F736D"/>
    <w:rsid w:val="1BCA6F62"/>
    <w:rsid w:val="1BDA43AF"/>
    <w:rsid w:val="1D524D2A"/>
    <w:rsid w:val="1D9A0454"/>
    <w:rsid w:val="1D9C4BBA"/>
    <w:rsid w:val="1E032CCE"/>
    <w:rsid w:val="1E233A0E"/>
    <w:rsid w:val="1F8C03D9"/>
    <w:rsid w:val="216B7F51"/>
    <w:rsid w:val="219F0AC7"/>
    <w:rsid w:val="21AD089D"/>
    <w:rsid w:val="21C81487"/>
    <w:rsid w:val="220B1C23"/>
    <w:rsid w:val="220B1CB9"/>
    <w:rsid w:val="229C52A9"/>
    <w:rsid w:val="232B1BF9"/>
    <w:rsid w:val="234A6BE3"/>
    <w:rsid w:val="23635A07"/>
    <w:rsid w:val="23F62122"/>
    <w:rsid w:val="2434694D"/>
    <w:rsid w:val="24DC0321"/>
    <w:rsid w:val="25A87585"/>
    <w:rsid w:val="25CA0988"/>
    <w:rsid w:val="25D632BC"/>
    <w:rsid w:val="25EC0869"/>
    <w:rsid w:val="26502F5D"/>
    <w:rsid w:val="26667E05"/>
    <w:rsid w:val="26826342"/>
    <w:rsid w:val="27273CBD"/>
    <w:rsid w:val="273E55C5"/>
    <w:rsid w:val="279857FD"/>
    <w:rsid w:val="27A33524"/>
    <w:rsid w:val="27BD5803"/>
    <w:rsid w:val="27E245F6"/>
    <w:rsid w:val="285D2D4B"/>
    <w:rsid w:val="28A32C4B"/>
    <w:rsid w:val="28FB34FD"/>
    <w:rsid w:val="297E0FC2"/>
    <w:rsid w:val="29ED197A"/>
    <w:rsid w:val="2B3216FD"/>
    <w:rsid w:val="2B9700F5"/>
    <w:rsid w:val="2C28298A"/>
    <w:rsid w:val="2C585E31"/>
    <w:rsid w:val="2CC27657"/>
    <w:rsid w:val="2D144117"/>
    <w:rsid w:val="2D4D7629"/>
    <w:rsid w:val="2DFE5058"/>
    <w:rsid w:val="2E440A2C"/>
    <w:rsid w:val="2F236CC6"/>
    <w:rsid w:val="2F2865F5"/>
    <w:rsid w:val="2F8A6913"/>
    <w:rsid w:val="301C3328"/>
    <w:rsid w:val="3075659C"/>
    <w:rsid w:val="30C12241"/>
    <w:rsid w:val="30DA331B"/>
    <w:rsid w:val="30DA53C4"/>
    <w:rsid w:val="30FF3071"/>
    <w:rsid w:val="31734146"/>
    <w:rsid w:val="31A656E2"/>
    <w:rsid w:val="31C111E4"/>
    <w:rsid w:val="31E30746"/>
    <w:rsid w:val="31E41A8A"/>
    <w:rsid w:val="31EA6590"/>
    <w:rsid w:val="321365F3"/>
    <w:rsid w:val="326C13AE"/>
    <w:rsid w:val="32931DBA"/>
    <w:rsid w:val="32A22EE5"/>
    <w:rsid w:val="32AC4DF2"/>
    <w:rsid w:val="32E23949"/>
    <w:rsid w:val="32F64529"/>
    <w:rsid w:val="332845A2"/>
    <w:rsid w:val="335438AF"/>
    <w:rsid w:val="33665C1E"/>
    <w:rsid w:val="33B26438"/>
    <w:rsid w:val="348E4D04"/>
    <w:rsid w:val="3528374E"/>
    <w:rsid w:val="35AA61E5"/>
    <w:rsid w:val="36060809"/>
    <w:rsid w:val="366003CD"/>
    <w:rsid w:val="36C94D6E"/>
    <w:rsid w:val="370E7E29"/>
    <w:rsid w:val="372431A9"/>
    <w:rsid w:val="37967208"/>
    <w:rsid w:val="38245E12"/>
    <w:rsid w:val="382749D0"/>
    <w:rsid w:val="389A5D08"/>
    <w:rsid w:val="38AF7FB7"/>
    <w:rsid w:val="38BE0CA9"/>
    <w:rsid w:val="3A2A5DA7"/>
    <w:rsid w:val="3A4D5CE5"/>
    <w:rsid w:val="3A816B64"/>
    <w:rsid w:val="3AD66ED1"/>
    <w:rsid w:val="3ADB0022"/>
    <w:rsid w:val="3AE65DAD"/>
    <w:rsid w:val="3B344858"/>
    <w:rsid w:val="3BE03C86"/>
    <w:rsid w:val="3BF36C43"/>
    <w:rsid w:val="3CA74F18"/>
    <w:rsid w:val="3E450229"/>
    <w:rsid w:val="3E8456AC"/>
    <w:rsid w:val="3EF9316D"/>
    <w:rsid w:val="3FAA57D9"/>
    <w:rsid w:val="3FBA7DA5"/>
    <w:rsid w:val="3FC35E86"/>
    <w:rsid w:val="3FC964D6"/>
    <w:rsid w:val="401A783F"/>
    <w:rsid w:val="40DE6E6E"/>
    <w:rsid w:val="4134561D"/>
    <w:rsid w:val="41AC2719"/>
    <w:rsid w:val="41C566F6"/>
    <w:rsid w:val="41EF130C"/>
    <w:rsid w:val="41F278B3"/>
    <w:rsid w:val="439B29AD"/>
    <w:rsid w:val="43C5223B"/>
    <w:rsid w:val="44593FA8"/>
    <w:rsid w:val="44A3059B"/>
    <w:rsid w:val="44B715CB"/>
    <w:rsid w:val="44C73044"/>
    <w:rsid w:val="44CC538F"/>
    <w:rsid w:val="450A2511"/>
    <w:rsid w:val="453335CE"/>
    <w:rsid w:val="458319E2"/>
    <w:rsid w:val="459527EB"/>
    <w:rsid w:val="45BD2BA8"/>
    <w:rsid w:val="463A4468"/>
    <w:rsid w:val="467E3CDB"/>
    <w:rsid w:val="46C206FC"/>
    <w:rsid w:val="47037619"/>
    <w:rsid w:val="47285FA7"/>
    <w:rsid w:val="47391715"/>
    <w:rsid w:val="4851401A"/>
    <w:rsid w:val="48682E21"/>
    <w:rsid w:val="48D662CD"/>
    <w:rsid w:val="48EB069F"/>
    <w:rsid w:val="490410FD"/>
    <w:rsid w:val="49192DBB"/>
    <w:rsid w:val="49291D26"/>
    <w:rsid w:val="49B36C22"/>
    <w:rsid w:val="49D55F77"/>
    <w:rsid w:val="49E044FA"/>
    <w:rsid w:val="4A7933B4"/>
    <w:rsid w:val="4ABC0F93"/>
    <w:rsid w:val="4ACE5A5A"/>
    <w:rsid w:val="4AE857AA"/>
    <w:rsid w:val="4B9560C4"/>
    <w:rsid w:val="4BC10EAB"/>
    <w:rsid w:val="4BE11211"/>
    <w:rsid w:val="4D0462DA"/>
    <w:rsid w:val="4D0A7876"/>
    <w:rsid w:val="4D4B6858"/>
    <w:rsid w:val="4D571ED5"/>
    <w:rsid w:val="4E824F2D"/>
    <w:rsid w:val="4E8376C1"/>
    <w:rsid w:val="4E9168A7"/>
    <w:rsid w:val="4F0D3069"/>
    <w:rsid w:val="4F2E6E63"/>
    <w:rsid w:val="4F5A05D7"/>
    <w:rsid w:val="4FA75828"/>
    <w:rsid w:val="4FF21512"/>
    <w:rsid w:val="50334005"/>
    <w:rsid w:val="50615285"/>
    <w:rsid w:val="50B45146"/>
    <w:rsid w:val="51291B5B"/>
    <w:rsid w:val="51A57070"/>
    <w:rsid w:val="51C31FBC"/>
    <w:rsid w:val="52192B0A"/>
    <w:rsid w:val="522A1F42"/>
    <w:rsid w:val="52645516"/>
    <w:rsid w:val="52940567"/>
    <w:rsid w:val="52D25D57"/>
    <w:rsid w:val="52D715BF"/>
    <w:rsid w:val="536B3E91"/>
    <w:rsid w:val="53FE060D"/>
    <w:rsid w:val="54106940"/>
    <w:rsid w:val="54381A66"/>
    <w:rsid w:val="543E008A"/>
    <w:rsid w:val="54414AA9"/>
    <w:rsid w:val="554C6729"/>
    <w:rsid w:val="55D3478A"/>
    <w:rsid w:val="56F97D56"/>
    <w:rsid w:val="578C58EE"/>
    <w:rsid w:val="589E238C"/>
    <w:rsid w:val="58E10BAD"/>
    <w:rsid w:val="59433623"/>
    <w:rsid w:val="59AB4EC8"/>
    <w:rsid w:val="5A185195"/>
    <w:rsid w:val="5A684C17"/>
    <w:rsid w:val="5A8711B8"/>
    <w:rsid w:val="5AD939AC"/>
    <w:rsid w:val="5AF50835"/>
    <w:rsid w:val="5AF716B9"/>
    <w:rsid w:val="5B101B12"/>
    <w:rsid w:val="5B116D77"/>
    <w:rsid w:val="5B755624"/>
    <w:rsid w:val="5BCF72D8"/>
    <w:rsid w:val="5C270F49"/>
    <w:rsid w:val="5D583075"/>
    <w:rsid w:val="5D9F7443"/>
    <w:rsid w:val="5DE37F3F"/>
    <w:rsid w:val="5DEE1403"/>
    <w:rsid w:val="5E58798A"/>
    <w:rsid w:val="5E7B3747"/>
    <w:rsid w:val="5EC549C2"/>
    <w:rsid w:val="5F0E45BB"/>
    <w:rsid w:val="5F19623E"/>
    <w:rsid w:val="5F351B48"/>
    <w:rsid w:val="604F2F3E"/>
    <w:rsid w:val="613303CA"/>
    <w:rsid w:val="62C23E8B"/>
    <w:rsid w:val="62C87178"/>
    <w:rsid w:val="62E97BDC"/>
    <w:rsid w:val="632C14B3"/>
    <w:rsid w:val="6380522B"/>
    <w:rsid w:val="64272311"/>
    <w:rsid w:val="64655798"/>
    <w:rsid w:val="64F52B51"/>
    <w:rsid w:val="653E338D"/>
    <w:rsid w:val="65985A3B"/>
    <w:rsid w:val="65993534"/>
    <w:rsid w:val="65CD2327"/>
    <w:rsid w:val="65E90FEC"/>
    <w:rsid w:val="65F37DF6"/>
    <w:rsid w:val="661204ED"/>
    <w:rsid w:val="664542F5"/>
    <w:rsid w:val="66537D6E"/>
    <w:rsid w:val="667C1E0A"/>
    <w:rsid w:val="669A57E2"/>
    <w:rsid w:val="66A00348"/>
    <w:rsid w:val="67195599"/>
    <w:rsid w:val="671C58B1"/>
    <w:rsid w:val="6798377D"/>
    <w:rsid w:val="686D573A"/>
    <w:rsid w:val="6980418F"/>
    <w:rsid w:val="6A162576"/>
    <w:rsid w:val="6A5F488C"/>
    <w:rsid w:val="6A621FA1"/>
    <w:rsid w:val="6A856939"/>
    <w:rsid w:val="6AB73D58"/>
    <w:rsid w:val="6B0147B7"/>
    <w:rsid w:val="6BE86291"/>
    <w:rsid w:val="6C164AAF"/>
    <w:rsid w:val="6C5C612E"/>
    <w:rsid w:val="6C93707E"/>
    <w:rsid w:val="6CD77652"/>
    <w:rsid w:val="6D494BE8"/>
    <w:rsid w:val="6D6C1A08"/>
    <w:rsid w:val="6DD91101"/>
    <w:rsid w:val="6EAA1DCE"/>
    <w:rsid w:val="6EB81C75"/>
    <w:rsid w:val="6EBD0F52"/>
    <w:rsid w:val="6F176B06"/>
    <w:rsid w:val="6F602CB1"/>
    <w:rsid w:val="6FE8294E"/>
    <w:rsid w:val="701A03E4"/>
    <w:rsid w:val="70A94414"/>
    <w:rsid w:val="71810F15"/>
    <w:rsid w:val="71E03B95"/>
    <w:rsid w:val="71FE73A4"/>
    <w:rsid w:val="727E7F1E"/>
    <w:rsid w:val="729D4555"/>
    <w:rsid w:val="72C17019"/>
    <w:rsid w:val="72E47A0B"/>
    <w:rsid w:val="732F2D2E"/>
    <w:rsid w:val="73A457ED"/>
    <w:rsid w:val="73E33E5C"/>
    <w:rsid w:val="73F8321F"/>
    <w:rsid w:val="74450B51"/>
    <w:rsid w:val="747D186D"/>
    <w:rsid w:val="74943856"/>
    <w:rsid w:val="74DD23F4"/>
    <w:rsid w:val="75DC1FF9"/>
    <w:rsid w:val="760D6F22"/>
    <w:rsid w:val="766C541A"/>
    <w:rsid w:val="769006E4"/>
    <w:rsid w:val="76E172FD"/>
    <w:rsid w:val="77B84C6C"/>
    <w:rsid w:val="77FF17F4"/>
    <w:rsid w:val="781C169F"/>
    <w:rsid w:val="787110B0"/>
    <w:rsid w:val="788E714D"/>
    <w:rsid w:val="78AA2807"/>
    <w:rsid w:val="79653535"/>
    <w:rsid w:val="79A33E26"/>
    <w:rsid w:val="7A792FC9"/>
    <w:rsid w:val="7AB357CD"/>
    <w:rsid w:val="7AC35E02"/>
    <w:rsid w:val="7B8F73CC"/>
    <w:rsid w:val="7BF521FF"/>
    <w:rsid w:val="7C1032C9"/>
    <w:rsid w:val="7C803A9C"/>
    <w:rsid w:val="7CAC43B8"/>
    <w:rsid w:val="7CB43C54"/>
    <w:rsid w:val="7CD01CFC"/>
    <w:rsid w:val="7D042CB7"/>
    <w:rsid w:val="7D261181"/>
    <w:rsid w:val="7D395D94"/>
    <w:rsid w:val="7D5021E2"/>
    <w:rsid w:val="7D5D41BD"/>
    <w:rsid w:val="7E88053E"/>
    <w:rsid w:val="7E9B5CE4"/>
    <w:rsid w:val="7E9F1F40"/>
    <w:rsid w:val="7EAB2E77"/>
    <w:rsid w:val="7F1C5B12"/>
    <w:rsid w:val="7F6A7194"/>
    <w:rsid w:val="7FE758EA"/>
    <w:rsid w:val="7FF7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581</Words>
  <Characters>3315</Characters>
  <Lines>27</Lines>
  <Paragraphs>7</Paragraphs>
  <TotalTime>3</TotalTime>
  <ScaleCrop>false</ScaleCrop>
  <LinksUpToDate>false</LinksUpToDate>
  <CharactersWithSpaces>3889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2021-11-28T06:54:00Z</dcterms:created>
  <dc:creator>admin</dc:creator>
  <cp:lastModifiedBy>mini飞屋</cp:lastModifiedBy>
  <dcterms:modified xsi:type="dcterms:W3CDTF">2023-03-27T02:29:30Z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288659E664E242D8A5592ABBF2C88816</vt:lpwstr>
  </property>
</Properties>
</file>