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22A0D" w14:textId="79CF94BE" w:rsidR="008B1718" w:rsidRPr="00A954C4" w:rsidRDefault="008B1718" w:rsidP="008B1718">
      <w:pPr>
        <w:spacing w:line="480" w:lineRule="auto"/>
        <w:jc w:val="center"/>
        <w:rPr>
          <w:rFonts w:asciiTheme="majorBidi" w:hAnsiTheme="majorBidi" w:cstheme="majorBidi"/>
          <w:b/>
          <w:bCs/>
          <w:color w:val="000000" w:themeColor="text1"/>
          <w:sz w:val="24"/>
          <w:szCs w:val="24"/>
        </w:rPr>
      </w:pPr>
      <w:r w:rsidRPr="00A954C4">
        <w:rPr>
          <w:rFonts w:asciiTheme="majorBidi" w:hAnsiTheme="majorBidi" w:cstheme="majorBidi"/>
          <w:b/>
          <w:bCs/>
          <w:color w:val="000000" w:themeColor="text1"/>
          <w:sz w:val="24"/>
          <w:szCs w:val="24"/>
        </w:rPr>
        <w:t>Seasonal distribution, source identification, health and eco-toxicological risk assessment of PAHs in water and sediment from the Danube River in Hungar</w:t>
      </w:r>
      <w:r w:rsidR="0062727A">
        <w:rPr>
          <w:rFonts w:asciiTheme="majorBidi" w:hAnsiTheme="majorBidi" w:cstheme="majorBidi"/>
          <w:b/>
          <w:bCs/>
          <w:color w:val="000000" w:themeColor="text1"/>
          <w:sz w:val="24"/>
          <w:szCs w:val="24"/>
        </w:rPr>
        <w:t>y</w:t>
      </w:r>
    </w:p>
    <w:p w14:paraId="3873FED4" w14:textId="2D9BFA6B" w:rsidR="008B1718" w:rsidRPr="0062727A" w:rsidRDefault="008B1718" w:rsidP="0062727A">
      <w:pPr>
        <w:spacing w:line="276" w:lineRule="auto"/>
        <w:jc w:val="center"/>
        <w:rPr>
          <w:rFonts w:asciiTheme="majorBidi" w:hAnsiTheme="majorBidi" w:cstheme="majorBidi"/>
          <w:b/>
          <w:bCs/>
          <w:color w:val="000000" w:themeColor="text1"/>
          <w:sz w:val="20"/>
          <w:szCs w:val="20"/>
          <w:vertAlign w:val="superscript"/>
        </w:rPr>
      </w:pPr>
      <w:r w:rsidRPr="0062727A">
        <w:rPr>
          <w:rFonts w:asciiTheme="majorBidi" w:hAnsiTheme="majorBidi" w:cstheme="majorBidi"/>
          <w:b/>
          <w:bCs/>
          <w:color w:val="000000" w:themeColor="text1"/>
          <w:sz w:val="20"/>
          <w:szCs w:val="20"/>
        </w:rPr>
        <w:t xml:space="preserve">Ruqayah Ali </w:t>
      </w:r>
      <w:proofErr w:type="spellStart"/>
      <w:r w:rsidRPr="0062727A">
        <w:rPr>
          <w:rFonts w:asciiTheme="majorBidi" w:hAnsiTheme="majorBidi" w:cstheme="majorBidi"/>
          <w:b/>
          <w:bCs/>
          <w:color w:val="000000" w:themeColor="text1"/>
          <w:sz w:val="20"/>
          <w:szCs w:val="20"/>
        </w:rPr>
        <w:t>Grmasha</w:t>
      </w:r>
      <w:proofErr w:type="spellEnd"/>
      <w:r w:rsidRPr="0062727A">
        <w:rPr>
          <w:rFonts w:asciiTheme="majorBidi" w:hAnsiTheme="majorBidi" w:cstheme="majorBidi"/>
          <w:b/>
          <w:bCs/>
          <w:color w:val="000000" w:themeColor="text1"/>
          <w:sz w:val="20"/>
          <w:szCs w:val="20"/>
        </w:rPr>
        <w:t xml:space="preserve"> </w:t>
      </w:r>
      <w:proofErr w:type="spellStart"/>
      <w:r w:rsidRPr="0062727A">
        <w:rPr>
          <w:rFonts w:asciiTheme="majorBidi" w:hAnsiTheme="majorBidi" w:cstheme="majorBidi"/>
          <w:b/>
          <w:bCs/>
          <w:color w:val="000000" w:themeColor="text1"/>
          <w:sz w:val="20"/>
          <w:szCs w:val="20"/>
          <w:vertAlign w:val="superscript"/>
        </w:rPr>
        <w:t>a,b</w:t>
      </w:r>
      <w:proofErr w:type="spellEnd"/>
      <w:r w:rsidRPr="0062727A">
        <w:rPr>
          <w:rFonts w:asciiTheme="majorBidi" w:hAnsiTheme="majorBidi" w:cstheme="majorBidi"/>
          <w:b/>
          <w:bCs/>
          <w:color w:val="000000" w:themeColor="text1"/>
          <w:sz w:val="20"/>
          <w:szCs w:val="20"/>
          <w:vertAlign w:val="superscript"/>
        </w:rPr>
        <w:t>,</w:t>
      </w:r>
      <w:r w:rsidRPr="0062727A">
        <w:rPr>
          <w:rFonts w:asciiTheme="majorBidi" w:hAnsiTheme="majorBidi" w:cstheme="majorBidi"/>
          <w:b/>
          <w:bCs/>
          <w:color w:val="000000" w:themeColor="text1"/>
          <w:sz w:val="20"/>
          <w:szCs w:val="20"/>
        </w:rPr>
        <w:t xml:space="preserve">*, Csilla Stenger-Kovács </w:t>
      </w:r>
      <w:proofErr w:type="spellStart"/>
      <w:r w:rsidRPr="0062727A">
        <w:rPr>
          <w:rFonts w:asciiTheme="majorBidi" w:hAnsiTheme="majorBidi" w:cstheme="majorBidi"/>
          <w:b/>
          <w:bCs/>
          <w:color w:val="000000" w:themeColor="text1"/>
          <w:sz w:val="20"/>
          <w:szCs w:val="20"/>
          <w:vertAlign w:val="superscript"/>
        </w:rPr>
        <w:t>a,c</w:t>
      </w:r>
      <w:proofErr w:type="spellEnd"/>
      <w:r w:rsidRPr="0062727A">
        <w:rPr>
          <w:rFonts w:asciiTheme="majorBidi" w:hAnsiTheme="majorBidi" w:cstheme="majorBidi"/>
          <w:b/>
          <w:bCs/>
          <w:color w:val="000000" w:themeColor="text1"/>
          <w:sz w:val="20"/>
          <w:szCs w:val="20"/>
        </w:rPr>
        <w:t>, Osamah J. Al-</w:t>
      </w:r>
      <w:proofErr w:type="spellStart"/>
      <w:r w:rsidRPr="0062727A">
        <w:rPr>
          <w:rFonts w:asciiTheme="majorBidi" w:hAnsiTheme="majorBidi" w:cstheme="majorBidi"/>
          <w:b/>
          <w:bCs/>
          <w:color w:val="000000" w:themeColor="text1"/>
          <w:sz w:val="20"/>
          <w:szCs w:val="20"/>
        </w:rPr>
        <w:t>sareji</w:t>
      </w:r>
      <w:proofErr w:type="spellEnd"/>
      <w:r w:rsidRPr="0062727A">
        <w:rPr>
          <w:rFonts w:asciiTheme="majorBidi" w:hAnsiTheme="majorBidi" w:cstheme="majorBidi"/>
          <w:b/>
          <w:bCs/>
          <w:color w:val="000000" w:themeColor="text1"/>
          <w:sz w:val="20"/>
          <w:szCs w:val="20"/>
        </w:rPr>
        <w:t xml:space="preserve"> </w:t>
      </w:r>
      <w:proofErr w:type="spellStart"/>
      <w:r w:rsidRPr="0062727A">
        <w:rPr>
          <w:rFonts w:asciiTheme="majorBidi" w:hAnsiTheme="majorBidi" w:cstheme="majorBidi"/>
          <w:b/>
          <w:bCs/>
          <w:color w:val="000000" w:themeColor="text1"/>
          <w:sz w:val="20"/>
          <w:szCs w:val="20"/>
          <w:vertAlign w:val="superscript"/>
        </w:rPr>
        <w:t>d,b</w:t>
      </w:r>
      <w:proofErr w:type="spellEnd"/>
      <w:r w:rsidRPr="0062727A">
        <w:rPr>
          <w:rFonts w:asciiTheme="majorBidi" w:hAnsiTheme="majorBidi" w:cstheme="majorBidi"/>
          <w:b/>
          <w:bCs/>
          <w:color w:val="000000" w:themeColor="text1"/>
          <w:sz w:val="20"/>
          <w:szCs w:val="20"/>
        </w:rPr>
        <w:t>, Raed A. Al-</w:t>
      </w:r>
      <w:proofErr w:type="spellStart"/>
      <w:r w:rsidRPr="0062727A">
        <w:rPr>
          <w:rFonts w:asciiTheme="majorBidi" w:hAnsiTheme="majorBidi" w:cstheme="majorBidi"/>
          <w:b/>
          <w:bCs/>
          <w:color w:val="000000" w:themeColor="text1"/>
          <w:sz w:val="20"/>
          <w:szCs w:val="20"/>
        </w:rPr>
        <w:t>Juboori</w:t>
      </w:r>
      <w:r w:rsidRPr="0062727A">
        <w:rPr>
          <w:rFonts w:asciiTheme="majorBidi" w:hAnsiTheme="majorBidi" w:cstheme="majorBidi"/>
          <w:b/>
          <w:bCs/>
          <w:color w:val="000000" w:themeColor="text1"/>
          <w:sz w:val="20"/>
          <w:szCs w:val="20"/>
          <w:vertAlign w:val="superscript"/>
        </w:rPr>
        <w:t>e,f</w:t>
      </w:r>
      <w:proofErr w:type="spellEnd"/>
      <w:r w:rsidRPr="0062727A">
        <w:rPr>
          <w:rFonts w:asciiTheme="majorBidi" w:hAnsiTheme="majorBidi" w:cstheme="majorBidi"/>
          <w:b/>
          <w:bCs/>
          <w:color w:val="000000" w:themeColor="text1"/>
          <w:sz w:val="20"/>
          <w:szCs w:val="20"/>
        </w:rPr>
        <w:t xml:space="preserve">, Mónika </w:t>
      </w:r>
      <w:proofErr w:type="spellStart"/>
      <w:r w:rsidRPr="0062727A">
        <w:rPr>
          <w:rFonts w:asciiTheme="majorBidi" w:hAnsiTheme="majorBidi" w:cstheme="majorBidi"/>
          <w:b/>
          <w:bCs/>
          <w:color w:val="000000" w:themeColor="text1"/>
          <w:sz w:val="20"/>
          <w:szCs w:val="20"/>
        </w:rPr>
        <w:t>Meiczinger</w:t>
      </w:r>
      <w:proofErr w:type="spellEnd"/>
      <w:r w:rsidRPr="0062727A">
        <w:rPr>
          <w:rFonts w:asciiTheme="majorBidi" w:hAnsiTheme="majorBidi" w:cstheme="majorBidi"/>
          <w:b/>
          <w:bCs/>
          <w:color w:val="000000" w:themeColor="text1"/>
          <w:sz w:val="20"/>
          <w:szCs w:val="20"/>
        </w:rPr>
        <w:t xml:space="preserve"> </w:t>
      </w:r>
      <w:r w:rsidRPr="0062727A">
        <w:rPr>
          <w:rFonts w:asciiTheme="majorBidi" w:hAnsiTheme="majorBidi" w:cstheme="majorBidi"/>
          <w:b/>
          <w:bCs/>
          <w:color w:val="000000" w:themeColor="text1"/>
          <w:sz w:val="20"/>
          <w:szCs w:val="20"/>
          <w:vertAlign w:val="superscript"/>
        </w:rPr>
        <w:t>d</w:t>
      </w:r>
      <w:r w:rsidRPr="0062727A">
        <w:rPr>
          <w:rFonts w:asciiTheme="majorBidi" w:hAnsiTheme="majorBidi" w:cstheme="majorBidi"/>
          <w:b/>
          <w:bCs/>
          <w:color w:val="000000" w:themeColor="text1"/>
          <w:sz w:val="20"/>
          <w:szCs w:val="20"/>
        </w:rPr>
        <w:t xml:space="preserve">, Manolia </w:t>
      </w:r>
      <w:proofErr w:type="spellStart"/>
      <w:r w:rsidRPr="0062727A">
        <w:rPr>
          <w:rFonts w:asciiTheme="majorBidi" w:hAnsiTheme="majorBidi" w:cstheme="majorBidi"/>
          <w:b/>
          <w:bCs/>
          <w:color w:val="000000" w:themeColor="text1"/>
          <w:sz w:val="20"/>
          <w:szCs w:val="20"/>
        </w:rPr>
        <w:t>Andredaki</w:t>
      </w:r>
      <w:proofErr w:type="spellEnd"/>
      <w:r w:rsidRPr="0062727A">
        <w:rPr>
          <w:rFonts w:asciiTheme="majorBidi" w:hAnsiTheme="majorBidi" w:cstheme="majorBidi"/>
          <w:b/>
          <w:bCs/>
          <w:color w:val="000000" w:themeColor="text1"/>
          <w:sz w:val="20"/>
          <w:szCs w:val="20"/>
        </w:rPr>
        <w:t xml:space="preserve"> </w:t>
      </w:r>
      <w:r w:rsidRPr="0062727A">
        <w:rPr>
          <w:rFonts w:asciiTheme="majorBidi" w:hAnsiTheme="majorBidi" w:cstheme="majorBidi"/>
          <w:b/>
          <w:bCs/>
          <w:color w:val="000000" w:themeColor="text1"/>
          <w:sz w:val="20"/>
          <w:szCs w:val="20"/>
          <w:vertAlign w:val="superscript"/>
        </w:rPr>
        <w:t>g</w:t>
      </w:r>
      <w:r w:rsidRPr="0062727A">
        <w:rPr>
          <w:rFonts w:asciiTheme="majorBidi" w:hAnsiTheme="majorBidi" w:cstheme="majorBidi"/>
          <w:b/>
          <w:bCs/>
          <w:color w:val="000000" w:themeColor="text1"/>
          <w:sz w:val="20"/>
          <w:szCs w:val="20"/>
        </w:rPr>
        <w:t xml:space="preserve">, </w:t>
      </w:r>
      <w:proofErr w:type="spellStart"/>
      <w:r w:rsidRPr="0062727A">
        <w:rPr>
          <w:rFonts w:asciiTheme="majorBidi" w:hAnsiTheme="majorBidi" w:cstheme="majorBidi"/>
          <w:b/>
          <w:bCs/>
          <w:color w:val="000000" w:themeColor="text1"/>
          <w:sz w:val="20"/>
          <w:szCs w:val="20"/>
        </w:rPr>
        <w:t>Ibijoke</w:t>
      </w:r>
      <w:proofErr w:type="spellEnd"/>
      <w:r w:rsidRPr="0062727A">
        <w:rPr>
          <w:rFonts w:asciiTheme="majorBidi" w:hAnsiTheme="majorBidi" w:cstheme="majorBidi"/>
          <w:b/>
          <w:bCs/>
          <w:color w:val="000000" w:themeColor="text1"/>
          <w:sz w:val="20"/>
          <w:szCs w:val="20"/>
        </w:rPr>
        <w:t xml:space="preserve"> A. </w:t>
      </w:r>
      <w:proofErr w:type="spellStart"/>
      <w:r w:rsidRPr="0062727A">
        <w:rPr>
          <w:rFonts w:asciiTheme="majorBidi" w:hAnsiTheme="majorBidi" w:cstheme="majorBidi"/>
          <w:b/>
          <w:bCs/>
          <w:color w:val="000000" w:themeColor="text1"/>
          <w:sz w:val="20"/>
          <w:szCs w:val="20"/>
        </w:rPr>
        <w:t>Idowu</w:t>
      </w:r>
      <w:r w:rsidRPr="0062727A">
        <w:rPr>
          <w:rFonts w:asciiTheme="majorBidi" w:hAnsiTheme="majorBidi" w:cstheme="majorBidi"/>
          <w:b/>
          <w:bCs/>
          <w:color w:val="000000" w:themeColor="text1"/>
          <w:sz w:val="20"/>
          <w:szCs w:val="20"/>
          <w:vertAlign w:val="superscript"/>
        </w:rPr>
        <w:t>g</w:t>
      </w:r>
      <w:proofErr w:type="spellEnd"/>
      <w:r w:rsidRPr="0062727A">
        <w:rPr>
          <w:rFonts w:asciiTheme="majorBidi" w:hAnsiTheme="majorBidi" w:cstheme="majorBidi"/>
          <w:b/>
          <w:bCs/>
          <w:color w:val="000000" w:themeColor="text1"/>
          <w:sz w:val="20"/>
          <w:szCs w:val="20"/>
        </w:rPr>
        <w:t xml:space="preserve">, Khalid S. Hashim </w:t>
      </w:r>
      <w:proofErr w:type="spellStart"/>
      <w:r w:rsidRPr="0062727A">
        <w:rPr>
          <w:rFonts w:asciiTheme="majorBidi" w:hAnsiTheme="majorBidi" w:cstheme="majorBidi"/>
          <w:b/>
          <w:bCs/>
          <w:color w:val="000000" w:themeColor="text1"/>
          <w:sz w:val="20"/>
          <w:szCs w:val="20"/>
          <w:vertAlign w:val="superscript"/>
        </w:rPr>
        <w:t>g,</w:t>
      </w:r>
      <w:r w:rsidR="000B5C8A">
        <w:rPr>
          <w:rFonts w:asciiTheme="majorBidi" w:hAnsiTheme="majorBidi" w:cstheme="majorBidi"/>
          <w:b/>
          <w:bCs/>
          <w:color w:val="000000" w:themeColor="text1"/>
          <w:sz w:val="20"/>
          <w:szCs w:val="20"/>
          <w:vertAlign w:val="superscript"/>
        </w:rPr>
        <w:t>b</w:t>
      </w:r>
      <w:proofErr w:type="spellEnd"/>
      <w:r w:rsidRPr="0062727A">
        <w:rPr>
          <w:rFonts w:asciiTheme="majorBidi" w:hAnsiTheme="majorBidi" w:cstheme="majorBidi"/>
          <w:b/>
          <w:bCs/>
          <w:color w:val="000000" w:themeColor="text1"/>
          <w:sz w:val="20"/>
          <w:szCs w:val="20"/>
        </w:rPr>
        <w:t>*</w:t>
      </w:r>
    </w:p>
    <w:p w14:paraId="5503D724" w14:textId="77777777" w:rsidR="008B1718" w:rsidRPr="0062727A" w:rsidRDefault="008B1718" w:rsidP="0062727A">
      <w:pPr>
        <w:spacing w:line="276" w:lineRule="auto"/>
        <w:jc w:val="both"/>
        <w:rPr>
          <w:rFonts w:asciiTheme="majorBidi" w:hAnsiTheme="majorBidi" w:cstheme="majorBidi"/>
          <w:color w:val="000000" w:themeColor="text1"/>
        </w:rPr>
      </w:pPr>
      <w:proofErr w:type="spellStart"/>
      <w:r w:rsidRPr="0062727A">
        <w:rPr>
          <w:rFonts w:asciiTheme="majorBidi" w:hAnsiTheme="majorBidi" w:cstheme="majorBidi"/>
          <w:b/>
          <w:bCs/>
          <w:color w:val="000000" w:themeColor="text1"/>
          <w:vertAlign w:val="superscript"/>
        </w:rPr>
        <w:t>a</w:t>
      </w:r>
      <w:r w:rsidRPr="0062727A">
        <w:rPr>
          <w:rFonts w:asciiTheme="majorBidi" w:hAnsiTheme="majorBidi" w:cstheme="majorBidi"/>
          <w:color w:val="000000" w:themeColor="text1"/>
        </w:rPr>
        <w:t>University</w:t>
      </w:r>
      <w:proofErr w:type="spellEnd"/>
      <w:r w:rsidRPr="0062727A">
        <w:rPr>
          <w:rFonts w:asciiTheme="majorBidi" w:hAnsiTheme="majorBidi" w:cstheme="majorBidi"/>
          <w:color w:val="000000" w:themeColor="text1"/>
        </w:rPr>
        <w:t xml:space="preserve"> of Pannonia, Faculty of Engineering, Center for Natural Science, Research Group of Limnology, H-8200 </w:t>
      </w:r>
      <w:proofErr w:type="spellStart"/>
      <w:r w:rsidRPr="0062727A">
        <w:rPr>
          <w:rFonts w:asciiTheme="majorBidi" w:hAnsiTheme="majorBidi" w:cstheme="majorBidi"/>
          <w:color w:val="000000" w:themeColor="text1"/>
        </w:rPr>
        <w:t>Veszprém</w:t>
      </w:r>
      <w:proofErr w:type="spellEnd"/>
      <w:r w:rsidRPr="0062727A">
        <w:rPr>
          <w:rFonts w:asciiTheme="majorBidi" w:hAnsiTheme="majorBidi" w:cstheme="majorBidi"/>
          <w:color w:val="000000" w:themeColor="text1"/>
        </w:rPr>
        <w:t xml:space="preserve">, </w:t>
      </w:r>
      <w:proofErr w:type="spellStart"/>
      <w:r w:rsidRPr="0062727A">
        <w:rPr>
          <w:rFonts w:asciiTheme="majorBidi" w:hAnsiTheme="majorBidi" w:cstheme="majorBidi"/>
          <w:color w:val="000000" w:themeColor="text1"/>
        </w:rPr>
        <w:t>Egyetem</w:t>
      </w:r>
      <w:proofErr w:type="spellEnd"/>
      <w:r w:rsidRPr="0062727A">
        <w:rPr>
          <w:rFonts w:asciiTheme="majorBidi" w:hAnsiTheme="majorBidi" w:cstheme="majorBidi"/>
          <w:color w:val="000000" w:themeColor="text1"/>
        </w:rPr>
        <w:t xml:space="preserve"> u. 10, Hungary</w:t>
      </w:r>
    </w:p>
    <w:p w14:paraId="0F616EE6" w14:textId="08E0406B" w:rsidR="008B1718" w:rsidRPr="0062727A" w:rsidRDefault="008B1718" w:rsidP="0062727A">
      <w:pPr>
        <w:spacing w:line="276" w:lineRule="auto"/>
        <w:jc w:val="both"/>
        <w:rPr>
          <w:rFonts w:asciiTheme="majorBidi" w:hAnsiTheme="majorBidi" w:cstheme="majorBidi"/>
          <w:color w:val="000000" w:themeColor="text1"/>
        </w:rPr>
      </w:pPr>
      <w:proofErr w:type="spellStart"/>
      <w:r w:rsidRPr="0062727A">
        <w:rPr>
          <w:rFonts w:asciiTheme="majorBidi" w:hAnsiTheme="majorBidi" w:cstheme="majorBidi"/>
          <w:b/>
          <w:bCs/>
          <w:color w:val="000000" w:themeColor="text1"/>
          <w:vertAlign w:val="superscript"/>
        </w:rPr>
        <w:t>b</w:t>
      </w:r>
      <w:r w:rsidRPr="0062727A">
        <w:rPr>
          <w:rFonts w:asciiTheme="majorBidi" w:hAnsiTheme="majorBidi" w:cstheme="majorBidi"/>
          <w:color w:val="000000" w:themeColor="text1"/>
        </w:rPr>
        <w:t>University</w:t>
      </w:r>
      <w:proofErr w:type="spellEnd"/>
      <w:r w:rsidRPr="0062727A">
        <w:rPr>
          <w:rFonts w:asciiTheme="majorBidi" w:hAnsiTheme="majorBidi" w:cstheme="majorBidi"/>
          <w:color w:val="000000" w:themeColor="text1"/>
        </w:rPr>
        <w:t xml:space="preserve"> of Babylon, Al-Hillah, Iraq</w:t>
      </w:r>
    </w:p>
    <w:p w14:paraId="27E839D5" w14:textId="77777777" w:rsidR="008B1718" w:rsidRPr="0062727A" w:rsidRDefault="008B1718" w:rsidP="0062727A">
      <w:pPr>
        <w:spacing w:line="276" w:lineRule="auto"/>
        <w:jc w:val="both"/>
        <w:rPr>
          <w:rFonts w:asciiTheme="majorBidi" w:hAnsiTheme="majorBidi" w:cstheme="majorBidi"/>
          <w:b/>
          <w:bCs/>
          <w:color w:val="000000" w:themeColor="text1"/>
          <w:vertAlign w:val="superscript"/>
        </w:rPr>
      </w:pPr>
      <w:proofErr w:type="spellStart"/>
      <w:r w:rsidRPr="0062727A">
        <w:rPr>
          <w:rFonts w:asciiTheme="majorBidi" w:hAnsiTheme="majorBidi" w:cstheme="majorBidi"/>
          <w:b/>
          <w:bCs/>
          <w:color w:val="000000" w:themeColor="text1"/>
          <w:vertAlign w:val="superscript"/>
        </w:rPr>
        <w:t>c</w:t>
      </w:r>
      <w:r w:rsidRPr="0062727A">
        <w:rPr>
          <w:rFonts w:asciiTheme="majorBidi" w:hAnsiTheme="majorBidi" w:cstheme="majorBidi"/>
          <w:color w:val="000000" w:themeColor="text1"/>
        </w:rPr>
        <w:t>ELKH</w:t>
      </w:r>
      <w:proofErr w:type="spellEnd"/>
      <w:r w:rsidRPr="0062727A">
        <w:rPr>
          <w:rFonts w:asciiTheme="majorBidi" w:hAnsiTheme="majorBidi" w:cstheme="majorBidi"/>
          <w:color w:val="000000" w:themeColor="text1"/>
        </w:rPr>
        <w:t xml:space="preserve">-PE </w:t>
      </w:r>
      <w:proofErr w:type="spellStart"/>
      <w:r w:rsidRPr="0062727A">
        <w:rPr>
          <w:rFonts w:asciiTheme="majorBidi" w:hAnsiTheme="majorBidi" w:cstheme="majorBidi"/>
          <w:color w:val="000000" w:themeColor="text1"/>
        </w:rPr>
        <w:t>Limnoecology</w:t>
      </w:r>
      <w:proofErr w:type="spellEnd"/>
      <w:r w:rsidRPr="0062727A">
        <w:rPr>
          <w:rFonts w:asciiTheme="majorBidi" w:hAnsiTheme="majorBidi" w:cstheme="majorBidi"/>
          <w:color w:val="000000" w:themeColor="text1"/>
        </w:rPr>
        <w:t xml:space="preserve"> Research Group, H-8200 </w:t>
      </w:r>
      <w:proofErr w:type="spellStart"/>
      <w:r w:rsidRPr="0062727A">
        <w:rPr>
          <w:rFonts w:asciiTheme="majorBidi" w:hAnsiTheme="majorBidi" w:cstheme="majorBidi"/>
          <w:color w:val="000000" w:themeColor="text1"/>
        </w:rPr>
        <w:t>Veszprém</w:t>
      </w:r>
      <w:proofErr w:type="spellEnd"/>
      <w:r w:rsidRPr="0062727A">
        <w:rPr>
          <w:rFonts w:asciiTheme="majorBidi" w:hAnsiTheme="majorBidi" w:cstheme="majorBidi"/>
          <w:color w:val="000000" w:themeColor="text1"/>
        </w:rPr>
        <w:t xml:space="preserve">, </w:t>
      </w:r>
      <w:proofErr w:type="spellStart"/>
      <w:r w:rsidRPr="0062727A">
        <w:rPr>
          <w:rFonts w:asciiTheme="majorBidi" w:hAnsiTheme="majorBidi" w:cstheme="majorBidi"/>
          <w:color w:val="000000" w:themeColor="text1"/>
        </w:rPr>
        <w:t>Egyetem</w:t>
      </w:r>
      <w:proofErr w:type="spellEnd"/>
      <w:r w:rsidRPr="0062727A">
        <w:rPr>
          <w:rFonts w:asciiTheme="majorBidi" w:hAnsiTheme="majorBidi" w:cstheme="majorBidi"/>
          <w:color w:val="000000" w:themeColor="text1"/>
        </w:rPr>
        <w:t xml:space="preserve"> </w:t>
      </w:r>
      <w:proofErr w:type="spellStart"/>
      <w:r w:rsidRPr="0062727A">
        <w:rPr>
          <w:rFonts w:asciiTheme="majorBidi" w:hAnsiTheme="majorBidi" w:cstheme="majorBidi"/>
          <w:color w:val="000000" w:themeColor="text1"/>
        </w:rPr>
        <w:t>utca</w:t>
      </w:r>
      <w:proofErr w:type="spellEnd"/>
      <w:r w:rsidRPr="0062727A">
        <w:rPr>
          <w:rFonts w:asciiTheme="majorBidi" w:hAnsiTheme="majorBidi" w:cstheme="majorBidi"/>
          <w:color w:val="000000" w:themeColor="text1"/>
        </w:rPr>
        <w:t xml:space="preserve"> 10. Hungary</w:t>
      </w:r>
    </w:p>
    <w:p w14:paraId="12FF76C6" w14:textId="77777777" w:rsidR="008B1718" w:rsidRPr="0062727A" w:rsidRDefault="008B1718" w:rsidP="0062727A">
      <w:pPr>
        <w:spacing w:line="276" w:lineRule="auto"/>
        <w:jc w:val="both"/>
        <w:rPr>
          <w:rFonts w:asciiTheme="majorBidi" w:hAnsiTheme="majorBidi" w:cstheme="majorBidi"/>
          <w:color w:val="000000" w:themeColor="text1"/>
        </w:rPr>
      </w:pPr>
      <w:proofErr w:type="spellStart"/>
      <w:r w:rsidRPr="0062727A">
        <w:rPr>
          <w:rFonts w:asciiTheme="majorBidi" w:hAnsiTheme="majorBidi" w:cstheme="majorBidi"/>
          <w:b/>
          <w:bCs/>
          <w:color w:val="000000" w:themeColor="text1"/>
          <w:vertAlign w:val="superscript"/>
        </w:rPr>
        <w:t>d</w:t>
      </w:r>
      <w:r w:rsidRPr="0062727A">
        <w:rPr>
          <w:rFonts w:asciiTheme="majorBidi" w:hAnsiTheme="majorBidi" w:cstheme="majorBidi"/>
          <w:color w:val="000000" w:themeColor="text1"/>
        </w:rPr>
        <w:t>Sustainability</w:t>
      </w:r>
      <w:proofErr w:type="spellEnd"/>
      <w:r w:rsidRPr="0062727A">
        <w:rPr>
          <w:rFonts w:asciiTheme="majorBidi" w:hAnsiTheme="majorBidi" w:cstheme="majorBidi"/>
          <w:color w:val="000000" w:themeColor="text1"/>
        </w:rPr>
        <w:t xml:space="preserve"> Solutions Research Lab, Faculty of Engineering, University of Pannonia, </w:t>
      </w:r>
      <w:proofErr w:type="spellStart"/>
      <w:r w:rsidRPr="0062727A">
        <w:rPr>
          <w:rFonts w:asciiTheme="majorBidi" w:hAnsiTheme="majorBidi" w:cstheme="majorBidi"/>
          <w:color w:val="000000" w:themeColor="text1"/>
        </w:rPr>
        <w:t>Egyetem</w:t>
      </w:r>
      <w:proofErr w:type="spellEnd"/>
      <w:r w:rsidRPr="0062727A">
        <w:rPr>
          <w:rFonts w:asciiTheme="majorBidi" w:hAnsiTheme="majorBidi" w:cstheme="majorBidi"/>
          <w:color w:val="000000" w:themeColor="text1"/>
        </w:rPr>
        <w:t xml:space="preserve"> str. 10, </w:t>
      </w:r>
      <w:proofErr w:type="spellStart"/>
      <w:r w:rsidRPr="0062727A">
        <w:rPr>
          <w:rFonts w:asciiTheme="majorBidi" w:hAnsiTheme="majorBidi" w:cstheme="majorBidi"/>
          <w:color w:val="000000" w:themeColor="text1"/>
        </w:rPr>
        <w:t>Veszprém</w:t>
      </w:r>
      <w:proofErr w:type="spellEnd"/>
      <w:r w:rsidRPr="0062727A">
        <w:rPr>
          <w:rFonts w:asciiTheme="majorBidi" w:hAnsiTheme="majorBidi" w:cstheme="majorBidi"/>
          <w:color w:val="000000" w:themeColor="text1"/>
        </w:rPr>
        <w:t xml:space="preserve"> H, 8200, Hungary</w:t>
      </w:r>
    </w:p>
    <w:p w14:paraId="6D7C4DF6" w14:textId="77777777" w:rsidR="008B1718" w:rsidRPr="0062727A" w:rsidRDefault="008B1718" w:rsidP="0062727A">
      <w:pPr>
        <w:spacing w:line="276" w:lineRule="auto"/>
        <w:jc w:val="both"/>
        <w:rPr>
          <w:rFonts w:asciiTheme="majorBidi" w:hAnsiTheme="majorBidi" w:cstheme="majorBidi"/>
          <w:b/>
          <w:bCs/>
          <w:color w:val="000000" w:themeColor="text1"/>
        </w:rPr>
      </w:pPr>
      <w:proofErr w:type="spellStart"/>
      <w:r w:rsidRPr="0062727A">
        <w:rPr>
          <w:rFonts w:asciiTheme="majorBidi" w:hAnsiTheme="majorBidi" w:cstheme="majorBidi"/>
          <w:b/>
          <w:bCs/>
          <w:color w:val="000000" w:themeColor="text1"/>
          <w:vertAlign w:val="superscript"/>
        </w:rPr>
        <w:t>e</w:t>
      </w:r>
      <w:r w:rsidRPr="0062727A">
        <w:rPr>
          <w:rFonts w:asciiTheme="majorBidi" w:hAnsiTheme="majorBidi" w:cstheme="majorBidi"/>
          <w:color w:val="000000" w:themeColor="text1"/>
        </w:rPr>
        <w:t>NYUAD</w:t>
      </w:r>
      <w:proofErr w:type="spellEnd"/>
      <w:r w:rsidRPr="0062727A">
        <w:rPr>
          <w:rFonts w:asciiTheme="majorBidi" w:hAnsiTheme="majorBidi" w:cstheme="majorBidi"/>
          <w:color w:val="000000" w:themeColor="text1"/>
        </w:rPr>
        <w:t xml:space="preserve"> Water Research Center, New York University-Abu Dhabi Campus, Abu Dhabi, P.O. Box 129188, Abu Dhabi, United Arab Emirates</w:t>
      </w:r>
    </w:p>
    <w:p w14:paraId="54C7D3DF" w14:textId="77777777" w:rsidR="008B1718" w:rsidRPr="0062727A" w:rsidRDefault="008B1718" w:rsidP="0062727A">
      <w:pPr>
        <w:spacing w:line="276" w:lineRule="auto"/>
        <w:jc w:val="both"/>
        <w:rPr>
          <w:rFonts w:asciiTheme="majorBidi" w:hAnsiTheme="majorBidi" w:cstheme="majorBidi"/>
          <w:color w:val="000000" w:themeColor="text1"/>
        </w:rPr>
      </w:pPr>
      <w:r w:rsidRPr="0062727A">
        <w:rPr>
          <w:rFonts w:asciiTheme="majorBidi" w:hAnsiTheme="majorBidi" w:cstheme="majorBidi"/>
          <w:b/>
          <w:bCs/>
          <w:color w:val="000000" w:themeColor="text1"/>
          <w:vertAlign w:val="superscript"/>
        </w:rPr>
        <w:t xml:space="preserve">f </w:t>
      </w:r>
      <w:r w:rsidRPr="0062727A">
        <w:rPr>
          <w:rFonts w:asciiTheme="majorBidi" w:hAnsiTheme="majorBidi" w:cstheme="majorBidi"/>
          <w:color w:val="000000" w:themeColor="text1"/>
        </w:rPr>
        <w:t>Water and Environmental Engineering Research Group, Department of Built Environment, Aalto University, P.O. Box 15200, Aalto, FI-00076, Espoo, Finland</w:t>
      </w:r>
    </w:p>
    <w:p w14:paraId="1117F572" w14:textId="67A478F6" w:rsidR="008B1718" w:rsidRPr="0062727A" w:rsidRDefault="008B1718" w:rsidP="0062727A">
      <w:pPr>
        <w:spacing w:line="276" w:lineRule="auto"/>
        <w:jc w:val="both"/>
        <w:rPr>
          <w:rFonts w:asciiTheme="majorBidi" w:hAnsiTheme="majorBidi" w:cstheme="majorBidi"/>
          <w:color w:val="000000" w:themeColor="text1"/>
        </w:rPr>
      </w:pPr>
      <w:r w:rsidRPr="0062727A">
        <w:rPr>
          <w:rFonts w:asciiTheme="majorBidi" w:hAnsiTheme="majorBidi" w:cstheme="majorBidi"/>
          <w:b/>
          <w:bCs/>
          <w:color w:val="000000" w:themeColor="text1"/>
          <w:vertAlign w:val="superscript"/>
        </w:rPr>
        <w:t xml:space="preserve">g </w:t>
      </w:r>
      <w:r w:rsidRPr="0062727A">
        <w:rPr>
          <w:rFonts w:asciiTheme="majorBidi" w:hAnsiTheme="majorBidi" w:cstheme="majorBidi"/>
          <w:color w:val="000000" w:themeColor="text1"/>
        </w:rPr>
        <w:t xml:space="preserve">School of Civil Engineering and Built Environment, Liverpool John </w:t>
      </w:r>
      <w:proofErr w:type="spellStart"/>
      <w:r w:rsidRPr="0062727A">
        <w:rPr>
          <w:rFonts w:asciiTheme="majorBidi" w:hAnsiTheme="majorBidi" w:cstheme="majorBidi"/>
          <w:color w:val="000000" w:themeColor="text1"/>
        </w:rPr>
        <w:t>Moores</w:t>
      </w:r>
      <w:proofErr w:type="spellEnd"/>
      <w:r w:rsidRPr="0062727A">
        <w:rPr>
          <w:rFonts w:asciiTheme="majorBidi" w:hAnsiTheme="majorBidi" w:cstheme="majorBidi"/>
          <w:color w:val="000000" w:themeColor="text1"/>
        </w:rPr>
        <w:t xml:space="preserve"> University, UK</w:t>
      </w:r>
    </w:p>
    <w:p w14:paraId="1EBD40D0" w14:textId="567E260B" w:rsidR="008B1718" w:rsidRPr="00B43444" w:rsidRDefault="008B1718" w:rsidP="00B43444">
      <w:pPr>
        <w:spacing w:line="480" w:lineRule="auto"/>
        <w:jc w:val="both"/>
        <w:rPr>
          <w:rStyle w:val="Hyperlink"/>
          <w:sz w:val="20"/>
          <w:szCs w:val="20"/>
        </w:rPr>
      </w:pPr>
      <w:r w:rsidRPr="0062727A">
        <w:rPr>
          <w:rFonts w:asciiTheme="majorBidi" w:hAnsiTheme="majorBidi" w:cstheme="majorBidi"/>
          <w:color w:val="000000" w:themeColor="text1"/>
        </w:rPr>
        <w:t>*Corresponding author</w:t>
      </w:r>
      <w:r w:rsidR="0062727A">
        <w:rPr>
          <w:rFonts w:asciiTheme="majorBidi" w:hAnsiTheme="majorBidi" w:cstheme="majorBidi"/>
          <w:color w:val="000000" w:themeColor="text1"/>
        </w:rPr>
        <w:t>s:</w:t>
      </w:r>
      <w:r w:rsidR="00B43444">
        <w:rPr>
          <w:rFonts w:asciiTheme="majorBidi" w:hAnsiTheme="majorBidi" w:cstheme="majorBidi"/>
          <w:color w:val="000000" w:themeColor="text1"/>
        </w:rPr>
        <w:t xml:space="preserve"> k.s.hashim@ljmu.ac.uk,</w:t>
      </w:r>
      <w:r w:rsidR="00B43444" w:rsidRPr="00B43444">
        <w:t xml:space="preserve"> </w:t>
      </w:r>
      <w:r w:rsidR="00B43444" w:rsidRPr="00B43444">
        <w:rPr>
          <w:rFonts w:asciiTheme="majorBidi" w:hAnsiTheme="majorBidi" w:cstheme="majorBidi"/>
          <w:color w:val="000000" w:themeColor="text1"/>
        </w:rPr>
        <w:t>ruqayah.grmasha@unswalumni.com</w:t>
      </w:r>
      <w:r w:rsidR="0062727A" w:rsidRPr="0062727A">
        <w:rPr>
          <w:sz w:val="20"/>
          <w:szCs w:val="20"/>
        </w:rPr>
        <w:t xml:space="preserve"> </w:t>
      </w:r>
    </w:p>
    <w:p w14:paraId="7B6CC0DF" w14:textId="77777777" w:rsidR="00486478" w:rsidRPr="00200528" w:rsidRDefault="00486478">
      <w:pPr>
        <w:rPr>
          <w:rFonts w:asciiTheme="majorBidi" w:hAnsiTheme="majorBidi" w:cstheme="majorBidi"/>
          <w:sz w:val="24"/>
          <w:szCs w:val="24"/>
        </w:rPr>
      </w:pPr>
    </w:p>
    <w:p w14:paraId="02101FC6" w14:textId="21325AC2" w:rsidR="002B0EC3" w:rsidRPr="00200528" w:rsidRDefault="002B0EC3">
      <w:pPr>
        <w:rPr>
          <w:rFonts w:asciiTheme="majorBidi" w:hAnsiTheme="majorBidi" w:cstheme="majorBidi"/>
          <w:sz w:val="24"/>
          <w:szCs w:val="24"/>
        </w:rPr>
        <w:sectPr w:rsidR="002B0EC3" w:rsidRPr="00200528">
          <w:footerReference w:type="default" r:id="rId8"/>
          <w:pgSz w:w="12240" w:h="15840"/>
          <w:pgMar w:top="1440" w:right="1440" w:bottom="1440" w:left="1440" w:header="720" w:footer="720" w:gutter="0"/>
          <w:cols w:space="720"/>
          <w:docGrid w:linePitch="360"/>
        </w:sectPr>
      </w:pPr>
    </w:p>
    <w:p w14:paraId="6E01136C" w14:textId="77777777" w:rsidR="00B5564C" w:rsidRPr="00200528" w:rsidRDefault="00B5564C" w:rsidP="00B5564C">
      <w:pPr>
        <w:spacing w:line="480" w:lineRule="auto"/>
        <w:rPr>
          <w:rFonts w:asciiTheme="majorBidi" w:hAnsiTheme="majorBidi" w:cstheme="majorBidi"/>
          <w:color w:val="000000" w:themeColor="text1"/>
          <w:sz w:val="24"/>
          <w:szCs w:val="24"/>
        </w:rPr>
      </w:pPr>
    </w:p>
    <w:tbl>
      <w:tblPr>
        <w:tblStyle w:val="PlainTable2"/>
        <w:tblW w:w="12600" w:type="dxa"/>
        <w:jc w:val="center"/>
        <w:tblLook w:val="04A0" w:firstRow="1" w:lastRow="0" w:firstColumn="1" w:lastColumn="0" w:noHBand="0" w:noVBand="1"/>
      </w:tblPr>
      <w:tblGrid>
        <w:gridCol w:w="1269"/>
        <w:gridCol w:w="2840"/>
        <w:gridCol w:w="2011"/>
        <w:gridCol w:w="2111"/>
        <w:gridCol w:w="1517"/>
        <w:gridCol w:w="1574"/>
        <w:gridCol w:w="1278"/>
      </w:tblGrid>
      <w:tr w:rsidR="00B5564C" w:rsidRPr="00200528" w14:paraId="13E509DD" w14:textId="77777777" w:rsidTr="004A25DC">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322" w:type="dxa"/>
            <w:gridSpan w:val="6"/>
            <w:tcBorders>
              <w:top w:val="nil"/>
            </w:tcBorders>
            <w:noWrap/>
          </w:tcPr>
          <w:p w14:paraId="3A53068D" w14:textId="5731B720"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color w:val="000000" w:themeColor="text1"/>
                <w:sz w:val="24"/>
                <w:szCs w:val="24"/>
              </w:rPr>
              <w:t>Table S1:</w:t>
            </w:r>
            <w:r w:rsidRPr="00200528">
              <w:rPr>
                <w:rFonts w:asciiTheme="majorBidi" w:hAnsiTheme="majorBidi" w:cstheme="majorBidi"/>
                <w:b w:val="0"/>
                <w:bCs w:val="0"/>
                <w:color w:val="000000" w:themeColor="text1"/>
                <w:sz w:val="24"/>
                <w:szCs w:val="24"/>
              </w:rPr>
              <w:t xml:space="preserve">  The 16 PAHs with their abbreviation</w:t>
            </w:r>
            <w:r w:rsidR="0010796E">
              <w:rPr>
                <w:rFonts w:asciiTheme="majorBidi" w:hAnsiTheme="majorBidi" w:cstheme="majorBidi"/>
                <w:b w:val="0"/>
                <w:bCs w:val="0"/>
                <w:color w:val="000000" w:themeColor="text1"/>
                <w:sz w:val="24"/>
                <w:szCs w:val="24"/>
              </w:rPr>
              <w:t>s</w:t>
            </w:r>
            <w:r w:rsidRPr="00200528">
              <w:rPr>
                <w:rFonts w:asciiTheme="majorBidi" w:hAnsiTheme="majorBidi" w:cstheme="majorBidi"/>
                <w:b w:val="0"/>
                <w:bCs w:val="0"/>
                <w:color w:val="000000" w:themeColor="text1"/>
                <w:sz w:val="24"/>
                <w:szCs w:val="24"/>
              </w:rPr>
              <w:t xml:space="preserve"> and specifications </w:t>
            </w:r>
          </w:p>
        </w:tc>
        <w:tc>
          <w:tcPr>
            <w:tcW w:w="1278" w:type="dxa"/>
            <w:tcBorders>
              <w:top w:val="nil"/>
            </w:tcBorders>
          </w:tcPr>
          <w:p w14:paraId="1E2F33DB" w14:textId="77777777" w:rsidR="00B5564C" w:rsidRPr="00200528" w:rsidRDefault="00B5564C" w:rsidP="00C36C75">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B5564C" w:rsidRPr="00200528" w14:paraId="36D9E5F3"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tcPr>
          <w:p w14:paraId="54B82AB1"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Abb.</w:t>
            </w:r>
          </w:p>
        </w:tc>
        <w:tc>
          <w:tcPr>
            <w:tcW w:w="2840" w:type="dxa"/>
            <w:noWrap/>
          </w:tcPr>
          <w:p w14:paraId="384AA61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PAH</w:t>
            </w:r>
          </w:p>
        </w:tc>
        <w:tc>
          <w:tcPr>
            <w:tcW w:w="2011" w:type="dxa"/>
            <w:noWrap/>
          </w:tcPr>
          <w:p w14:paraId="22D369E6" w14:textId="347CBE41" w:rsidR="00B5564C" w:rsidRPr="00200528" w:rsidRDefault="00DE77A1"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 xml:space="preserve">Molecular weight       </w:t>
            </w:r>
          </w:p>
        </w:tc>
        <w:tc>
          <w:tcPr>
            <w:tcW w:w="2111" w:type="dxa"/>
          </w:tcPr>
          <w:p w14:paraId="23925B59"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CAS#</w:t>
            </w:r>
          </w:p>
        </w:tc>
        <w:tc>
          <w:tcPr>
            <w:tcW w:w="1517" w:type="dxa"/>
          </w:tcPr>
          <w:p w14:paraId="40C7210D" w14:textId="11BD686E" w:rsidR="00B5564C" w:rsidRPr="00200528" w:rsidRDefault="00D14046"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R</w:t>
            </w:r>
            <w:r w:rsidR="00B5564C" w:rsidRPr="00200528">
              <w:rPr>
                <w:rFonts w:asciiTheme="majorBidi" w:hAnsiTheme="majorBidi" w:cstheme="majorBidi"/>
                <w:color w:val="000000" w:themeColor="text1"/>
                <w:sz w:val="24"/>
                <w:szCs w:val="24"/>
              </w:rPr>
              <w:t>ing</w:t>
            </w:r>
          </w:p>
        </w:tc>
        <w:tc>
          <w:tcPr>
            <w:tcW w:w="1574" w:type="dxa"/>
          </w:tcPr>
          <w:p w14:paraId="324BC0A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MW</w:t>
            </w:r>
          </w:p>
        </w:tc>
        <w:tc>
          <w:tcPr>
            <w:tcW w:w="1278" w:type="dxa"/>
          </w:tcPr>
          <w:p w14:paraId="1F2A5A60" w14:textId="07C99D1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TEF*</w:t>
            </w:r>
          </w:p>
        </w:tc>
      </w:tr>
      <w:tr w:rsidR="00B5564C" w:rsidRPr="00200528" w14:paraId="5946E793"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60576348"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Nap</w:t>
            </w:r>
          </w:p>
        </w:tc>
        <w:tc>
          <w:tcPr>
            <w:tcW w:w="2840" w:type="dxa"/>
            <w:noWrap/>
            <w:hideMark/>
          </w:tcPr>
          <w:p w14:paraId="1388B05A"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 xml:space="preserve">Naphthalene    </w:t>
            </w:r>
          </w:p>
        </w:tc>
        <w:tc>
          <w:tcPr>
            <w:tcW w:w="2011" w:type="dxa"/>
            <w:noWrap/>
            <w:hideMark/>
          </w:tcPr>
          <w:p w14:paraId="7DE2357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6A2964E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91-20-3</w:t>
            </w:r>
          </w:p>
        </w:tc>
        <w:tc>
          <w:tcPr>
            <w:tcW w:w="1517" w:type="dxa"/>
          </w:tcPr>
          <w:p w14:paraId="5111C485"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w:t>
            </w:r>
          </w:p>
        </w:tc>
        <w:tc>
          <w:tcPr>
            <w:tcW w:w="1574" w:type="dxa"/>
          </w:tcPr>
          <w:p w14:paraId="31ACF5CA"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128.17</w:t>
            </w:r>
          </w:p>
        </w:tc>
        <w:tc>
          <w:tcPr>
            <w:tcW w:w="1278" w:type="dxa"/>
          </w:tcPr>
          <w:p w14:paraId="535E073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4244F93D"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102EC726"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Acy</w:t>
            </w:r>
          </w:p>
        </w:tc>
        <w:tc>
          <w:tcPr>
            <w:tcW w:w="2840" w:type="dxa"/>
            <w:noWrap/>
            <w:hideMark/>
          </w:tcPr>
          <w:p w14:paraId="6D9AC0F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Ascenaphthylene</w:t>
            </w:r>
            <w:proofErr w:type="spellEnd"/>
          </w:p>
        </w:tc>
        <w:tc>
          <w:tcPr>
            <w:tcW w:w="2011" w:type="dxa"/>
            <w:noWrap/>
            <w:hideMark/>
          </w:tcPr>
          <w:p w14:paraId="64EA8EF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157C5B1A"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208-96-8</w:t>
            </w:r>
          </w:p>
        </w:tc>
        <w:tc>
          <w:tcPr>
            <w:tcW w:w="1517" w:type="dxa"/>
          </w:tcPr>
          <w:p w14:paraId="5EBFAA1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79ED36A7"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152.19</w:t>
            </w:r>
          </w:p>
        </w:tc>
        <w:tc>
          <w:tcPr>
            <w:tcW w:w="1278" w:type="dxa"/>
          </w:tcPr>
          <w:p w14:paraId="1C56A00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3F1B1867"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6B1A7FCF"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Ace</w:t>
            </w:r>
          </w:p>
        </w:tc>
        <w:tc>
          <w:tcPr>
            <w:tcW w:w="2840" w:type="dxa"/>
            <w:noWrap/>
            <w:hideMark/>
          </w:tcPr>
          <w:p w14:paraId="72A6228E"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Acenaphthene</w:t>
            </w:r>
          </w:p>
        </w:tc>
        <w:tc>
          <w:tcPr>
            <w:tcW w:w="2011" w:type="dxa"/>
            <w:noWrap/>
            <w:hideMark/>
          </w:tcPr>
          <w:p w14:paraId="6A889340"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1485ED39"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83-32-9</w:t>
            </w:r>
          </w:p>
        </w:tc>
        <w:tc>
          <w:tcPr>
            <w:tcW w:w="1517" w:type="dxa"/>
          </w:tcPr>
          <w:p w14:paraId="70EA578E"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692DD719"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154.21</w:t>
            </w:r>
          </w:p>
        </w:tc>
        <w:tc>
          <w:tcPr>
            <w:tcW w:w="1278" w:type="dxa"/>
          </w:tcPr>
          <w:p w14:paraId="1EA1C54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5D3C9D34"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0D8403CF"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Fl</w:t>
            </w:r>
          </w:p>
        </w:tc>
        <w:tc>
          <w:tcPr>
            <w:tcW w:w="2840" w:type="dxa"/>
            <w:noWrap/>
            <w:hideMark/>
          </w:tcPr>
          <w:p w14:paraId="1C92CE4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Fluorene</w:t>
            </w:r>
          </w:p>
        </w:tc>
        <w:tc>
          <w:tcPr>
            <w:tcW w:w="2011" w:type="dxa"/>
            <w:noWrap/>
            <w:hideMark/>
          </w:tcPr>
          <w:p w14:paraId="46FF53FA"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4C4578C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86-73-7</w:t>
            </w:r>
          </w:p>
        </w:tc>
        <w:tc>
          <w:tcPr>
            <w:tcW w:w="1517" w:type="dxa"/>
          </w:tcPr>
          <w:p w14:paraId="20377E2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0BEE79EE"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166.22</w:t>
            </w:r>
          </w:p>
        </w:tc>
        <w:tc>
          <w:tcPr>
            <w:tcW w:w="1278" w:type="dxa"/>
          </w:tcPr>
          <w:p w14:paraId="56C84CF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00853A0C"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7967C40E"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Phe</w:t>
            </w:r>
          </w:p>
        </w:tc>
        <w:tc>
          <w:tcPr>
            <w:tcW w:w="2840" w:type="dxa"/>
            <w:noWrap/>
            <w:hideMark/>
          </w:tcPr>
          <w:p w14:paraId="1CD94A1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Phenanthrene</w:t>
            </w:r>
          </w:p>
        </w:tc>
        <w:tc>
          <w:tcPr>
            <w:tcW w:w="2011" w:type="dxa"/>
            <w:noWrap/>
            <w:hideMark/>
          </w:tcPr>
          <w:p w14:paraId="56FB471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00E414AE"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85-01-8</w:t>
            </w:r>
          </w:p>
        </w:tc>
        <w:tc>
          <w:tcPr>
            <w:tcW w:w="1517" w:type="dxa"/>
          </w:tcPr>
          <w:p w14:paraId="48FA1554"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3D11013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178.23</w:t>
            </w:r>
          </w:p>
        </w:tc>
        <w:tc>
          <w:tcPr>
            <w:tcW w:w="1278" w:type="dxa"/>
          </w:tcPr>
          <w:p w14:paraId="5069A900"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15EC3EEA"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1210980F"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Ant</w:t>
            </w:r>
          </w:p>
        </w:tc>
        <w:tc>
          <w:tcPr>
            <w:tcW w:w="2840" w:type="dxa"/>
            <w:noWrap/>
            <w:hideMark/>
          </w:tcPr>
          <w:p w14:paraId="21A625AF"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Anthracene</w:t>
            </w:r>
          </w:p>
        </w:tc>
        <w:tc>
          <w:tcPr>
            <w:tcW w:w="2011" w:type="dxa"/>
            <w:noWrap/>
            <w:hideMark/>
          </w:tcPr>
          <w:p w14:paraId="7E006C52"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LMW</w:t>
            </w:r>
          </w:p>
        </w:tc>
        <w:tc>
          <w:tcPr>
            <w:tcW w:w="2111" w:type="dxa"/>
          </w:tcPr>
          <w:p w14:paraId="714881C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120-12-7</w:t>
            </w:r>
          </w:p>
        </w:tc>
        <w:tc>
          <w:tcPr>
            <w:tcW w:w="1517" w:type="dxa"/>
          </w:tcPr>
          <w:p w14:paraId="05A6CA5E"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3</w:t>
            </w:r>
          </w:p>
        </w:tc>
        <w:tc>
          <w:tcPr>
            <w:tcW w:w="1574" w:type="dxa"/>
          </w:tcPr>
          <w:p w14:paraId="6AAE385C"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178.23</w:t>
            </w:r>
          </w:p>
        </w:tc>
        <w:tc>
          <w:tcPr>
            <w:tcW w:w="1278" w:type="dxa"/>
          </w:tcPr>
          <w:p w14:paraId="38B514D0"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0.01</w:t>
            </w:r>
          </w:p>
        </w:tc>
      </w:tr>
      <w:tr w:rsidR="00B5564C" w:rsidRPr="00200528" w14:paraId="42BD11AD"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23365833"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Flu</w:t>
            </w:r>
          </w:p>
        </w:tc>
        <w:tc>
          <w:tcPr>
            <w:tcW w:w="2840" w:type="dxa"/>
            <w:noWrap/>
            <w:hideMark/>
          </w:tcPr>
          <w:p w14:paraId="76E2510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Fluoranthene</w:t>
            </w:r>
          </w:p>
        </w:tc>
        <w:tc>
          <w:tcPr>
            <w:tcW w:w="2011" w:type="dxa"/>
            <w:noWrap/>
            <w:hideMark/>
          </w:tcPr>
          <w:p w14:paraId="634C4639"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002EE52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206-44-0</w:t>
            </w:r>
          </w:p>
        </w:tc>
        <w:tc>
          <w:tcPr>
            <w:tcW w:w="1517" w:type="dxa"/>
          </w:tcPr>
          <w:p w14:paraId="2218F676"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w:t>
            </w:r>
          </w:p>
        </w:tc>
        <w:tc>
          <w:tcPr>
            <w:tcW w:w="1574" w:type="dxa"/>
          </w:tcPr>
          <w:p w14:paraId="32B3CDA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202.26</w:t>
            </w:r>
          </w:p>
        </w:tc>
        <w:tc>
          <w:tcPr>
            <w:tcW w:w="1278" w:type="dxa"/>
          </w:tcPr>
          <w:p w14:paraId="36E6790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0ABDF54E"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6A5BEC6B"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Pyr</w:t>
            </w:r>
            <w:proofErr w:type="spellEnd"/>
          </w:p>
        </w:tc>
        <w:tc>
          <w:tcPr>
            <w:tcW w:w="2840" w:type="dxa"/>
            <w:noWrap/>
            <w:hideMark/>
          </w:tcPr>
          <w:p w14:paraId="6389A527"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Pyrene</w:t>
            </w:r>
          </w:p>
        </w:tc>
        <w:tc>
          <w:tcPr>
            <w:tcW w:w="2011" w:type="dxa"/>
            <w:noWrap/>
            <w:hideMark/>
          </w:tcPr>
          <w:p w14:paraId="3291B2AB"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1A801A5F"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129-00-0</w:t>
            </w:r>
          </w:p>
        </w:tc>
        <w:tc>
          <w:tcPr>
            <w:tcW w:w="1517" w:type="dxa"/>
          </w:tcPr>
          <w:p w14:paraId="3F80769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w:t>
            </w:r>
          </w:p>
        </w:tc>
        <w:tc>
          <w:tcPr>
            <w:tcW w:w="1574" w:type="dxa"/>
          </w:tcPr>
          <w:p w14:paraId="3E52750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202.26</w:t>
            </w:r>
          </w:p>
        </w:tc>
        <w:tc>
          <w:tcPr>
            <w:tcW w:w="1278" w:type="dxa"/>
          </w:tcPr>
          <w:p w14:paraId="7C600573"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0.001</w:t>
            </w:r>
          </w:p>
        </w:tc>
      </w:tr>
      <w:tr w:rsidR="00B5564C" w:rsidRPr="00200528" w14:paraId="2B2BBB17"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347873CC"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BaA</w:t>
            </w:r>
            <w:proofErr w:type="spellEnd"/>
          </w:p>
        </w:tc>
        <w:tc>
          <w:tcPr>
            <w:tcW w:w="2840" w:type="dxa"/>
            <w:noWrap/>
            <w:hideMark/>
          </w:tcPr>
          <w:p w14:paraId="0BFF375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 xml:space="preserve">Benz(a)anthracene </w:t>
            </w:r>
          </w:p>
        </w:tc>
        <w:tc>
          <w:tcPr>
            <w:tcW w:w="2011" w:type="dxa"/>
            <w:noWrap/>
            <w:hideMark/>
          </w:tcPr>
          <w:p w14:paraId="58FBFE51"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56585C37"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56-55-3</w:t>
            </w:r>
          </w:p>
        </w:tc>
        <w:tc>
          <w:tcPr>
            <w:tcW w:w="1517" w:type="dxa"/>
          </w:tcPr>
          <w:p w14:paraId="16D68E50"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w:t>
            </w:r>
          </w:p>
        </w:tc>
        <w:tc>
          <w:tcPr>
            <w:tcW w:w="1574" w:type="dxa"/>
          </w:tcPr>
          <w:p w14:paraId="401E4EDB"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228.29</w:t>
            </w:r>
          </w:p>
        </w:tc>
        <w:tc>
          <w:tcPr>
            <w:tcW w:w="1278" w:type="dxa"/>
          </w:tcPr>
          <w:p w14:paraId="65C3FF73"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0.1</w:t>
            </w:r>
          </w:p>
        </w:tc>
      </w:tr>
      <w:tr w:rsidR="00B5564C" w:rsidRPr="00200528" w14:paraId="6D36CF1E"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47B532CD"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Chr</w:t>
            </w:r>
          </w:p>
        </w:tc>
        <w:tc>
          <w:tcPr>
            <w:tcW w:w="2840" w:type="dxa"/>
            <w:noWrap/>
            <w:hideMark/>
          </w:tcPr>
          <w:p w14:paraId="0D6ACD53"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Chrysene</w:t>
            </w:r>
          </w:p>
        </w:tc>
        <w:tc>
          <w:tcPr>
            <w:tcW w:w="2011" w:type="dxa"/>
            <w:noWrap/>
            <w:hideMark/>
          </w:tcPr>
          <w:p w14:paraId="55539D60"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03C95CDF"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218-01-9</w:t>
            </w:r>
          </w:p>
        </w:tc>
        <w:tc>
          <w:tcPr>
            <w:tcW w:w="1517" w:type="dxa"/>
          </w:tcPr>
          <w:p w14:paraId="5EFC8730"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w:t>
            </w:r>
          </w:p>
        </w:tc>
        <w:tc>
          <w:tcPr>
            <w:tcW w:w="1574" w:type="dxa"/>
          </w:tcPr>
          <w:p w14:paraId="18DB34C6"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228.29</w:t>
            </w:r>
          </w:p>
        </w:tc>
        <w:tc>
          <w:tcPr>
            <w:tcW w:w="1278" w:type="dxa"/>
          </w:tcPr>
          <w:p w14:paraId="2C845ED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0.01</w:t>
            </w:r>
          </w:p>
        </w:tc>
      </w:tr>
      <w:tr w:rsidR="00B5564C" w:rsidRPr="00200528" w14:paraId="4D84149C"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6AB4A583"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BbF</w:t>
            </w:r>
            <w:proofErr w:type="spellEnd"/>
          </w:p>
        </w:tc>
        <w:tc>
          <w:tcPr>
            <w:tcW w:w="2840" w:type="dxa"/>
            <w:noWrap/>
            <w:hideMark/>
          </w:tcPr>
          <w:p w14:paraId="2F3E76EC"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 xml:space="preserve">Benzo(b)f </w:t>
            </w:r>
            <w:proofErr w:type="spellStart"/>
            <w:r w:rsidRPr="00200528">
              <w:rPr>
                <w:rFonts w:asciiTheme="majorBidi" w:hAnsiTheme="majorBidi" w:cstheme="majorBidi"/>
                <w:color w:val="000000" w:themeColor="text1"/>
                <w:sz w:val="24"/>
                <w:szCs w:val="24"/>
              </w:rPr>
              <w:t>luoranthene</w:t>
            </w:r>
            <w:proofErr w:type="spellEnd"/>
          </w:p>
        </w:tc>
        <w:tc>
          <w:tcPr>
            <w:tcW w:w="2011" w:type="dxa"/>
            <w:noWrap/>
            <w:hideMark/>
          </w:tcPr>
          <w:p w14:paraId="0A64F788"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5E78CDEF"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205-99-2</w:t>
            </w:r>
          </w:p>
        </w:tc>
        <w:tc>
          <w:tcPr>
            <w:tcW w:w="1517" w:type="dxa"/>
          </w:tcPr>
          <w:p w14:paraId="5B81262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w:t>
            </w:r>
          </w:p>
        </w:tc>
        <w:tc>
          <w:tcPr>
            <w:tcW w:w="1574" w:type="dxa"/>
          </w:tcPr>
          <w:p w14:paraId="04A0DE2A"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253.32</w:t>
            </w:r>
          </w:p>
        </w:tc>
        <w:tc>
          <w:tcPr>
            <w:tcW w:w="1278" w:type="dxa"/>
          </w:tcPr>
          <w:p w14:paraId="2A77B5BE"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231F20"/>
                <w:sz w:val="24"/>
                <w:szCs w:val="24"/>
              </w:rPr>
              <w:t>0.1</w:t>
            </w:r>
          </w:p>
        </w:tc>
      </w:tr>
      <w:tr w:rsidR="00B5564C" w:rsidRPr="00200528" w14:paraId="3D53B464"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5F1795AA"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BkF</w:t>
            </w:r>
            <w:proofErr w:type="spellEnd"/>
          </w:p>
        </w:tc>
        <w:tc>
          <w:tcPr>
            <w:tcW w:w="2840" w:type="dxa"/>
            <w:noWrap/>
            <w:hideMark/>
          </w:tcPr>
          <w:p w14:paraId="26D5714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 xml:space="preserve">Benzo(k)f </w:t>
            </w:r>
            <w:proofErr w:type="spellStart"/>
            <w:r w:rsidRPr="00200528">
              <w:rPr>
                <w:rFonts w:asciiTheme="majorBidi" w:hAnsiTheme="majorBidi" w:cstheme="majorBidi"/>
                <w:color w:val="000000" w:themeColor="text1"/>
                <w:sz w:val="24"/>
                <w:szCs w:val="24"/>
              </w:rPr>
              <w:t>luoranthene</w:t>
            </w:r>
            <w:proofErr w:type="spellEnd"/>
          </w:p>
        </w:tc>
        <w:tc>
          <w:tcPr>
            <w:tcW w:w="2011" w:type="dxa"/>
            <w:noWrap/>
            <w:hideMark/>
          </w:tcPr>
          <w:p w14:paraId="656868F1"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718EDAD0"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207-08-9</w:t>
            </w:r>
          </w:p>
        </w:tc>
        <w:tc>
          <w:tcPr>
            <w:tcW w:w="1517" w:type="dxa"/>
          </w:tcPr>
          <w:p w14:paraId="106D41AC"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w:t>
            </w:r>
          </w:p>
        </w:tc>
        <w:tc>
          <w:tcPr>
            <w:tcW w:w="1574" w:type="dxa"/>
          </w:tcPr>
          <w:p w14:paraId="4A7D0A5F"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253.32</w:t>
            </w:r>
          </w:p>
        </w:tc>
        <w:tc>
          <w:tcPr>
            <w:tcW w:w="1278" w:type="dxa"/>
          </w:tcPr>
          <w:p w14:paraId="3A03C2C4"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0.1</w:t>
            </w:r>
          </w:p>
        </w:tc>
      </w:tr>
      <w:tr w:rsidR="00B5564C" w:rsidRPr="00200528" w14:paraId="691ACEB3"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4F3C3C57"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BaP</w:t>
            </w:r>
            <w:proofErr w:type="spellEnd"/>
          </w:p>
        </w:tc>
        <w:tc>
          <w:tcPr>
            <w:tcW w:w="2840" w:type="dxa"/>
            <w:noWrap/>
            <w:hideMark/>
          </w:tcPr>
          <w:p w14:paraId="54E3B18B"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 xml:space="preserve">Benzo(a)pyrene </w:t>
            </w:r>
          </w:p>
        </w:tc>
        <w:tc>
          <w:tcPr>
            <w:tcW w:w="2011" w:type="dxa"/>
            <w:noWrap/>
            <w:hideMark/>
          </w:tcPr>
          <w:p w14:paraId="3E1EF677"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44E20C5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50-32-8</w:t>
            </w:r>
          </w:p>
        </w:tc>
        <w:tc>
          <w:tcPr>
            <w:tcW w:w="1517" w:type="dxa"/>
          </w:tcPr>
          <w:p w14:paraId="2EFF7E81"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5</w:t>
            </w:r>
          </w:p>
        </w:tc>
        <w:tc>
          <w:tcPr>
            <w:tcW w:w="1574" w:type="dxa"/>
          </w:tcPr>
          <w:p w14:paraId="1AA4F71A"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253.32</w:t>
            </w:r>
          </w:p>
        </w:tc>
        <w:tc>
          <w:tcPr>
            <w:tcW w:w="1278" w:type="dxa"/>
          </w:tcPr>
          <w:p w14:paraId="45A86AE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w:t>
            </w:r>
          </w:p>
        </w:tc>
      </w:tr>
      <w:tr w:rsidR="00B5564C" w:rsidRPr="00200528" w14:paraId="3BDDB053"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noWrap/>
            <w:hideMark/>
          </w:tcPr>
          <w:p w14:paraId="4478A99B"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lastRenderedPageBreak/>
              <w:t>DBA</w:t>
            </w:r>
          </w:p>
        </w:tc>
        <w:tc>
          <w:tcPr>
            <w:tcW w:w="2840" w:type="dxa"/>
            <w:noWrap/>
            <w:hideMark/>
          </w:tcPr>
          <w:p w14:paraId="640F6D7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Dibenz</w:t>
            </w:r>
            <w:proofErr w:type="spellEnd"/>
            <w:r w:rsidRPr="00200528">
              <w:rPr>
                <w:rFonts w:asciiTheme="majorBidi" w:hAnsiTheme="majorBidi" w:cstheme="majorBidi"/>
                <w:color w:val="000000" w:themeColor="text1"/>
                <w:sz w:val="24"/>
                <w:szCs w:val="24"/>
              </w:rPr>
              <w:t>(</w:t>
            </w:r>
            <w:proofErr w:type="spellStart"/>
            <w:r w:rsidRPr="00200528">
              <w:rPr>
                <w:rFonts w:asciiTheme="majorBidi" w:hAnsiTheme="majorBidi" w:cstheme="majorBidi"/>
                <w:color w:val="000000" w:themeColor="text1"/>
                <w:sz w:val="24"/>
                <w:szCs w:val="24"/>
              </w:rPr>
              <w:t>a,h</w:t>
            </w:r>
            <w:proofErr w:type="spellEnd"/>
            <w:r w:rsidRPr="00200528">
              <w:rPr>
                <w:rFonts w:asciiTheme="majorBidi" w:hAnsiTheme="majorBidi" w:cstheme="majorBidi"/>
                <w:color w:val="000000" w:themeColor="text1"/>
                <w:sz w:val="24"/>
                <w:szCs w:val="24"/>
              </w:rPr>
              <w:t>)anthracene</w:t>
            </w:r>
          </w:p>
        </w:tc>
        <w:tc>
          <w:tcPr>
            <w:tcW w:w="2011" w:type="dxa"/>
            <w:noWrap/>
            <w:hideMark/>
          </w:tcPr>
          <w:p w14:paraId="3EE70CA7"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Pr>
          <w:p w14:paraId="40DD32C4"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215-58-7</w:t>
            </w:r>
          </w:p>
        </w:tc>
        <w:tc>
          <w:tcPr>
            <w:tcW w:w="1517" w:type="dxa"/>
          </w:tcPr>
          <w:p w14:paraId="00F169B7"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6</w:t>
            </w:r>
          </w:p>
        </w:tc>
        <w:tc>
          <w:tcPr>
            <w:tcW w:w="1574" w:type="dxa"/>
          </w:tcPr>
          <w:p w14:paraId="4871432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278.35</w:t>
            </w:r>
          </w:p>
        </w:tc>
        <w:tc>
          <w:tcPr>
            <w:tcW w:w="1278" w:type="dxa"/>
          </w:tcPr>
          <w:p w14:paraId="3C2A3FC8"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w:t>
            </w:r>
          </w:p>
        </w:tc>
      </w:tr>
      <w:tr w:rsidR="00B5564C" w:rsidRPr="00200528" w14:paraId="0EBA2153"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9" w:type="dxa"/>
            <w:tcBorders>
              <w:bottom w:val="single" w:sz="4" w:space="0" w:color="7F7F7F" w:themeColor="text1" w:themeTint="80"/>
            </w:tcBorders>
            <w:noWrap/>
            <w:hideMark/>
          </w:tcPr>
          <w:p w14:paraId="42C243BB"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proofErr w:type="spellStart"/>
            <w:r w:rsidRPr="00200528">
              <w:rPr>
                <w:rFonts w:asciiTheme="majorBidi" w:hAnsiTheme="majorBidi" w:cstheme="majorBidi"/>
                <w:b w:val="0"/>
                <w:bCs w:val="0"/>
                <w:color w:val="000000" w:themeColor="text1"/>
                <w:sz w:val="24"/>
                <w:szCs w:val="24"/>
              </w:rPr>
              <w:t>BghiP</w:t>
            </w:r>
            <w:proofErr w:type="spellEnd"/>
          </w:p>
        </w:tc>
        <w:tc>
          <w:tcPr>
            <w:tcW w:w="2840" w:type="dxa"/>
            <w:tcBorders>
              <w:bottom w:val="single" w:sz="4" w:space="0" w:color="7F7F7F" w:themeColor="text1" w:themeTint="80"/>
            </w:tcBorders>
            <w:noWrap/>
            <w:hideMark/>
          </w:tcPr>
          <w:p w14:paraId="31AD462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lang w:val="sv-SE"/>
              </w:rPr>
            </w:pPr>
            <w:r w:rsidRPr="00200528">
              <w:rPr>
                <w:rFonts w:asciiTheme="majorBidi" w:hAnsiTheme="majorBidi" w:cstheme="majorBidi"/>
                <w:color w:val="000000" w:themeColor="text1"/>
                <w:sz w:val="24"/>
                <w:szCs w:val="24"/>
                <w:lang w:val="sv-SE"/>
              </w:rPr>
              <w:t>Benzo (g,h,i) perylene</w:t>
            </w:r>
          </w:p>
        </w:tc>
        <w:tc>
          <w:tcPr>
            <w:tcW w:w="2011" w:type="dxa"/>
            <w:tcBorders>
              <w:bottom w:val="single" w:sz="4" w:space="0" w:color="7F7F7F" w:themeColor="text1" w:themeTint="80"/>
            </w:tcBorders>
            <w:noWrap/>
            <w:hideMark/>
          </w:tcPr>
          <w:p w14:paraId="5F686117"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Borders>
              <w:bottom w:val="single" w:sz="4" w:space="0" w:color="7F7F7F" w:themeColor="text1" w:themeTint="80"/>
            </w:tcBorders>
          </w:tcPr>
          <w:p w14:paraId="426187EC"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191-24-2</w:t>
            </w:r>
          </w:p>
        </w:tc>
        <w:tc>
          <w:tcPr>
            <w:tcW w:w="1517" w:type="dxa"/>
            <w:tcBorders>
              <w:bottom w:val="single" w:sz="4" w:space="0" w:color="7F7F7F" w:themeColor="text1" w:themeTint="80"/>
            </w:tcBorders>
          </w:tcPr>
          <w:p w14:paraId="32A83709"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6</w:t>
            </w:r>
          </w:p>
        </w:tc>
        <w:tc>
          <w:tcPr>
            <w:tcW w:w="1574" w:type="dxa"/>
            <w:tcBorders>
              <w:bottom w:val="single" w:sz="4" w:space="0" w:color="7F7F7F" w:themeColor="text1" w:themeTint="80"/>
            </w:tcBorders>
          </w:tcPr>
          <w:p w14:paraId="7A5426FD"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276.34</w:t>
            </w:r>
          </w:p>
        </w:tc>
        <w:tc>
          <w:tcPr>
            <w:tcW w:w="1278" w:type="dxa"/>
            <w:tcBorders>
              <w:bottom w:val="single" w:sz="4" w:space="0" w:color="7F7F7F" w:themeColor="text1" w:themeTint="80"/>
            </w:tcBorders>
          </w:tcPr>
          <w:p w14:paraId="0968A622" w14:textId="77777777" w:rsidR="00B5564C" w:rsidRPr="00200528" w:rsidRDefault="00B5564C" w:rsidP="00C36C75">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0.01</w:t>
            </w:r>
          </w:p>
        </w:tc>
      </w:tr>
      <w:tr w:rsidR="00B5564C" w:rsidRPr="00200528" w14:paraId="61DDA689" w14:textId="77777777" w:rsidTr="004A25D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69" w:type="dxa"/>
            <w:tcBorders>
              <w:bottom w:val="single" w:sz="4" w:space="0" w:color="auto"/>
            </w:tcBorders>
            <w:noWrap/>
            <w:hideMark/>
          </w:tcPr>
          <w:p w14:paraId="159D1EC2" w14:textId="77777777" w:rsidR="00B5564C" w:rsidRPr="00200528" w:rsidRDefault="00B5564C" w:rsidP="00C36C75">
            <w:pPr>
              <w:spacing w:line="480" w:lineRule="auto"/>
              <w:rPr>
                <w:rFonts w:asciiTheme="majorBidi" w:hAnsiTheme="majorBidi" w:cstheme="majorBidi"/>
                <w:b w:val="0"/>
                <w:bCs w:val="0"/>
                <w:color w:val="000000" w:themeColor="text1"/>
                <w:sz w:val="24"/>
                <w:szCs w:val="24"/>
              </w:rPr>
            </w:pPr>
            <w:r w:rsidRPr="00200528">
              <w:rPr>
                <w:rFonts w:asciiTheme="majorBidi" w:hAnsiTheme="majorBidi" w:cstheme="majorBidi"/>
                <w:b w:val="0"/>
                <w:bCs w:val="0"/>
                <w:color w:val="000000" w:themeColor="text1"/>
                <w:sz w:val="24"/>
                <w:szCs w:val="24"/>
              </w:rPr>
              <w:t>IND</w:t>
            </w:r>
          </w:p>
        </w:tc>
        <w:tc>
          <w:tcPr>
            <w:tcW w:w="2840" w:type="dxa"/>
            <w:tcBorders>
              <w:bottom w:val="single" w:sz="4" w:space="0" w:color="auto"/>
            </w:tcBorders>
            <w:noWrap/>
            <w:hideMark/>
          </w:tcPr>
          <w:p w14:paraId="47B1B56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roofErr w:type="spellStart"/>
            <w:r w:rsidRPr="00200528">
              <w:rPr>
                <w:rFonts w:asciiTheme="majorBidi" w:hAnsiTheme="majorBidi" w:cstheme="majorBidi"/>
                <w:color w:val="000000" w:themeColor="text1"/>
                <w:sz w:val="24"/>
                <w:szCs w:val="24"/>
              </w:rPr>
              <w:t>Indeno</w:t>
            </w:r>
            <w:proofErr w:type="spellEnd"/>
            <w:r w:rsidRPr="00200528">
              <w:rPr>
                <w:rFonts w:asciiTheme="majorBidi" w:hAnsiTheme="majorBidi" w:cstheme="majorBidi"/>
                <w:color w:val="000000" w:themeColor="text1"/>
                <w:sz w:val="24"/>
                <w:szCs w:val="24"/>
              </w:rPr>
              <w:t xml:space="preserve">(1,2,3-cd)pyrene </w:t>
            </w:r>
          </w:p>
        </w:tc>
        <w:tc>
          <w:tcPr>
            <w:tcW w:w="2011" w:type="dxa"/>
            <w:tcBorders>
              <w:bottom w:val="single" w:sz="4" w:space="0" w:color="auto"/>
            </w:tcBorders>
            <w:noWrap/>
            <w:hideMark/>
          </w:tcPr>
          <w:p w14:paraId="0788B10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HMW</w:t>
            </w:r>
          </w:p>
        </w:tc>
        <w:tc>
          <w:tcPr>
            <w:tcW w:w="2111" w:type="dxa"/>
            <w:tcBorders>
              <w:bottom w:val="single" w:sz="4" w:space="0" w:color="auto"/>
            </w:tcBorders>
          </w:tcPr>
          <w:p w14:paraId="21FBD1AD"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193-39-5</w:t>
            </w:r>
          </w:p>
        </w:tc>
        <w:tc>
          <w:tcPr>
            <w:tcW w:w="1517" w:type="dxa"/>
            <w:tcBorders>
              <w:bottom w:val="single" w:sz="4" w:space="0" w:color="auto"/>
            </w:tcBorders>
          </w:tcPr>
          <w:p w14:paraId="54A7B0EA"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6</w:t>
            </w:r>
          </w:p>
        </w:tc>
        <w:tc>
          <w:tcPr>
            <w:tcW w:w="1574" w:type="dxa"/>
            <w:tcBorders>
              <w:bottom w:val="single" w:sz="4" w:space="0" w:color="auto"/>
            </w:tcBorders>
          </w:tcPr>
          <w:p w14:paraId="403ADD65"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276.34</w:t>
            </w:r>
          </w:p>
        </w:tc>
        <w:tc>
          <w:tcPr>
            <w:tcW w:w="1278" w:type="dxa"/>
            <w:tcBorders>
              <w:bottom w:val="single" w:sz="4" w:space="0" w:color="auto"/>
            </w:tcBorders>
          </w:tcPr>
          <w:p w14:paraId="2D4C441C" w14:textId="77777777" w:rsidR="00B5564C" w:rsidRPr="00200528" w:rsidRDefault="00B5564C" w:rsidP="00C36C75">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0.1</w:t>
            </w:r>
          </w:p>
        </w:tc>
      </w:tr>
      <w:tr w:rsidR="005B62C0" w:rsidRPr="00200528" w14:paraId="465CBE89" w14:textId="77777777" w:rsidTr="004A25DC">
        <w:trPr>
          <w:trHeight w:val="288"/>
          <w:jc w:val="center"/>
        </w:trPr>
        <w:tc>
          <w:tcPr>
            <w:cnfStyle w:val="001000000000" w:firstRow="0" w:lastRow="0" w:firstColumn="1" w:lastColumn="0" w:oddVBand="0" w:evenVBand="0" w:oddHBand="0" w:evenHBand="0" w:firstRowFirstColumn="0" w:firstRowLastColumn="0" w:lastRowFirstColumn="0" w:lastRowLastColumn="0"/>
            <w:tcW w:w="12600" w:type="dxa"/>
            <w:gridSpan w:val="7"/>
            <w:tcBorders>
              <w:top w:val="single" w:sz="4" w:space="0" w:color="auto"/>
              <w:bottom w:val="nil"/>
            </w:tcBorders>
            <w:noWrap/>
          </w:tcPr>
          <w:p w14:paraId="53538687" w14:textId="77150E12" w:rsidR="005B62C0" w:rsidRPr="00200528" w:rsidRDefault="005B62C0" w:rsidP="00DE77A1">
            <w:pPr>
              <w:spacing w:line="480" w:lineRule="auto"/>
              <w:rPr>
                <w:rFonts w:asciiTheme="majorBidi" w:hAnsiTheme="majorBidi" w:cstheme="majorBidi"/>
                <w:b w:val="0"/>
                <w:bCs w:val="0"/>
                <w:sz w:val="24"/>
                <w:szCs w:val="24"/>
              </w:rPr>
            </w:pPr>
            <w:r w:rsidRPr="00200528">
              <w:rPr>
                <w:rFonts w:asciiTheme="majorBidi" w:hAnsiTheme="majorBidi" w:cstheme="majorBidi"/>
                <w:b w:val="0"/>
                <w:bCs w:val="0"/>
                <w:color w:val="231F20"/>
                <w:sz w:val="24"/>
                <w:szCs w:val="24"/>
              </w:rPr>
              <w:t xml:space="preserve">* </w:t>
            </w:r>
            <w:r w:rsidRPr="00200528">
              <w:rPr>
                <w:rFonts w:asciiTheme="majorBidi" w:hAnsiTheme="majorBidi" w:cstheme="majorBidi"/>
                <w:b w:val="0"/>
                <w:bCs w:val="0"/>
                <w:sz w:val="24"/>
                <w:szCs w:val="24"/>
              </w:rPr>
              <w:t>(Nisbet and LaGoy, 1992).</w:t>
            </w:r>
          </w:p>
        </w:tc>
      </w:tr>
    </w:tbl>
    <w:p w14:paraId="244AD7FF" w14:textId="3C4B6495" w:rsidR="0039432C" w:rsidRDefault="0039432C" w:rsidP="001C5606">
      <w:pPr>
        <w:spacing w:line="480" w:lineRule="auto"/>
        <w:rPr>
          <w:rFonts w:asciiTheme="majorBidi" w:hAnsiTheme="majorBidi" w:cstheme="majorBidi"/>
          <w:color w:val="000000" w:themeColor="text1"/>
          <w:sz w:val="24"/>
          <w:szCs w:val="24"/>
        </w:rPr>
      </w:pPr>
    </w:p>
    <w:p w14:paraId="335E8A10" w14:textId="77777777" w:rsidR="002F6F3C" w:rsidRPr="00200528" w:rsidRDefault="002F6F3C" w:rsidP="001C5606">
      <w:pPr>
        <w:spacing w:line="480" w:lineRule="auto"/>
        <w:rPr>
          <w:rFonts w:asciiTheme="majorBidi" w:hAnsiTheme="majorBidi" w:cstheme="majorBidi"/>
          <w:sz w:val="24"/>
          <w:szCs w:val="24"/>
        </w:rPr>
      </w:pPr>
    </w:p>
    <w:tbl>
      <w:tblPr>
        <w:tblStyle w:val="TableGrid"/>
        <w:tblW w:w="0" w:type="auto"/>
        <w:tblInd w:w="600" w:type="dxa"/>
        <w:tblLook w:val="04A0" w:firstRow="1" w:lastRow="0" w:firstColumn="1" w:lastColumn="0" w:noHBand="0" w:noVBand="1"/>
      </w:tblPr>
      <w:tblGrid>
        <w:gridCol w:w="2122"/>
        <w:gridCol w:w="2122"/>
        <w:gridCol w:w="2122"/>
      </w:tblGrid>
      <w:tr w:rsidR="00C71829" w:rsidRPr="00200528" w14:paraId="3A1842E0" w14:textId="77777777" w:rsidTr="00A3407C">
        <w:trPr>
          <w:trHeight w:val="611"/>
        </w:trPr>
        <w:tc>
          <w:tcPr>
            <w:tcW w:w="6366" w:type="dxa"/>
            <w:gridSpan w:val="3"/>
            <w:tcBorders>
              <w:top w:val="nil"/>
              <w:left w:val="nil"/>
              <w:bottom w:val="single" w:sz="4" w:space="0" w:color="auto"/>
              <w:right w:val="nil"/>
            </w:tcBorders>
          </w:tcPr>
          <w:p w14:paraId="48E2A672" w14:textId="634A92BF" w:rsidR="00C71829" w:rsidRPr="00200528" w:rsidRDefault="00C71829" w:rsidP="00253249">
            <w:pPr>
              <w:ind w:left="90"/>
              <w:rPr>
                <w:rFonts w:asciiTheme="majorBidi" w:hAnsiTheme="majorBidi" w:cstheme="majorBidi"/>
                <w:color w:val="000000" w:themeColor="text1"/>
                <w:sz w:val="24"/>
                <w:szCs w:val="24"/>
              </w:rPr>
            </w:pPr>
            <w:r w:rsidRPr="00200528">
              <w:rPr>
                <w:rFonts w:asciiTheme="majorBidi" w:hAnsiTheme="majorBidi" w:cstheme="majorBidi"/>
                <w:b/>
                <w:bCs/>
                <w:color w:val="000000" w:themeColor="text1"/>
                <w:sz w:val="24"/>
                <w:szCs w:val="24"/>
              </w:rPr>
              <w:t>Table S2</w:t>
            </w:r>
            <w:r w:rsidR="00D240C8">
              <w:rPr>
                <w:rFonts w:asciiTheme="majorBidi" w:hAnsiTheme="majorBidi" w:cstheme="majorBidi"/>
                <w:color w:val="000000" w:themeColor="text1"/>
                <w:sz w:val="24"/>
                <w:szCs w:val="24"/>
              </w:rPr>
              <w:t xml:space="preserve"> S</w:t>
            </w:r>
            <w:r w:rsidRPr="00200528">
              <w:rPr>
                <w:rFonts w:asciiTheme="majorBidi" w:hAnsiTheme="majorBidi" w:cstheme="majorBidi"/>
                <w:color w:val="000000" w:themeColor="text1"/>
                <w:sz w:val="24"/>
                <w:szCs w:val="24"/>
              </w:rPr>
              <w:t>ampling coordinates</w:t>
            </w:r>
          </w:p>
        </w:tc>
      </w:tr>
      <w:tr w:rsidR="00601C25" w:rsidRPr="00200528" w14:paraId="43A0C325" w14:textId="77777777" w:rsidTr="00A3407C">
        <w:trPr>
          <w:trHeight w:val="611"/>
        </w:trPr>
        <w:tc>
          <w:tcPr>
            <w:tcW w:w="2122" w:type="dxa"/>
            <w:tcBorders>
              <w:top w:val="single" w:sz="4" w:space="0" w:color="auto"/>
              <w:left w:val="nil"/>
              <w:bottom w:val="single" w:sz="4" w:space="0" w:color="auto"/>
              <w:right w:val="nil"/>
            </w:tcBorders>
          </w:tcPr>
          <w:p w14:paraId="76B56CF0" w14:textId="34869336"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Sites</w:t>
            </w:r>
          </w:p>
        </w:tc>
        <w:tc>
          <w:tcPr>
            <w:tcW w:w="2122" w:type="dxa"/>
            <w:tcBorders>
              <w:top w:val="single" w:sz="4" w:space="0" w:color="auto"/>
              <w:left w:val="nil"/>
              <w:bottom w:val="single" w:sz="4" w:space="0" w:color="auto"/>
              <w:right w:val="nil"/>
            </w:tcBorders>
          </w:tcPr>
          <w:p w14:paraId="292133EB" w14:textId="31E9A0F8" w:rsidR="00601C25" w:rsidRPr="00200528" w:rsidRDefault="008D7DBA"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Latitude (N)</w:t>
            </w:r>
          </w:p>
        </w:tc>
        <w:tc>
          <w:tcPr>
            <w:tcW w:w="2122" w:type="dxa"/>
            <w:tcBorders>
              <w:top w:val="single" w:sz="4" w:space="0" w:color="auto"/>
              <w:left w:val="nil"/>
              <w:bottom w:val="single" w:sz="4" w:space="0" w:color="auto"/>
              <w:right w:val="nil"/>
            </w:tcBorders>
          </w:tcPr>
          <w:p w14:paraId="79D1743E" w14:textId="71095EC5" w:rsidR="00601C25" w:rsidRPr="00200528" w:rsidRDefault="008D7DBA"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Longitude (E)</w:t>
            </w:r>
          </w:p>
        </w:tc>
      </w:tr>
      <w:tr w:rsidR="00601C25" w:rsidRPr="00200528" w14:paraId="2C6DA6AB" w14:textId="77777777" w:rsidTr="00A3407C">
        <w:trPr>
          <w:trHeight w:val="611"/>
        </w:trPr>
        <w:tc>
          <w:tcPr>
            <w:tcW w:w="2122" w:type="dxa"/>
            <w:tcBorders>
              <w:top w:val="single" w:sz="4" w:space="0" w:color="auto"/>
              <w:left w:val="nil"/>
              <w:bottom w:val="nil"/>
              <w:right w:val="nil"/>
            </w:tcBorders>
            <w:vAlign w:val="center"/>
          </w:tcPr>
          <w:p w14:paraId="3A96CB79"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S1</w:t>
            </w:r>
          </w:p>
        </w:tc>
        <w:tc>
          <w:tcPr>
            <w:tcW w:w="2122" w:type="dxa"/>
            <w:tcBorders>
              <w:top w:val="single" w:sz="4" w:space="0" w:color="auto"/>
              <w:left w:val="nil"/>
              <w:bottom w:val="nil"/>
              <w:right w:val="nil"/>
            </w:tcBorders>
            <w:vAlign w:val="center"/>
          </w:tcPr>
          <w:p w14:paraId="4608C1FD"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47.788016</w:t>
            </w:r>
          </w:p>
        </w:tc>
        <w:tc>
          <w:tcPr>
            <w:tcW w:w="2122" w:type="dxa"/>
            <w:tcBorders>
              <w:top w:val="single" w:sz="4" w:space="0" w:color="auto"/>
              <w:left w:val="nil"/>
              <w:bottom w:val="nil"/>
              <w:right w:val="nil"/>
            </w:tcBorders>
            <w:vAlign w:val="center"/>
          </w:tcPr>
          <w:p w14:paraId="5906E95D"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19.114344</w:t>
            </w:r>
          </w:p>
        </w:tc>
      </w:tr>
      <w:tr w:rsidR="00601C25" w:rsidRPr="00200528" w14:paraId="4FE9041A" w14:textId="77777777" w:rsidTr="00A3407C">
        <w:trPr>
          <w:trHeight w:val="772"/>
        </w:trPr>
        <w:tc>
          <w:tcPr>
            <w:tcW w:w="2122" w:type="dxa"/>
            <w:tcBorders>
              <w:top w:val="nil"/>
              <w:left w:val="nil"/>
              <w:bottom w:val="nil"/>
              <w:right w:val="nil"/>
            </w:tcBorders>
            <w:vAlign w:val="center"/>
          </w:tcPr>
          <w:p w14:paraId="059FCAE3"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S2</w:t>
            </w:r>
          </w:p>
        </w:tc>
        <w:tc>
          <w:tcPr>
            <w:tcW w:w="2122" w:type="dxa"/>
            <w:tcBorders>
              <w:top w:val="nil"/>
              <w:left w:val="nil"/>
              <w:bottom w:val="nil"/>
              <w:right w:val="nil"/>
            </w:tcBorders>
            <w:vAlign w:val="center"/>
          </w:tcPr>
          <w:p w14:paraId="5E3714FE" w14:textId="77777777" w:rsidR="00601C25" w:rsidRPr="00200528" w:rsidRDefault="00601C25" w:rsidP="00253249">
            <w:pPr>
              <w:pStyle w:val="Heading2"/>
              <w:spacing w:before="60" w:line="259" w:lineRule="auto"/>
              <w:ind w:left="90"/>
              <w:textAlignment w:val="baseline"/>
              <w:rPr>
                <w:rFonts w:asciiTheme="majorBidi" w:hAnsiTheme="majorBidi"/>
                <w:color w:val="000000" w:themeColor="text1"/>
                <w:sz w:val="24"/>
                <w:szCs w:val="24"/>
              </w:rPr>
            </w:pPr>
            <w:r w:rsidRPr="00200528">
              <w:rPr>
                <w:rFonts w:asciiTheme="majorBidi" w:hAnsiTheme="majorBidi"/>
                <w:color w:val="000000" w:themeColor="text1"/>
                <w:sz w:val="24"/>
                <w:szCs w:val="24"/>
              </w:rPr>
              <w:t>47.680858</w:t>
            </w:r>
          </w:p>
        </w:tc>
        <w:tc>
          <w:tcPr>
            <w:tcW w:w="2122" w:type="dxa"/>
            <w:tcBorders>
              <w:top w:val="nil"/>
              <w:left w:val="nil"/>
              <w:bottom w:val="nil"/>
              <w:right w:val="nil"/>
            </w:tcBorders>
            <w:vAlign w:val="center"/>
          </w:tcPr>
          <w:p w14:paraId="022D4CC3"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19.125760</w:t>
            </w:r>
          </w:p>
        </w:tc>
      </w:tr>
      <w:tr w:rsidR="00601C25" w:rsidRPr="00200528" w14:paraId="7B9A2EB2" w14:textId="77777777" w:rsidTr="00A3407C">
        <w:trPr>
          <w:trHeight w:val="611"/>
        </w:trPr>
        <w:tc>
          <w:tcPr>
            <w:tcW w:w="2122" w:type="dxa"/>
            <w:tcBorders>
              <w:top w:val="nil"/>
              <w:left w:val="nil"/>
              <w:bottom w:val="nil"/>
              <w:right w:val="nil"/>
            </w:tcBorders>
            <w:vAlign w:val="center"/>
          </w:tcPr>
          <w:p w14:paraId="394F2D97"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S3</w:t>
            </w:r>
          </w:p>
        </w:tc>
        <w:tc>
          <w:tcPr>
            <w:tcW w:w="2122" w:type="dxa"/>
            <w:tcBorders>
              <w:top w:val="nil"/>
              <w:left w:val="nil"/>
              <w:bottom w:val="nil"/>
              <w:right w:val="nil"/>
            </w:tcBorders>
            <w:vAlign w:val="center"/>
          </w:tcPr>
          <w:p w14:paraId="2D94D306"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47.523438</w:t>
            </w:r>
          </w:p>
        </w:tc>
        <w:tc>
          <w:tcPr>
            <w:tcW w:w="2122" w:type="dxa"/>
            <w:tcBorders>
              <w:top w:val="nil"/>
              <w:left w:val="nil"/>
              <w:bottom w:val="nil"/>
              <w:right w:val="nil"/>
            </w:tcBorders>
            <w:vAlign w:val="center"/>
          </w:tcPr>
          <w:p w14:paraId="41704680"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19.049630</w:t>
            </w:r>
          </w:p>
        </w:tc>
      </w:tr>
      <w:tr w:rsidR="00601C25" w:rsidRPr="00200528" w14:paraId="6922CB28" w14:textId="77777777" w:rsidTr="00A3407C">
        <w:trPr>
          <w:trHeight w:val="611"/>
        </w:trPr>
        <w:tc>
          <w:tcPr>
            <w:tcW w:w="2122" w:type="dxa"/>
            <w:tcBorders>
              <w:top w:val="nil"/>
              <w:left w:val="nil"/>
              <w:bottom w:val="nil"/>
              <w:right w:val="nil"/>
            </w:tcBorders>
            <w:vAlign w:val="center"/>
          </w:tcPr>
          <w:p w14:paraId="64FE4EA2"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S4</w:t>
            </w:r>
          </w:p>
        </w:tc>
        <w:tc>
          <w:tcPr>
            <w:tcW w:w="2122" w:type="dxa"/>
            <w:tcBorders>
              <w:top w:val="nil"/>
              <w:left w:val="nil"/>
              <w:bottom w:val="nil"/>
              <w:right w:val="nil"/>
            </w:tcBorders>
            <w:vAlign w:val="center"/>
          </w:tcPr>
          <w:p w14:paraId="0B1B9351"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47.248683</w:t>
            </w:r>
          </w:p>
        </w:tc>
        <w:tc>
          <w:tcPr>
            <w:tcW w:w="2122" w:type="dxa"/>
            <w:tcBorders>
              <w:top w:val="nil"/>
              <w:left w:val="nil"/>
              <w:bottom w:val="nil"/>
              <w:right w:val="nil"/>
            </w:tcBorders>
            <w:vAlign w:val="center"/>
          </w:tcPr>
          <w:p w14:paraId="3BEF4492"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18.910842</w:t>
            </w:r>
          </w:p>
        </w:tc>
      </w:tr>
      <w:tr w:rsidR="00601C25" w:rsidRPr="00200528" w14:paraId="6CDD66BE" w14:textId="77777777" w:rsidTr="00A3407C">
        <w:trPr>
          <w:trHeight w:val="798"/>
        </w:trPr>
        <w:tc>
          <w:tcPr>
            <w:tcW w:w="2122" w:type="dxa"/>
            <w:tcBorders>
              <w:top w:val="nil"/>
              <w:left w:val="nil"/>
              <w:bottom w:val="nil"/>
              <w:right w:val="nil"/>
            </w:tcBorders>
            <w:vAlign w:val="center"/>
          </w:tcPr>
          <w:p w14:paraId="76D8A920"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S5</w:t>
            </w:r>
          </w:p>
        </w:tc>
        <w:tc>
          <w:tcPr>
            <w:tcW w:w="2122" w:type="dxa"/>
            <w:tcBorders>
              <w:top w:val="nil"/>
              <w:left w:val="nil"/>
              <w:bottom w:val="nil"/>
              <w:right w:val="nil"/>
            </w:tcBorders>
            <w:vAlign w:val="center"/>
          </w:tcPr>
          <w:p w14:paraId="70DD2A88" w14:textId="77777777" w:rsidR="00601C25" w:rsidRPr="00200528" w:rsidRDefault="00601C25" w:rsidP="00253249">
            <w:pPr>
              <w:pStyle w:val="Heading2"/>
              <w:shd w:val="clear" w:color="auto" w:fill="FFFFFF"/>
              <w:spacing w:before="60" w:line="259" w:lineRule="auto"/>
              <w:ind w:left="90"/>
              <w:textAlignment w:val="baseline"/>
              <w:rPr>
                <w:rFonts w:asciiTheme="majorBidi" w:hAnsiTheme="majorBidi"/>
                <w:color w:val="000000" w:themeColor="text1"/>
                <w:sz w:val="24"/>
                <w:szCs w:val="24"/>
              </w:rPr>
            </w:pPr>
            <w:r w:rsidRPr="00200528">
              <w:rPr>
                <w:rFonts w:asciiTheme="majorBidi" w:hAnsiTheme="majorBidi"/>
                <w:color w:val="000000" w:themeColor="text1"/>
                <w:sz w:val="24"/>
                <w:szCs w:val="24"/>
              </w:rPr>
              <w:t>46.912084</w:t>
            </w:r>
          </w:p>
        </w:tc>
        <w:tc>
          <w:tcPr>
            <w:tcW w:w="2122" w:type="dxa"/>
            <w:tcBorders>
              <w:top w:val="nil"/>
              <w:left w:val="nil"/>
              <w:bottom w:val="nil"/>
              <w:right w:val="nil"/>
            </w:tcBorders>
            <w:vAlign w:val="center"/>
          </w:tcPr>
          <w:p w14:paraId="6FB591A0"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18.964844</w:t>
            </w:r>
          </w:p>
        </w:tc>
      </w:tr>
      <w:tr w:rsidR="00601C25" w:rsidRPr="00200528" w14:paraId="57A58FD7" w14:textId="77777777" w:rsidTr="00A3407C">
        <w:trPr>
          <w:trHeight w:val="798"/>
        </w:trPr>
        <w:tc>
          <w:tcPr>
            <w:tcW w:w="2122" w:type="dxa"/>
            <w:tcBorders>
              <w:top w:val="nil"/>
              <w:left w:val="nil"/>
              <w:bottom w:val="single" w:sz="4" w:space="0" w:color="auto"/>
              <w:right w:val="nil"/>
            </w:tcBorders>
            <w:vAlign w:val="center"/>
          </w:tcPr>
          <w:p w14:paraId="04BB7698"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S6</w:t>
            </w:r>
          </w:p>
        </w:tc>
        <w:tc>
          <w:tcPr>
            <w:tcW w:w="2122" w:type="dxa"/>
            <w:tcBorders>
              <w:top w:val="nil"/>
              <w:left w:val="nil"/>
              <w:bottom w:val="single" w:sz="4" w:space="0" w:color="auto"/>
              <w:right w:val="nil"/>
            </w:tcBorders>
            <w:vAlign w:val="center"/>
          </w:tcPr>
          <w:p w14:paraId="26C16A87" w14:textId="77777777" w:rsidR="00601C25" w:rsidRPr="00200528" w:rsidRDefault="00601C25" w:rsidP="00253249">
            <w:pPr>
              <w:pStyle w:val="Heading2"/>
              <w:spacing w:before="60" w:line="259" w:lineRule="auto"/>
              <w:ind w:left="90"/>
              <w:textAlignment w:val="baseline"/>
              <w:rPr>
                <w:rFonts w:asciiTheme="majorBidi" w:hAnsiTheme="majorBidi"/>
                <w:color w:val="000000" w:themeColor="text1"/>
                <w:sz w:val="24"/>
                <w:szCs w:val="24"/>
              </w:rPr>
            </w:pPr>
            <w:r w:rsidRPr="00200528">
              <w:rPr>
                <w:rFonts w:asciiTheme="majorBidi" w:hAnsiTheme="majorBidi"/>
                <w:color w:val="000000" w:themeColor="text1"/>
                <w:sz w:val="24"/>
                <w:szCs w:val="24"/>
              </w:rPr>
              <w:t>46.616233</w:t>
            </w:r>
          </w:p>
        </w:tc>
        <w:tc>
          <w:tcPr>
            <w:tcW w:w="2122" w:type="dxa"/>
            <w:tcBorders>
              <w:top w:val="nil"/>
              <w:left w:val="nil"/>
              <w:bottom w:val="single" w:sz="4" w:space="0" w:color="auto"/>
              <w:right w:val="nil"/>
            </w:tcBorders>
            <w:vAlign w:val="center"/>
          </w:tcPr>
          <w:p w14:paraId="6520978E" w14:textId="77777777" w:rsidR="00601C25" w:rsidRPr="00200528" w:rsidRDefault="00601C25" w:rsidP="00253249">
            <w:pPr>
              <w:ind w:left="90"/>
              <w:rPr>
                <w:rFonts w:asciiTheme="majorBidi" w:hAnsiTheme="majorBidi" w:cstheme="majorBidi"/>
                <w:color w:val="000000" w:themeColor="text1"/>
                <w:sz w:val="24"/>
                <w:szCs w:val="24"/>
              </w:rPr>
            </w:pPr>
            <w:r w:rsidRPr="00200528">
              <w:rPr>
                <w:rFonts w:asciiTheme="majorBidi" w:hAnsiTheme="majorBidi" w:cstheme="majorBidi"/>
                <w:color w:val="000000" w:themeColor="text1"/>
                <w:sz w:val="24"/>
                <w:szCs w:val="24"/>
              </w:rPr>
              <w:t>18.858203</w:t>
            </w:r>
          </w:p>
        </w:tc>
      </w:tr>
    </w:tbl>
    <w:p w14:paraId="5267AA67" w14:textId="1454BD74" w:rsidR="00B5564C" w:rsidRPr="00200528" w:rsidRDefault="00B5564C" w:rsidP="00486478">
      <w:pPr>
        <w:spacing w:after="0" w:line="240" w:lineRule="auto"/>
        <w:jc w:val="both"/>
        <w:rPr>
          <w:rFonts w:asciiTheme="majorBidi" w:hAnsiTheme="majorBidi" w:cstheme="majorBidi"/>
          <w:b/>
          <w:i/>
          <w:sz w:val="24"/>
          <w:szCs w:val="24"/>
        </w:rPr>
      </w:pPr>
    </w:p>
    <w:p w14:paraId="0C996DE3" w14:textId="77777777" w:rsidR="00500C07" w:rsidRPr="00AE74E9" w:rsidRDefault="00500C07" w:rsidP="00500C07">
      <w:pPr>
        <w:spacing w:after="0" w:line="240" w:lineRule="auto"/>
        <w:jc w:val="both"/>
        <w:rPr>
          <w:rFonts w:asciiTheme="majorBidi" w:hAnsiTheme="majorBidi" w:cstheme="majorBidi"/>
          <w:b/>
          <w:iCs/>
          <w:sz w:val="24"/>
          <w:szCs w:val="24"/>
        </w:rPr>
      </w:pPr>
    </w:p>
    <w:tbl>
      <w:tblPr>
        <w:tblStyle w:val="TableGrid"/>
        <w:tblW w:w="13765" w:type="dxa"/>
        <w:tblLook w:val="04A0" w:firstRow="1" w:lastRow="0" w:firstColumn="1" w:lastColumn="0" w:noHBand="0" w:noVBand="1"/>
      </w:tblPr>
      <w:tblGrid>
        <w:gridCol w:w="2087"/>
        <w:gridCol w:w="1511"/>
        <w:gridCol w:w="4317"/>
        <w:gridCol w:w="2704"/>
        <w:gridCol w:w="3146"/>
      </w:tblGrid>
      <w:tr w:rsidR="00EE693E" w:rsidRPr="00AE74E9" w14:paraId="0EE86DF6" w14:textId="77777777" w:rsidTr="002D2E38">
        <w:tc>
          <w:tcPr>
            <w:tcW w:w="13765" w:type="dxa"/>
            <w:gridSpan w:val="5"/>
            <w:tcBorders>
              <w:top w:val="nil"/>
              <w:left w:val="nil"/>
              <w:bottom w:val="single" w:sz="4" w:space="0" w:color="auto"/>
              <w:right w:val="nil"/>
            </w:tcBorders>
          </w:tcPr>
          <w:p w14:paraId="081B0055" w14:textId="5E4B628B" w:rsidR="00EE693E" w:rsidRPr="00AE74E9" w:rsidRDefault="00EE693E" w:rsidP="00EE693E">
            <w:pPr>
              <w:jc w:val="both"/>
              <w:rPr>
                <w:rFonts w:asciiTheme="majorBidi" w:hAnsiTheme="majorBidi" w:cstheme="majorBidi"/>
                <w:iCs/>
                <w:color w:val="131413"/>
                <w:sz w:val="24"/>
                <w:szCs w:val="24"/>
              </w:rPr>
            </w:pPr>
            <w:r w:rsidRPr="00AE74E9">
              <w:rPr>
                <w:rFonts w:asciiTheme="majorBidi" w:hAnsiTheme="majorBidi" w:cstheme="majorBidi"/>
                <w:b/>
                <w:iCs/>
                <w:color w:val="131413"/>
                <w:sz w:val="24"/>
                <w:szCs w:val="24"/>
              </w:rPr>
              <w:t>Table S3</w:t>
            </w:r>
            <w:r w:rsidR="00434DE4" w:rsidRPr="00AE74E9">
              <w:rPr>
                <w:rFonts w:asciiTheme="majorBidi" w:hAnsiTheme="majorBidi" w:cstheme="majorBidi"/>
                <w:b/>
                <w:iCs/>
                <w:color w:val="131413"/>
                <w:sz w:val="24"/>
                <w:szCs w:val="24"/>
              </w:rPr>
              <w:t>.</w:t>
            </w:r>
            <w:r w:rsidRPr="00AE74E9">
              <w:rPr>
                <w:rFonts w:asciiTheme="majorBidi" w:hAnsiTheme="majorBidi" w:cstheme="majorBidi"/>
                <w:b/>
                <w:iCs/>
                <w:color w:val="131413"/>
                <w:sz w:val="24"/>
                <w:szCs w:val="24"/>
              </w:rPr>
              <w:t xml:space="preserve"> </w:t>
            </w:r>
            <w:r w:rsidRPr="00AE74E9">
              <w:rPr>
                <w:rFonts w:asciiTheme="majorBidi" w:hAnsiTheme="majorBidi" w:cstheme="majorBidi"/>
                <w:bCs/>
                <w:iCs/>
                <w:sz w:val="24"/>
                <w:szCs w:val="24"/>
              </w:rPr>
              <w:t xml:space="preserve">Sources diagnostic ratios of PAHs in water </w:t>
            </w:r>
            <w:r w:rsidRPr="00AE74E9">
              <w:rPr>
                <w:rFonts w:asciiTheme="majorBidi" w:hAnsiTheme="majorBidi" w:cstheme="majorBidi"/>
                <w:bCs/>
                <w:iCs/>
                <w:color w:val="131413"/>
                <w:sz w:val="24"/>
                <w:szCs w:val="24"/>
              </w:rPr>
              <w:t>Explanation</w:t>
            </w:r>
            <w:r w:rsidRPr="00AE74E9">
              <w:rPr>
                <w:rFonts w:asciiTheme="majorBidi" w:hAnsiTheme="majorBidi" w:cstheme="majorBidi"/>
                <w:iCs/>
                <w:color w:val="131413"/>
                <w:sz w:val="24"/>
                <w:szCs w:val="24"/>
              </w:rPr>
              <w:t xml:space="preserve"> of PAHs diagnostic ratios</w:t>
            </w:r>
          </w:p>
        </w:tc>
      </w:tr>
      <w:tr w:rsidR="00486478" w:rsidRPr="00200528" w14:paraId="6B233C5E" w14:textId="77777777" w:rsidTr="002D2E38">
        <w:tc>
          <w:tcPr>
            <w:tcW w:w="2087" w:type="dxa"/>
            <w:tcBorders>
              <w:top w:val="single" w:sz="4" w:space="0" w:color="auto"/>
            </w:tcBorders>
          </w:tcPr>
          <w:p w14:paraId="521A93E4" w14:textId="77777777" w:rsidR="00486478" w:rsidRPr="00200528" w:rsidRDefault="00486478"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Ratio</w:t>
            </w:r>
          </w:p>
        </w:tc>
        <w:tc>
          <w:tcPr>
            <w:tcW w:w="1511" w:type="dxa"/>
            <w:tcBorders>
              <w:top w:val="single" w:sz="4" w:space="0" w:color="auto"/>
            </w:tcBorders>
          </w:tcPr>
          <w:p w14:paraId="60A88238" w14:textId="77777777" w:rsidR="00486478" w:rsidRPr="00200528" w:rsidRDefault="00486478"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Range</w:t>
            </w:r>
          </w:p>
        </w:tc>
        <w:tc>
          <w:tcPr>
            <w:tcW w:w="4317" w:type="dxa"/>
            <w:tcBorders>
              <w:top w:val="single" w:sz="4" w:space="0" w:color="auto"/>
            </w:tcBorders>
          </w:tcPr>
          <w:p w14:paraId="3B9889DE" w14:textId="77777777" w:rsidR="00486478" w:rsidRPr="00200528" w:rsidRDefault="00486478"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Source</w:t>
            </w:r>
          </w:p>
        </w:tc>
        <w:tc>
          <w:tcPr>
            <w:tcW w:w="2704" w:type="dxa"/>
            <w:tcBorders>
              <w:top w:val="single" w:sz="4" w:space="0" w:color="auto"/>
            </w:tcBorders>
          </w:tcPr>
          <w:p w14:paraId="65EDD639" w14:textId="77777777" w:rsidR="00486478" w:rsidRPr="00200528" w:rsidRDefault="00DD4F3A"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Calculated Ratios</w:t>
            </w:r>
          </w:p>
        </w:tc>
        <w:tc>
          <w:tcPr>
            <w:tcW w:w="3146" w:type="dxa"/>
            <w:tcBorders>
              <w:top w:val="single" w:sz="4" w:space="0" w:color="auto"/>
            </w:tcBorders>
          </w:tcPr>
          <w:p w14:paraId="70403AF8" w14:textId="77777777" w:rsidR="00486478" w:rsidRPr="00200528" w:rsidRDefault="00486478" w:rsidP="001031F7">
            <w:pPr>
              <w:tabs>
                <w:tab w:val="left" w:pos="6390"/>
              </w:tabs>
              <w:spacing w:line="360" w:lineRule="auto"/>
              <w:jc w:val="both"/>
              <w:rPr>
                <w:rFonts w:asciiTheme="majorBidi" w:hAnsiTheme="majorBidi" w:cstheme="majorBidi"/>
                <w:b/>
                <w:bCs/>
                <w:color w:val="222222"/>
                <w:sz w:val="24"/>
                <w:szCs w:val="24"/>
                <w:shd w:val="clear" w:color="auto" w:fill="FFFFFF"/>
              </w:rPr>
            </w:pPr>
            <w:r w:rsidRPr="00200528">
              <w:rPr>
                <w:rFonts w:asciiTheme="majorBidi" w:hAnsiTheme="majorBidi" w:cstheme="majorBidi"/>
                <w:b/>
                <w:bCs/>
                <w:color w:val="222222"/>
                <w:sz w:val="24"/>
                <w:szCs w:val="24"/>
                <w:shd w:val="clear" w:color="auto" w:fill="FFFFFF"/>
              </w:rPr>
              <w:t>References</w:t>
            </w:r>
          </w:p>
        </w:tc>
      </w:tr>
      <w:tr w:rsidR="00486478" w:rsidRPr="00AE3143" w14:paraId="17089B5F" w14:textId="77777777" w:rsidTr="00AE01E3">
        <w:tc>
          <w:tcPr>
            <w:tcW w:w="2087" w:type="dxa"/>
            <w:vMerge w:val="restart"/>
          </w:tcPr>
          <w:p w14:paraId="41CFE127"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000000"/>
                <w:sz w:val="24"/>
                <w:szCs w:val="24"/>
              </w:rPr>
              <w:t>LMW/HMW</w:t>
            </w:r>
          </w:p>
        </w:tc>
        <w:tc>
          <w:tcPr>
            <w:tcW w:w="1511" w:type="dxa"/>
          </w:tcPr>
          <w:p w14:paraId="5EFD6A82"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&gt;1</w:t>
            </w:r>
          </w:p>
        </w:tc>
        <w:tc>
          <w:tcPr>
            <w:tcW w:w="4317" w:type="dxa"/>
          </w:tcPr>
          <w:p w14:paraId="3AEBF929"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Petrogenic inputs (liquid fuel discharges)</w:t>
            </w:r>
          </w:p>
        </w:tc>
        <w:tc>
          <w:tcPr>
            <w:tcW w:w="2704" w:type="dxa"/>
            <w:vMerge w:val="restart"/>
          </w:tcPr>
          <w:p w14:paraId="09C25E02"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2.26 &gt; 1</w:t>
            </w:r>
          </w:p>
          <w:p w14:paraId="009D2A7A"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1.70 &gt; 1</w:t>
            </w:r>
          </w:p>
          <w:p w14:paraId="28734331"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0.48 &lt; 1</w:t>
            </w:r>
          </w:p>
          <w:p w14:paraId="68E58378"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autumn= 1.60 &gt;1</w:t>
            </w:r>
          </w:p>
        </w:tc>
        <w:tc>
          <w:tcPr>
            <w:tcW w:w="3146" w:type="dxa"/>
            <w:vMerge w:val="restart"/>
          </w:tcPr>
          <w:p w14:paraId="47F181A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sz w:val="24"/>
                <w:szCs w:val="24"/>
              </w:rPr>
              <w:fldChar w:fldCharType="begin" w:fldLock="1"/>
            </w:r>
            <w:r w:rsidRPr="00AE3143">
              <w:rPr>
                <w:rFonts w:asciiTheme="majorBidi" w:hAnsiTheme="majorBidi" w:cstheme="majorBidi"/>
                <w:sz w:val="24"/>
                <w:szCs w:val="24"/>
              </w:rPr>
              <w:instrText xml:space="preserve">ADDIN CSL_CITATION {"citationItems":[{"id":"ITEM-1","itemData":{"DOI":"10.1016/J.MARPOLBUL.2020.110923","ISSN":"0025-326X","PMID":"32479296","abstract":"The distribution, composition, and ecological risk of 16 types of polycyclic aromatic hydrocarbons (PAHs) and 6 types of phthalic acid esters (PAEs) in the surface sediment of Songhua river, northeast China, were investigated. The total weight of the PAHs (∑16PAHs) varied from 226.70 to 7086.62 ng/g dry weight (dw), whereas </w:instrText>
            </w:r>
            <w:r w:rsidRPr="00AE3143">
              <w:rPr>
                <w:rFonts w:asciiTheme="majorBidi" w:hAnsiTheme="majorBidi" w:cstheme="majorBidi"/>
                <w:sz w:val="24"/>
                <w:szCs w:val="24"/>
              </w:rPr>
              <w:lastRenderedPageBreak/>
              <w:instrText xml:space="preserve">that of the PAEs (∑6PAEs) ranged from 819.44 to 24,035.39 ng/g dw. The dominant PAHs were four-membered ring PAHs, which varied from 18.65% to 78.10% of the total PAHs. The most abundant PAEs was di-2-ethylhexyl phthalate ester (DEHP), which accounted for 65.02–99.07% of the total PAEs, followed by di-n-butyl phthalate ranging from 1.50 to 55.43%. Pyrolytic origin was the dominant PAH source. Approximately 12.70% target PAHs in the Songhua river sediment exhibited moderate ecological risk with 23.49–1404.09 ng/g carcinogenic toxicity equivalent. DEHP in 80.95% of the sediment </w:instrText>
            </w:r>
            <w:r w:rsidRPr="00AE3143">
              <w:rPr>
                <w:rFonts w:asciiTheme="majorBidi" w:hAnsiTheme="majorBidi" w:cstheme="majorBidi"/>
                <w:sz w:val="24"/>
                <w:szCs w:val="24"/>
              </w:rPr>
              <w:lastRenderedPageBreak/>
              <w:instrText>samples exceeded the effects range low, indicating its potential harmfulness to the aquatic environment.","author":[{"dropping-particle":"","family":"Yang","given":"Yanyan","non-dropping-particle":"","parse-names":false,"suffix":""},{"dropping-particle":"","family":"Wang","given":"Haiyan","non-dropping-particle":"","parse-names":false,"suffix":""},{"dropping-particle":"","family":"Chang","given":"Yang","non-dropping-particle":"","parse-names":false,"suffix":""},{"dropping-particle":"","family":"Yan","g</w:instrText>
            </w:r>
            <w:r w:rsidRPr="00AE3143">
              <w:rPr>
                <w:rFonts w:asciiTheme="majorBidi" w:hAnsiTheme="majorBidi" w:cstheme="majorBidi"/>
                <w:sz w:val="24"/>
                <w:szCs w:val="24"/>
              </w:rPr>
              <w:lastRenderedPageBreak/>
              <w:instrText>iven":"Guokai","non-dropping-particle":"","parse-names":false,"suffix":""},{"dropping-particle":"","family":"Chu","given":"Zhaosheng","non-dropping-particle":"","parse-names":false,"suffix":""},{"dropping-particle":"","family":"Zhao","given":"Zhuanjun","non-dropping-particle":"","parse-names":false,"suffix":""},{"dropping-particle":"","family":"Li","given":"Li","non-dropping-particle":"","parse-names":false,"suffix":""},{"dropping-particle":"","family":"Li","given":"Zewen","non-dropping-particle":"","parse-</w:instrText>
            </w:r>
            <w:r w:rsidRPr="00AE3143">
              <w:rPr>
                <w:rFonts w:asciiTheme="majorBidi" w:hAnsiTheme="majorBidi" w:cstheme="majorBidi"/>
                <w:sz w:val="24"/>
                <w:szCs w:val="24"/>
              </w:rPr>
              <w:lastRenderedPageBreak/>
              <w:instrText>names":false,"suffix":""},{"dropping-particle":"","family":"Wu","given":"Tong","non-dropping-particle":"","parse-names":false,"suffix":""}],"container-title":"Marine Pollution Bulletin","id":"ITEM-1","issued":{"date-parts":[["2020","3","1"]]},"page":"110923","publisher":"Pergamon","title":"Distributions, compositions, and ecological risk assessment of polycyclic aromatic hydrocarbons and phthalic acid esters in surface sediment of Songhua river, China","type":"article-journal","volume":"152"},"uris":["http://www.mendeley.com/documents/?uuid=a1e8864</w:instrText>
            </w:r>
            <w:r w:rsidRPr="00AE3143">
              <w:rPr>
                <w:rFonts w:asciiTheme="majorBidi" w:hAnsiTheme="majorBidi" w:cstheme="majorBidi"/>
                <w:sz w:val="24"/>
                <w:szCs w:val="24"/>
              </w:rPr>
              <w:lastRenderedPageBreak/>
              <w:instrText xml:space="preserve">7-4b3d-3ed0-9532-1b1c58cfb04c"]},{"id":"ITEM-2","itemData":{"DOI":"10.1007/S11368-021-02968-1/TABLES/6","ISSN":"16147480","abstract":"Purpose: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w:instrText>
            </w:r>
            <w:r w:rsidRPr="00AE3143">
              <w:rPr>
                <w:rFonts w:asciiTheme="majorBidi" w:hAnsiTheme="majorBidi" w:cstheme="majorBidi"/>
                <w:sz w:val="24"/>
                <w:szCs w:val="24"/>
              </w:rPr>
              <w:lastRenderedPageBreak/>
              <w:instrText xml:space="preserve">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w:instrText>
            </w:r>
            <w:r w:rsidRPr="00AE3143">
              <w:rPr>
                <w:rFonts w:asciiTheme="majorBidi" w:hAnsiTheme="majorBidi" w:cstheme="majorBidi"/>
                <w:sz w:val="24"/>
                <w:szCs w:val="24"/>
              </w:rPr>
              <w:lastRenderedPageBreak/>
              <w:instrText xml:space="preserve">(dissolved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w:instrText>
            </w:r>
            <w:r w:rsidRPr="00AE3143">
              <w:rPr>
                <w:rFonts w:asciiTheme="majorBidi" w:hAnsiTheme="majorBidi" w:cstheme="majorBidi"/>
                <w:sz w:val="24"/>
                <w:szCs w:val="24"/>
              </w:rPr>
              <w:lastRenderedPageBreak/>
              <w:instrText>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w:instrText>
            </w:r>
            <w:r w:rsidRPr="00AE3143">
              <w:rPr>
                <w:rFonts w:asciiTheme="majorBidi" w:hAnsiTheme="majorBidi" w:cstheme="majorBidi"/>
                <w:sz w:val="24"/>
                <w:szCs w:val="24"/>
              </w:rPr>
              <w:lastRenderedPageBreak/>
              <w:instrText>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w:instrText>
            </w:r>
            <w:r w:rsidRPr="00AE3143">
              <w:rPr>
                <w:rFonts w:asciiTheme="majorBidi" w:hAnsiTheme="majorBidi" w:cstheme="majorBidi"/>
                <w:sz w:val="24"/>
                <w:szCs w:val="24"/>
              </w:rPr>
              <w:lastRenderedPageBreak/>
              <w:instrText>names":false,"suffix":""},{"dropping-particle":"","family":"Spałek","given":"Iwona","non-dropping-particle":"","parse-names":false,"suffix":""}],"container-title":"Journal of Soils and Sediments","id":"ITEM-2","issue":"6","issued":{"date-parts":[["2021","6","1"]]},"page":"2418-2431","publisher":"Springer Science and Business Media Deutschland GmbH","title":"Distribution of polycyclic aromatic hydrocarbons (PAHs) in the bottom sediments of a dam reservoir, their interaction with organic matter and risk to benthic fauna","type":"article-</w:instrText>
            </w:r>
            <w:r w:rsidRPr="00AE3143">
              <w:rPr>
                <w:rFonts w:asciiTheme="majorBidi" w:hAnsiTheme="majorBidi" w:cstheme="majorBidi"/>
                <w:sz w:val="24"/>
                <w:szCs w:val="24"/>
              </w:rPr>
              <w:lastRenderedPageBreak/>
              <w:instrText>journal","volume":"21"},"uris":["http://www.mendeley.com/documents/?uuid=8224bc48-1b49-3c80-9c45-40bfe6140be0"]}],"mendeley":{"formattedCitation":"(Baran et al., 2021; Yang et al., 2020)","manualFormatting":"(Baran et al.. 2021; Yang et al.. 2020)","plainTextFormattedCitation":"(Baran et al., 2021; Yang et al., 2020)","previouslyFormattedCitation":"(Baran et al., 2021; Yang et al., 2020)"},"properties":{"noteIndex":0},"schema":"https://github.com/citation-style-language/schema/raw/master/csl-citation.json"}</w:instrText>
            </w:r>
            <w:r w:rsidRPr="00AE3143">
              <w:rPr>
                <w:rFonts w:asciiTheme="majorBidi" w:hAnsiTheme="majorBidi" w:cstheme="majorBidi"/>
                <w:sz w:val="24"/>
                <w:szCs w:val="24"/>
              </w:rPr>
              <w:fldChar w:fldCharType="separate"/>
            </w:r>
            <w:r w:rsidR="000A5D59" w:rsidRPr="00AE3143">
              <w:rPr>
                <w:rFonts w:asciiTheme="majorBidi" w:hAnsiTheme="majorBidi" w:cstheme="majorBidi"/>
                <w:noProof/>
                <w:sz w:val="24"/>
                <w:szCs w:val="24"/>
              </w:rPr>
              <w:t>(Baran et al., 2021; Yang et al.,</w:t>
            </w:r>
            <w:r w:rsidRPr="00AE3143">
              <w:rPr>
                <w:rFonts w:asciiTheme="majorBidi" w:hAnsiTheme="majorBidi" w:cstheme="majorBidi"/>
                <w:noProof/>
                <w:sz w:val="24"/>
                <w:szCs w:val="24"/>
              </w:rPr>
              <w:t xml:space="preserve"> 2020)</w:t>
            </w:r>
            <w:r w:rsidRPr="00AE3143">
              <w:rPr>
                <w:rFonts w:asciiTheme="majorBidi" w:hAnsiTheme="majorBidi" w:cstheme="majorBidi"/>
                <w:sz w:val="24"/>
                <w:szCs w:val="24"/>
              </w:rPr>
              <w:fldChar w:fldCharType="end"/>
            </w:r>
          </w:p>
        </w:tc>
      </w:tr>
      <w:tr w:rsidR="00486478" w:rsidRPr="00AE3143" w14:paraId="5D1AB349" w14:textId="77777777" w:rsidTr="00AE01E3">
        <w:tc>
          <w:tcPr>
            <w:tcW w:w="2087" w:type="dxa"/>
            <w:vMerge/>
          </w:tcPr>
          <w:p w14:paraId="403D56F7"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1511" w:type="dxa"/>
          </w:tcPr>
          <w:p w14:paraId="0C3E183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&lt;1</w:t>
            </w:r>
          </w:p>
        </w:tc>
        <w:tc>
          <w:tcPr>
            <w:tcW w:w="4317" w:type="dxa"/>
          </w:tcPr>
          <w:p w14:paraId="45332788"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tcPr>
          <w:p w14:paraId="56805F6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tcPr>
          <w:p w14:paraId="15D9BC55"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7C8679C3" w14:textId="77777777" w:rsidTr="00B37503">
        <w:tc>
          <w:tcPr>
            <w:tcW w:w="2087" w:type="dxa"/>
            <w:vMerge w:val="restart"/>
            <w:shd w:val="clear" w:color="auto" w:fill="auto"/>
          </w:tcPr>
          <w:p w14:paraId="3C12239E"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000000"/>
                <w:sz w:val="24"/>
                <w:szCs w:val="24"/>
              </w:rPr>
              <w:lastRenderedPageBreak/>
              <w:t>Flu/(</w:t>
            </w:r>
            <w:proofErr w:type="spellStart"/>
            <w:r w:rsidRPr="00AE3143">
              <w:rPr>
                <w:rFonts w:asciiTheme="majorBidi" w:eastAsia="Times New Roman" w:hAnsiTheme="majorBidi" w:cstheme="majorBidi"/>
                <w:color w:val="000000"/>
                <w:sz w:val="24"/>
                <w:szCs w:val="24"/>
              </w:rPr>
              <w:t>Flu+Pyr</w:t>
            </w:r>
            <w:proofErr w:type="spellEnd"/>
            <w:r w:rsidRPr="00AE3143">
              <w:rPr>
                <w:rFonts w:asciiTheme="majorBidi" w:eastAsia="Times New Roman" w:hAnsiTheme="majorBidi" w:cstheme="majorBidi"/>
                <w:color w:val="000000"/>
                <w:sz w:val="24"/>
                <w:szCs w:val="24"/>
              </w:rPr>
              <w:t>)</w:t>
            </w:r>
          </w:p>
        </w:tc>
        <w:tc>
          <w:tcPr>
            <w:tcW w:w="1511" w:type="dxa"/>
            <w:shd w:val="clear" w:color="auto" w:fill="auto"/>
          </w:tcPr>
          <w:p w14:paraId="1EED3360"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&lt;0.4</w:t>
            </w:r>
          </w:p>
        </w:tc>
        <w:tc>
          <w:tcPr>
            <w:tcW w:w="4317" w:type="dxa"/>
            <w:shd w:val="clear" w:color="auto" w:fill="auto"/>
            <w:vAlign w:val="center"/>
          </w:tcPr>
          <w:p w14:paraId="0CD8AE96" w14:textId="77777777" w:rsidR="00486478" w:rsidRPr="00AE3143" w:rsidRDefault="00486478" w:rsidP="00AE3143">
            <w:pPr>
              <w:rPr>
                <w:rFonts w:asciiTheme="majorBidi" w:hAnsiTheme="majorBidi" w:cstheme="majorBidi"/>
                <w:sz w:val="24"/>
                <w:szCs w:val="24"/>
              </w:rPr>
            </w:pPr>
            <w:r w:rsidRPr="00AE3143">
              <w:rPr>
                <w:rFonts w:asciiTheme="majorBidi" w:eastAsia="Times New Roman" w:hAnsiTheme="majorBidi" w:cstheme="majorBidi"/>
                <w:color w:val="131413"/>
                <w:sz w:val="24"/>
                <w:szCs w:val="24"/>
              </w:rPr>
              <w:t>Petrogenic inputs (liquid fuel discharges)</w:t>
            </w:r>
          </w:p>
        </w:tc>
        <w:tc>
          <w:tcPr>
            <w:tcW w:w="2704" w:type="dxa"/>
            <w:vMerge w:val="restart"/>
            <w:shd w:val="clear" w:color="auto" w:fill="auto"/>
          </w:tcPr>
          <w:p w14:paraId="6FAE799F"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0.42 ( 0.4-0.5)</w:t>
            </w:r>
          </w:p>
          <w:p w14:paraId="137CAD6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0.49 ( 0.4-0.5)</w:t>
            </w:r>
          </w:p>
          <w:p w14:paraId="3114AD12"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lastRenderedPageBreak/>
              <w:t>Summer = 0.36 &lt; 0.4</w:t>
            </w:r>
          </w:p>
          <w:p w14:paraId="014059EB"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0.45 ( 0.4-0.5)</w:t>
            </w:r>
          </w:p>
        </w:tc>
        <w:tc>
          <w:tcPr>
            <w:tcW w:w="3146" w:type="dxa"/>
            <w:vMerge w:val="restart"/>
            <w:shd w:val="clear" w:color="auto" w:fill="auto"/>
          </w:tcPr>
          <w:p w14:paraId="1CC63FB3"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lastRenderedPageBreak/>
              <w:fldChar w:fldCharType="begin" w:fldLock="1"/>
            </w:r>
            <w:r w:rsidRPr="00AE3143">
              <w:rPr>
                <w:rFonts w:asciiTheme="majorBidi" w:eastAsia="Times New Roman" w:hAnsiTheme="majorBidi" w:cstheme="majorBidi"/>
                <w:color w:val="131413"/>
                <w:sz w:val="24"/>
                <w:szCs w:val="24"/>
              </w:rPr>
              <w:instrText>ADDIN CSL_CITATION {"citationItems":[{"id":"ITE</w:instrText>
            </w:r>
            <w:r w:rsidRPr="00AE3143">
              <w:rPr>
                <w:rFonts w:asciiTheme="majorBidi" w:eastAsia="Times New Roman" w:hAnsiTheme="majorBidi" w:cstheme="majorBidi"/>
                <w:color w:val="131413"/>
                <w:sz w:val="24"/>
                <w:szCs w:val="24"/>
              </w:rPr>
              <w:lastRenderedPageBreak/>
              <w:instrText xml:space="preserve">M-1","itemData":{"DOI":"10.1007/S00244-019-00617-W/TABLES/5","ISSN":"14320703","PMID":"30879120","abstract":"The incidence and spatial distribution of polycyclic aromatic hydrocarbons (PAHs) in the Buffalo River Estuary in the Eastern Cape Province of 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w:instrText>
            </w:r>
            <w:r w:rsidRPr="00AE3143">
              <w:rPr>
                <w:rFonts w:asciiTheme="majorBidi" w:eastAsia="Times New Roman" w:hAnsiTheme="majorBidi" w:cstheme="majorBidi"/>
                <w:color w:val="131413"/>
                <w:sz w:val="24"/>
                <w:szCs w:val="24"/>
              </w:rPr>
              <w:lastRenderedPageBreak/>
              <w:instrText xml:space="preserve">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samples varied as 14.91–206 μg/L and 1107–22,310 μg/kg in that order. Total levels of the contaminants were above the target values in the two matrices and were higher in summer than autumn. Although the noncarcinogenic </w:instrText>
            </w:r>
            <w:r w:rsidRPr="00AE3143">
              <w:rPr>
                <w:rFonts w:asciiTheme="majorBidi" w:eastAsia="Times New Roman" w:hAnsiTheme="majorBidi" w:cstheme="majorBidi"/>
                <w:color w:val="131413"/>
                <w:sz w:val="24"/>
                <w:szCs w:val="24"/>
              </w:rPr>
              <w:lastRenderedPageBreak/>
              <w:instrText xml:space="preserve">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w:instrText>
            </w:r>
            <w:r w:rsidRPr="00AE3143">
              <w:rPr>
                <w:rFonts w:asciiTheme="majorBidi" w:eastAsia="Times New Roman" w:hAnsiTheme="majorBidi" w:cstheme="majorBidi"/>
                <w:color w:val="131413"/>
                <w:sz w:val="24"/>
                <w:szCs w:val="24"/>
              </w:rPr>
              <w:lastRenderedPageBreak/>
              <w:instrText>magnitude of pollution at the sites.","author":[{"dropping-particle":"","family":"Adeniji","given":"A. O.","non-dropping-particle":"","parse-names":false,"suffix":""},{"dropping-particle":"","family":"Okoh","given":"O. O.","non-dropping-particle":"","parse-names":false,"suffix":""},{"dropping-particle":"","family":"Okoh","given":"A. I.","non-dropping-particle":"","parse-names":false,"suffix":""}],"container-title":"Archives of Environmental Contamination and Toxicology","id":"ITEM-1","issue":"4","issued":{"date-parts":[["2019","5","1"]]},"pa</w:instrText>
            </w:r>
            <w:r w:rsidRPr="00AE3143">
              <w:rPr>
                <w:rFonts w:asciiTheme="majorBidi" w:eastAsia="Times New Roman" w:hAnsiTheme="majorBidi" w:cstheme="majorBidi"/>
                <w:color w:val="131413"/>
                <w:sz w:val="24"/>
                <w:szCs w:val="24"/>
              </w:rPr>
              <w:lastRenderedPageBreak/>
              <w:instrText xml:space="preserve">ge":"657-669","publisher":"Springer New York LLC","title":"Levels of Polycyclic Aromatic Hydrocarbons in the Water and Sediment of Buffalo River Estuary, South Africa and Their Health Risk Assessment","type":"article-journal","volume":"76"},"uris":["http://www.mendeley.com/documents/?uuid=5780b9a0-7395-36e3-bdc8-09a0b5662082"]},{"id":"ITEM-2","itemData":{"DOI":"10.3390/W13223295","ISSN":"2073-4441","abstract":"Polycyclic aromatic hydrocarbons (PAHs) are ubiquitous </w:instrText>
            </w:r>
            <w:r w:rsidRPr="00AE3143">
              <w:rPr>
                <w:rFonts w:asciiTheme="majorBidi" w:eastAsia="Times New Roman" w:hAnsiTheme="majorBidi" w:cstheme="majorBidi"/>
                <w:color w:val="131413"/>
                <w:sz w:val="24"/>
                <w:szCs w:val="24"/>
              </w:rPr>
              <w:lastRenderedPageBreak/>
              <w:instrText xml:space="preserve">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w:instrText>
            </w:r>
            <w:r w:rsidRPr="00AE3143">
              <w:rPr>
                <w:rFonts w:asciiTheme="majorBidi" w:eastAsia="Times New Roman" w:hAnsiTheme="majorBidi" w:cstheme="majorBidi"/>
                <w:color w:val="131413"/>
                <w:sz w:val="24"/>
                <w:szCs w:val="24"/>
              </w:rPr>
              <w:lastRenderedPageBreak/>
              <w:instrText xml:space="preserve">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mg/kg) indicate toxic effects to the sediments, its resources and, ultimately, the public that consumes the resources thereof; hence, the </w:instrText>
            </w:r>
            <w:r w:rsidRPr="00AE3143">
              <w:rPr>
                <w:rFonts w:asciiTheme="majorBidi" w:eastAsia="Times New Roman" w:hAnsiTheme="majorBidi" w:cstheme="majorBidi"/>
                <w:color w:val="131413"/>
                <w:sz w:val="24"/>
                <w:szCs w:val="24"/>
              </w:rPr>
              <w:lastRenderedPageBreak/>
              <w:instrText xml:space="preserve">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23.26 mgTEQ/kg dw and 4.47 to 23.52 mgMEQ/kg dw, and the total mean toxic equivalency quotient (∑TEQ) </w:instrText>
            </w:r>
            <w:r w:rsidRPr="00AE3143">
              <w:rPr>
                <w:rFonts w:asciiTheme="majorBidi" w:eastAsia="Times New Roman" w:hAnsiTheme="majorBidi" w:cstheme="majorBidi"/>
                <w:color w:val="131413"/>
                <w:sz w:val="24"/>
                <w:szCs w:val="24"/>
              </w:rPr>
              <w:lastRenderedPageBreak/>
              <w:instrText xml:space="preserve">(15.12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w:instrText>
            </w:r>
            <w:r w:rsidRPr="00AE3143">
              <w:rPr>
                <w:rFonts w:asciiTheme="majorBidi" w:eastAsia="Times New Roman" w:hAnsiTheme="majorBidi" w:cstheme="majorBidi"/>
                <w:color w:val="131413"/>
                <w:sz w:val="24"/>
                <w:szCs w:val="24"/>
              </w:rPr>
              <w:lastRenderedPageBreak/>
              <w:instrText>carry out appropriate clean-up 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Vol. 13, Page 3295","id":"ITEM-2","issue":"22","issued":{"date-</w:instrText>
            </w:r>
            <w:r w:rsidRPr="00AE3143">
              <w:rPr>
                <w:rFonts w:asciiTheme="majorBidi" w:eastAsia="Times New Roman" w:hAnsiTheme="majorBidi" w:cstheme="majorBidi"/>
                <w:color w:val="131413"/>
                <w:sz w:val="24"/>
                <w:szCs w:val="24"/>
              </w:rPr>
              <w:lastRenderedPageBreak/>
              <w:instrText>parts":[["2021","11","21"]]},"page":"3295","publisher":"Multidisciplinary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Nigeria","type":"article-journal","volume":"13"},"uris":["http://www.mendeley.com/documents/?uuid=72f0255f-a058-3f31-8b1a-0f6aaa2bc073"]},{"id":"ITEM-3","itemData":{"DOI":"10.1016/J.SCITOTENV.2016.05.183","ISSN":"0048-9697","PMID":"27265739","a</w:instrText>
            </w:r>
            <w:r w:rsidRPr="00AE3143">
              <w:rPr>
                <w:rFonts w:asciiTheme="majorBidi" w:eastAsia="Times New Roman" w:hAnsiTheme="majorBidi" w:cstheme="majorBidi"/>
                <w:color w:val="131413"/>
                <w:sz w:val="24"/>
                <w:szCs w:val="24"/>
              </w:rPr>
              <w:lastRenderedPageBreak/>
              <w:instrText xml:space="preserve">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DP and SPM) and in sediment samples, respectively. The </w:instrText>
            </w:r>
            <w:r w:rsidRPr="00AE3143">
              <w:rPr>
                <w:rFonts w:asciiTheme="majorBidi" w:eastAsia="Times New Roman" w:hAnsiTheme="majorBidi" w:cstheme="majorBidi"/>
                <w:color w:val="131413"/>
                <w:sz w:val="24"/>
                <w:szCs w:val="24"/>
              </w:rPr>
              <w:lastRenderedPageBreak/>
              <w:instrText>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Sea.","author":[{"dropping-</w:instrText>
            </w:r>
            <w:r w:rsidRPr="00AE3143">
              <w:rPr>
                <w:rFonts w:asciiTheme="majorBidi" w:eastAsia="Times New Roman" w:hAnsiTheme="majorBidi" w:cstheme="majorBidi"/>
                <w:color w:val="131413"/>
                <w:sz w:val="24"/>
                <w:szCs w:val="24"/>
              </w:rPr>
              <w:lastRenderedPageBreak/>
              <w:instrText>particle":"","family":"Montuori","given":"Paolo","non-dropping-particle":"","parse-names":false,"suffix":""},{"dropping-particle":"","family":"Aurino","given":"Sara","non-dropping-particle":"","parse-names":false,"suffix":""},{"dropping-particle":"","family":"Garzonio","given":"Fatima","non-dropping-particle":"","parse-names":false,"suffix":""},{"dropping-particle":"","family":"Sarnacchiaro","given":"Pasquale","non-dropping-particle":"","parse-names":false,"suffix":""},{"dropping-particle":"","family":"Nardon</w:instrText>
            </w:r>
            <w:r w:rsidRPr="00AE3143">
              <w:rPr>
                <w:rFonts w:asciiTheme="majorBidi" w:eastAsia="Times New Roman" w:hAnsiTheme="majorBidi" w:cstheme="majorBidi"/>
                <w:color w:val="131413"/>
                <w:sz w:val="24"/>
                <w:szCs w:val="24"/>
              </w:rPr>
              <w:lastRenderedPageBreak/>
              <w:instrText>e","given":"Antonio","non-dropping-particle":"","parse-names":false,"suffix":""},{"dropping-particle":"","family":"Triassi","given":"Maria","non-dropping-particle":"","parse-names":false,"suffix":""}],"container-title":"Science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w:instrText>
            </w:r>
            <w:r w:rsidRPr="00AE3143">
              <w:rPr>
                <w:rFonts w:asciiTheme="majorBidi" w:eastAsia="Times New Roman" w:hAnsiTheme="majorBidi" w:cstheme="majorBidi"/>
                <w:color w:val="131413"/>
                <w:sz w:val="24"/>
                <w:szCs w:val="24"/>
              </w:rPr>
              <w:lastRenderedPageBreak/>
              <w:instrText xml:space="preserv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w:instrText>
            </w:r>
            <w:r w:rsidRPr="00AE3143">
              <w:rPr>
                <w:rFonts w:asciiTheme="majorBidi" w:eastAsia="Times New Roman" w:hAnsiTheme="majorBidi" w:cstheme="majorBidi"/>
                <w:color w:val="131413"/>
                <w:sz w:val="24"/>
                <w:szCs w:val="24"/>
              </w:rPr>
              <w:lastRenderedPageBreak/>
              <w:instrText xml:space="preserve">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w:instrText>
            </w:r>
            <w:r w:rsidRPr="00AE3143">
              <w:rPr>
                <w:rFonts w:asciiTheme="majorBidi" w:eastAsia="Times New Roman" w:hAnsiTheme="majorBidi" w:cstheme="majorBidi"/>
                <w:color w:val="131413"/>
                <w:sz w:val="24"/>
                <w:szCs w:val="24"/>
              </w:rPr>
              <w:lastRenderedPageBreak/>
              <w:instrText xml:space="preserve">(fulvic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w:instrText>
            </w:r>
            <w:r w:rsidRPr="00AE3143">
              <w:rPr>
                <w:rFonts w:asciiTheme="majorBidi" w:eastAsia="Times New Roman" w:hAnsiTheme="majorBidi" w:cstheme="majorBidi"/>
                <w:color w:val="131413"/>
                <w:sz w:val="24"/>
                <w:szCs w:val="24"/>
              </w:rPr>
              <w:lastRenderedPageBreak/>
              <w:instrText>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w:instrText>
            </w:r>
            <w:r w:rsidRPr="00AE3143">
              <w:rPr>
                <w:rFonts w:asciiTheme="majorBidi" w:eastAsia="Times New Roman" w:hAnsiTheme="majorBidi" w:cstheme="majorBidi"/>
                <w:color w:val="131413"/>
                <w:sz w:val="24"/>
                <w:szCs w:val="24"/>
              </w:rPr>
              <w:lastRenderedPageBreak/>
              <w:instrText>"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w:instrText>
            </w:r>
            <w:r w:rsidRPr="00AE3143">
              <w:rPr>
                <w:rFonts w:asciiTheme="majorBidi" w:eastAsia="Times New Roman" w:hAnsiTheme="majorBidi" w:cstheme="majorBidi"/>
                <w:color w:val="131413"/>
                <w:sz w:val="24"/>
                <w:szCs w:val="24"/>
              </w:rPr>
              <w:lastRenderedPageBreak/>
              <w:instrText xml:space="preserve">particle":"","family":"Tarnawski","given":"Marek","non-dropping-particle":"","parse-names":false,"suffix":""},{"dropping-particle":"","family":"Spałek","given":"Iwona","non-dropping-particle":"","parse-names":false,"suffix":""}],"container-title":"Journal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bottom sediments of a dam </w:instrText>
            </w:r>
            <w:r w:rsidRPr="00AE3143">
              <w:rPr>
                <w:rFonts w:asciiTheme="majorBidi" w:eastAsia="Times New Roman" w:hAnsiTheme="majorBidi" w:cstheme="majorBidi"/>
                <w:color w:val="131413"/>
                <w:sz w:val="24"/>
                <w:szCs w:val="24"/>
              </w:rPr>
              <w:lastRenderedPageBreak/>
              <w:instrText>reservoir, their interaction with organic matter and risk to benthic fauna","type":"article-journal","volume":"21"},"uris":["http://www.mendeley.com/documents/?uuid=8224bc48-1b49-3c80-9c45-40bfe6140be0"]}],"mendeley":{"formattedCitation":"(Adeniji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w:instrText>
            </w:r>
            <w:r w:rsidRPr="00AE3143">
              <w:rPr>
                <w:rFonts w:asciiTheme="majorBidi" w:eastAsia="Times New Roman" w:hAnsiTheme="majorBidi" w:cstheme="majorBidi"/>
                <w:color w:val="131413"/>
                <w:sz w:val="24"/>
                <w:szCs w:val="24"/>
              </w:rPr>
              <w:lastRenderedPageBreak/>
              <w:instrText>Citation":"(Adeniji et al., 2019b; Baran et al., 2021; Howard et al., 2021; Montuori et al., 2016)"},"properties":{"noteIndex":0},"schema":"https://github.com/citation-style-language/schema/raw/master/csl-citation.json"}</w:instrText>
            </w:r>
            <w:r w:rsidRPr="00AE3143">
              <w:rPr>
                <w:rFonts w:asciiTheme="majorBidi" w:eastAsia="Times New Roman" w:hAnsiTheme="majorBidi" w:cstheme="majorBidi"/>
                <w:color w:val="131413"/>
                <w:sz w:val="24"/>
                <w:szCs w:val="24"/>
              </w:rPr>
              <w:fldChar w:fldCharType="separate"/>
            </w:r>
            <w:r w:rsidR="002311E7" w:rsidRPr="00AE3143">
              <w:rPr>
                <w:rFonts w:asciiTheme="majorBidi" w:eastAsia="Times New Roman" w:hAnsiTheme="majorBidi" w:cstheme="majorBidi"/>
                <w:noProof/>
                <w:color w:val="131413"/>
                <w:sz w:val="24"/>
                <w:szCs w:val="24"/>
              </w:rPr>
              <w:t>(Adeniji et al.,</w:t>
            </w:r>
            <w:r w:rsidR="00046BDF" w:rsidRPr="00AE3143">
              <w:rPr>
                <w:rFonts w:asciiTheme="majorBidi" w:eastAsia="Times New Roman" w:hAnsiTheme="majorBidi" w:cstheme="majorBidi"/>
                <w:noProof/>
                <w:color w:val="131413"/>
                <w:sz w:val="24"/>
                <w:szCs w:val="24"/>
              </w:rPr>
              <w:t xml:space="preserve"> 2019</w:t>
            </w:r>
            <w:r w:rsidR="000A5D59" w:rsidRPr="00AE3143">
              <w:rPr>
                <w:rFonts w:asciiTheme="majorBidi" w:eastAsia="Times New Roman" w:hAnsiTheme="majorBidi" w:cstheme="majorBidi"/>
                <w:noProof/>
                <w:color w:val="131413"/>
                <w:sz w:val="24"/>
                <w:szCs w:val="24"/>
              </w:rPr>
              <w:t>; Baran et al., 2021; Montuori et al.,</w:t>
            </w:r>
            <w:r w:rsidRPr="00AE3143">
              <w:rPr>
                <w:rFonts w:asciiTheme="majorBidi" w:eastAsia="Times New Roman" w:hAnsiTheme="majorBidi" w:cstheme="majorBidi"/>
                <w:noProof/>
                <w:color w:val="131413"/>
                <w:sz w:val="24"/>
                <w:szCs w:val="24"/>
              </w:rPr>
              <w:t xml:space="preserve"> 2016)</w:t>
            </w:r>
            <w:r w:rsidRPr="00AE3143">
              <w:rPr>
                <w:rFonts w:asciiTheme="majorBidi" w:eastAsia="Times New Roman" w:hAnsiTheme="majorBidi" w:cstheme="majorBidi"/>
                <w:color w:val="131413"/>
                <w:sz w:val="24"/>
                <w:szCs w:val="24"/>
              </w:rPr>
              <w:fldChar w:fldCharType="end"/>
            </w:r>
          </w:p>
        </w:tc>
      </w:tr>
      <w:tr w:rsidR="00486478" w:rsidRPr="00AE3143" w14:paraId="6E8A688D" w14:textId="77777777" w:rsidTr="00B37503">
        <w:tc>
          <w:tcPr>
            <w:tcW w:w="2087" w:type="dxa"/>
            <w:vMerge/>
            <w:shd w:val="clear" w:color="auto" w:fill="auto"/>
          </w:tcPr>
          <w:p w14:paraId="4DFA1AF9"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vAlign w:val="center"/>
          </w:tcPr>
          <w:p w14:paraId="0EE99EB2"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0.4-0.5</w:t>
            </w:r>
          </w:p>
        </w:tc>
        <w:tc>
          <w:tcPr>
            <w:tcW w:w="4317" w:type="dxa"/>
            <w:shd w:val="clear" w:color="auto" w:fill="auto"/>
            <w:vAlign w:val="center"/>
          </w:tcPr>
          <w:p w14:paraId="3379DD25"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Pyrolytic (burning of liquid fossil fuels and crude oil. vehicles)</w:t>
            </w:r>
          </w:p>
        </w:tc>
        <w:tc>
          <w:tcPr>
            <w:tcW w:w="2704" w:type="dxa"/>
            <w:vMerge/>
            <w:shd w:val="clear" w:color="auto" w:fill="auto"/>
          </w:tcPr>
          <w:p w14:paraId="65259D0C"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6F06AF92"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1062C47C" w14:textId="77777777" w:rsidTr="00B37503">
        <w:tc>
          <w:tcPr>
            <w:tcW w:w="2087" w:type="dxa"/>
            <w:vMerge/>
            <w:shd w:val="clear" w:color="auto" w:fill="auto"/>
          </w:tcPr>
          <w:p w14:paraId="4ED9D472"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tcPr>
          <w:p w14:paraId="15B7F08F"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&gt;0.5</w:t>
            </w:r>
          </w:p>
        </w:tc>
        <w:tc>
          <w:tcPr>
            <w:tcW w:w="4317" w:type="dxa"/>
            <w:shd w:val="clear" w:color="auto" w:fill="auto"/>
            <w:vAlign w:val="center"/>
          </w:tcPr>
          <w:p w14:paraId="4C945AF1" w14:textId="77777777" w:rsidR="00486478" w:rsidRPr="00AE3143" w:rsidRDefault="00486478" w:rsidP="00AE3143">
            <w:pPr>
              <w:rPr>
                <w:rFonts w:asciiTheme="majorBidi" w:hAnsiTheme="majorBidi" w:cstheme="majorBidi"/>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shd w:val="clear" w:color="auto" w:fill="auto"/>
          </w:tcPr>
          <w:p w14:paraId="7271A3D8"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0CA77C93"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26607954" w14:textId="77777777" w:rsidTr="00B37503">
        <w:tc>
          <w:tcPr>
            <w:tcW w:w="2087" w:type="dxa"/>
            <w:vMerge w:val="restart"/>
            <w:shd w:val="clear" w:color="auto" w:fill="auto"/>
          </w:tcPr>
          <w:p w14:paraId="38187B8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r w:rsidRPr="00AE3143">
              <w:rPr>
                <w:rFonts w:asciiTheme="majorBidi" w:eastAsia="Times New Roman" w:hAnsiTheme="majorBidi" w:cstheme="majorBidi"/>
                <w:color w:val="000000"/>
                <w:sz w:val="24"/>
                <w:szCs w:val="24"/>
              </w:rPr>
              <w:lastRenderedPageBreak/>
              <w:t>IND/(</w:t>
            </w:r>
            <w:proofErr w:type="spellStart"/>
            <w:r w:rsidRPr="00AE3143">
              <w:rPr>
                <w:rFonts w:asciiTheme="majorBidi" w:eastAsia="Times New Roman" w:hAnsiTheme="majorBidi" w:cstheme="majorBidi"/>
                <w:color w:val="000000"/>
                <w:sz w:val="24"/>
                <w:szCs w:val="24"/>
              </w:rPr>
              <w:t>IND+BghiP</w:t>
            </w:r>
            <w:proofErr w:type="spellEnd"/>
            <w:r w:rsidRPr="00AE3143">
              <w:rPr>
                <w:rFonts w:asciiTheme="majorBidi" w:eastAsia="Times New Roman" w:hAnsiTheme="majorBidi" w:cstheme="majorBidi"/>
                <w:color w:val="000000"/>
                <w:sz w:val="24"/>
                <w:szCs w:val="24"/>
              </w:rPr>
              <w:t>)</w:t>
            </w:r>
          </w:p>
        </w:tc>
        <w:tc>
          <w:tcPr>
            <w:tcW w:w="1511" w:type="dxa"/>
            <w:shd w:val="clear" w:color="auto" w:fill="auto"/>
          </w:tcPr>
          <w:p w14:paraId="1E489409"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&lt;0.2</w:t>
            </w:r>
          </w:p>
        </w:tc>
        <w:tc>
          <w:tcPr>
            <w:tcW w:w="4317" w:type="dxa"/>
            <w:shd w:val="clear" w:color="auto" w:fill="auto"/>
            <w:vAlign w:val="center"/>
          </w:tcPr>
          <w:p w14:paraId="6163DF81"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Petrogenic inputs (liquid fuel discharges)</w:t>
            </w:r>
          </w:p>
        </w:tc>
        <w:tc>
          <w:tcPr>
            <w:tcW w:w="2704" w:type="dxa"/>
            <w:vMerge w:val="restart"/>
            <w:shd w:val="clear" w:color="auto" w:fill="auto"/>
          </w:tcPr>
          <w:p w14:paraId="4F82479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0.48 ( 0.2-0.5)</w:t>
            </w:r>
          </w:p>
          <w:p w14:paraId="5400F24C"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0.58 &gt; 0.5</w:t>
            </w:r>
          </w:p>
          <w:p w14:paraId="435C3F47"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0.35 (0.2-0.5)</w:t>
            </w:r>
          </w:p>
          <w:p w14:paraId="44F44F53"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0.41 ( 0.2-0.5)</w:t>
            </w:r>
          </w:p>
        </w:tc>
        <w:tc>
          <w:tcPr>
            <w:tcW w:w="3146" w:type="dxa"/>
            <w:vMerge w:val="restart"/>
            <w:shd w:val="clear" w:color="auto" w:fill="auto"/>
          </w:tcPr>
          <w:p w14:paraId="6B93F665" w14:textId="15372568"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fldChar w:fldCharType="begin" w:fldLock="1"/>
            </w:r>
            <w:r w:rsidRPr="00AE3143">
              <w:rPr>
                <w:rFonts w:asciiTheme="majorBidi" w:eastAsia="Times New Roman" w:hAnsiTheme="majorBidi" w:cstheme="majorBidi"/>
                <w:color w:val="131413"/>
                <w:sz w:val="24"/>
                <w:szCs w:val="24"/>
              </w:rPr>
              <w:instrText xml:space="preserve">ADDIN CSL_CITATION {"citationItems":[{"id":"ITEM-1","itemData":{"DOI":"10.1007/S00244-019-00617-W/TABLES/5","ISSN":"14320703","PMID":"30879120","abstract":"The incidence and spatial distribution of polycyclic aromatic hydrocarbons (PAHs) in the Buffalo River Estuary in the Eastern Cape Province of </w:instrText>
            </w:r>
            <w:r w:rsidRPr="00AE3143">
              <w:rPr>
                <w:rFonts w:asciiTheme="majorBidi" w:eastAsia="Times New Roman" w:hAnsiTheme="majorBidi" w:cstheme="majorBidi"/>
                <w:color w:val="131413"/>
                <w:sz w:val="24"/>
                <w:szCs w:val="24"/>
              </w:rPr>
              <w:lastRenderedPageBreak/>
              <w:instrText xml:space="preserve">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not detected (ND) to 24.91 μg/L and ND to 7792 μg/kg, respectively. </w:instrText>
            </w:r>
            <w:r w:rsidRPr="00AE3143">
              <w:rPr>
                <w:rFonts w:asciiTheme="majorBidi" w:eastAsia="Times New Roman" w:hAnsiTheme="majorBidi" w:cstheme="majorBidi"/>
                <w:color w:val="131413"/>
                <w:sz w:val="24"/>
                <w:szCs w:val="24"/>
              </w:rPr>
              <w:lastRenderedPageBreak/>
              <w:instrText xml:space="preserve">Total concentrations of the PAHs in the water and sediment samples varied as 14.91–206 μg/L and 1107–22,310 μg/kg in that order. Total levels of the contaminants were above the 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w:instrText>
            </w:r>
            <w:r w:rsidRPr="00AE3143">
              <w:rPr>
                <w:rFonts w:asciiTheme="majorBidi" w:eastAsia="Times New Roman" w:hAnsiTheme="majorBidi" w:cstheme="majorBidi"/>
                <w:color w:val="131413"/>
                <w:sz w:val="24"/>
                <w:szCs w:val="24"/>
              </w:rPr>
              <w:lastRenderedPageBreak/>
              <w:instrText>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magnitude of pollution at the sites.","author":[{"dropping-particle":"","family":"Adeniji","given":"A. O.","non-dropping-particle":"","parse-names":false,"suffix":""},{"dropping-particle":"","family":"Okoh","given":"O. O.","non-dropping-particle":"","parse-names":false,"suffix":""},{"dr</w:instrText>
            </w:r>
            <w:r w:rsidRPr="00AE3143">
              <w:rPr>
                <w:rFonts w:asciiTheme="majorBidi" w:eastAsia="Times New Roman" w:hAnsiTheme="majorBidi" w:cstheme="majorBidi"/>
                <w:color w:val="131413"/>
                <w:sz w:val="24"/>
                <w:szCs w:val="24"/>
              </w:rPr>
              <w:lastRenderedPageBreak/>
              <w:instrText>opping-particle":"","family":"Okoh","given":"A. I.","non-dropping-particle":"","parse-names":false,"suffix":""}],"container-title":"Archives of Environmental Contamination and Toxicology","id":"ITEM-1","issue":"4","issued":{"date-parts":[["2019","5","1"]]},"page":"657-669","publisher":"Springer New York LLC","title":"Levels of Polycyclic Aromatic Hydrocarbons in the Water and Sediment of Buffalo River Estuary, South Africa and Their Health Risk Assessment","type":"article-journal","volume":"76"},"uris</w:instrText>
            </w:r>
            <w:r w:rsidRPr="00AE3143">
              <w:rPr>
                <w:rFonts w:asciiTheme="majorBidi" w:eastAsia="Times New Roman" w:hAnsiTheme="majorBidi" w:cstheme="majorBidi"/>
                <w:color w:val="131413"/>
                <w:sz w:val="24"/>
                <w:szCs w:val="24"/>
              </w:rPr>
              <w:lastRenderedPageBreak/>
              <w:instrText xml:space="preserve">":["http://www.mendeley.com/documents/?uuid=5780b9a0-7395-36e3-bdc8-09a0b5662082"]},{"id":"ITEM-2","itemData":{"DOI":"10.3390/W13223295","ISSN":"2073-4441","abstract":"Polycyclic 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w:instrText>
            </w:r>
            <w:r w:rsidRPr="00AE3143">
              <w:rPr>
                <w:rFonts w:asciiTheme="majorBidi" w:eastAsia="Times New Roman" w:hAnsiTheme="majorBidi" w:cstheme="majorBidi"/>
                <w:color w:val="131413"/>
                <w:sz w:val="24"/>
                <w:szCs w:val="24"/>
              </w:rPr>
              <w:lastRenderedPageBreak/>
              <w:instrText xml:space="preserve">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w:instrText>
            </w:r>
            <w:r w:rsidRPr="00AE3143">
              <w:rPr>
                <w:rFonts w:asciiTheme="majorBidi" w:eastAsia="Times New Roman" w:hAnsiTheme="majorBidi" w:cstheme="majorBidi"/>
                <w:color w:val="131413"/>
                <w:sz w:val="24"/>
                <w:szCs w:val="24"/>
              </w:rPr>
              <w:lastRenderedPageBreak/>
              <w:instrText xml:space="preserve">(ER-L) and Effect range-median ER-M) of this study is from 0.953 to 8.80 mg/kg. PAHs below ER-L (4.0 mg/kg) indicate no toxic effect, but values above ER-M (44.79 mg/kg) indicate toxic effects to the sediments, its resources and, ultimately, the public that consumes the resources thereof; hence, the study area falls within the contaminated category. The occurrence of the high molecular weight (HMW) PAHs (73.4%) supersedes those of the lower molecular weight (LMW) PAHs (26.6%). The diagnostic ratios and principal component analysis suggest that the main contributors of PAHS into the </w:instrText>
            </w:r>
            <w:r w:rsidRPr="00AE3143">
              <w:rPr>
                <w:rFonts w:asciiTheme="majorBidi" w:eastAsia="Times New Roman" w:hAnsiTheme="majorBidi" w:cstheme="majorBidi"/>
                <w:color w:val="131413"/>
                <w:sz w:val="24"/>
                <w:szCs w:val="24"/>
              </w:rPr>
              <w:lastRenderedPageBreak/>
              <w:instrText xml:space="preserve">sediments are the combustion of biomass, fossil fuel (crude oil) and pyrogenic sources. The toxic equivalent quotient (TEQ) and mutagenic equivalent quotient (MEQ) of PAHs ranged from 2.96 to 23.26 mgTEQ/kg dw and 4.47 to 23.52 mgMEQ/kg dw, and the total mean toxic equivalency quotient (∑TEQ) (15.12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w:instrText>
            </w:r>
            <w:r w:rsidRPr="00AE3143">
              <w:rPr>
                <w:rFonts w:asciiTheme="majorBidi" w:eastAsia="Times New Roman" w:hAnsiTheme="majorBidi" w:cstheme="majorBidi"/>
                <w:color w:val="131413"/>
                <w:sz w:val="24"/>
                <w:szCs w:val="24"/>
              </w:rPr>
              <w:lastRenderedPageBreak/>
              <w:instrText>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carry out appropriate clean-up of the…","author":[{"dropping-particle":"","family":"Howard","given":"Ibigoni C.","non-dropping-particle":"","parse-names":false,"suffix":""},{"dropping-particle":"","family":"Okpara","given":"Kingsley E.","non-dropping-particle":"","parse-</w:instrText>
            </w:r>
            <w:r w:rsidRPr="00AE3143">
              <w:rPr>
                <w:rFonts w:asciiTheme="majorBidi" w:eastAsia="Times New Roman" w:hAnsiTheme="majorBidi" w:cstheme="majorBidi"/>
                <w:color w:val="131413"/>
                <w:sz w:val="24"/>
                <w:szCs w:val="24"/>
              </w:rPr>
              <w:lastRenderedPageBreak/>
              <w:instrText xml:space="preserve">names":false,"suffix":""},{"dropping-particle":"","family":"Techato","given":"Kuaanan","non-dropping-particle":"","parse-names":false,"suffix":""}],"container-title":"Water 2021, Vol. 13, Page 3295","id":"ITEM-2","issue":"22","issued":{"date-parts":[["2021","11","21"]]},"page":"3295","publisher":"Multidisciplinary Digital Publishing Institute","title":"Toxicity and Risks Assessment of Polycyclic Aromatic Hydrocarbons in River Bed Sediments of an Artisanal Crude Oil Refining Area in the Niger Delta, </w:instrText>
            </w:r>
            <w:r w:rsidRPr="00AE3143">
              <w:rPr>
                <w:rFonts w:asciiTheme="majorBidi" w:eastAsia="Times New Roman" w:hAnsiTheme="majorBidi" w:cstheme="majorBidi"/>
                <w:color w:val="131413"/>
                <w:sz w:val="24"/>
                <w:szCs w:val="24"/>
              </w:rPr>
              <w:lastRenderedPageBreak/>
              <w:instrText xml:space="preserve">Nigeria","type":"article-journal","volume":"13"},"uris":["http://www.mendeley.com/documents/?uuid=72f0255f-a058-3f31-8b1a-0f6aaa2bc073"]},{"id":"ITEM-3","itemData":{"DOI":"10.1016/J.SCITOTENV.2016.05.183","ISSN":"0048-9697","PMID":"27265739","abstract":"The concentration, source and ecological risk of polycyclic aromatic hydrocarbons (PAHs) in the Tiber River and its environmental impact on the Tyrrhenian Sea (Central Mediterranean Sea) were estimated. The 16 priority PAHs were determined in the water dissolved phase (DP), </w:instrText>
            </w:r>
            <w:r w:rsidRPr="00AE3143">
              <w:rPr>
                <w:rFonts w:asciiTheme="majorBidi" w:eastAsia="Times New Roman" w:hAnsiTheme="majorBidi" w:cstheme="majorBidi"/>
                <w:color w:val="131413"/>
                <w:sz w:val="24"/>
                <w:szCs w:val="24"/>
              </w:rPr>
              <w:lastRenderedPageBreak/>
              <w:instrText xml:space="preserve">suspended particulate matter (SPM) and sediments collected from 21 sites in four different seasons. Total concentrations of PAHs ranged from 10.3 to 951.6 ng L− 1 and from 36.2 to 545.6 ng g− 1 in water (sum of DP and SPM) and in sediment samples, respectively. The 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w:instrText>
            </w:r>
            <w:r w:rsidRPr="00AE3143">
              <w:rPr>
                <w:rFonts w:asciiTheme="majorBidi" w:eastAsia="Times New Roman" w:hAnsiTheme="majorBidi" w:cstheme="majorBidi"/>
                <w:color w:val="131413"/>
                <w:sz w:val="24"/>
                <w:szCs w:val="24"/>
              </w:rPr>
              <w:lastRenderedPageBreak/>
              <w:instrText>PAHs was 45.3 ngTEQ g− 1, suggesting low carcinogenic risk for Tiber River. Total PAHs loads into the sea were calculated in about 3161.7 kg year− 1 showing that this river is one of the main contribution sources of these contaminants to the Tyrrhenian Sea.","author":[{"dropping-particle":"","family":"Montuori","given":"Paolo","non-dropping-particle":"","parse-names":false,"suffix":""},{"dropping-particle":"","family":"Aurino","given":"Sara","non-dropping-particle":"","parse-names":false,"suffix":""},{"dropping-particle":"","family":"Garzoni</w:instrText>
            </w:r>
            <w:r w:rsidRPr="00AE3143">
              <w:rPr>
                <w:rFonts w:asciiTheme="majorBidi" w:eastAsia="Times New Roman" w:hAnsiTheme="majorBidi" w:cstheme="majorBidi"/>
                <w:color w:val="131413"/>
                <w:sz w:val="24"/>
                <w:szCs w:val="24"/>
              </w:rPr>
              <w:lastRenderedPageBreak/>
              <w:instrText>o","given":"Fatima","non-dropping-particle":"","parse-names":false,"suffix":""},{"dropping-particle":"","family":"Sarnacchiaro","given":"Pasquale","non-dropping-particle":"","parse-names":false,"suffix":""},{"dropping-particle":"","family":"Nardone","given":"Antonio","non-dropping-particle":"","parse-names":false,"suffix":""},{"dropping-particle":"","family":"Triassi","given":"Maria","non-dropping-particle":"","parse-names":false,"suffix":""}],"container-title":"Science of The Total Environment","id":"ITEM-</w:instrText>
            </w:r>
            <w:r w:rsidRPr="00AE3143">
              <w:rPr>
                <w:rFonts w:asciiTheme="majorBidi" w:eastAsia="Times New Roman" w:hAnsiTheme="majorBidi" w:cstheme="majorBidi"/>
                <w:color w:val="131413"/>
                <w:sz w:val="24"/>
                <w:szCs w:val="24"/>
              </w:rPr>
              <w:lastRenderedPageBreak/>
              <w:instrText xml:space="preserve">3","issued":{"date-parts":[["2016","10","1"]]},"page":"1254-1267","publisher":"Elsevier","title":"Distribution, sources and ecological risk assessment of polycyclic aromatic hydrocarbons in water and sediments from Tiber River and estuary, Italy","type":"article-journal","volume":"566-567"},"uris":["http://www.mendeley.com/documents/?uuid=acbc24a7-de02-3377-b5b1-13c61a059420"]},{"id":"ITEM-4","itemData":{"DOI":"10.1007/S11368-021-02968-1/TABLES/6","ISSN":"16147480","abstract":"Purpose: The aims of the study were to </w:instrText>
            </w:r>
            <w:r w:rsidRPr="00AE3143">
              <w:rPr>
                <w:rFonts w:asciiTheme="majorBidi" w:eastAsia="Times New Roman" w:hAnsiTheme="majorBidi" w:cstheme="majorBidi"/>
                <w:color w:val="131413"/>
                <w:sz w:val="24"/>
                <w:szCs w:val="24"/>
              </w:rPr>
              <w:lastRenderedPageBreak/>
              <w:instrText xml:space="preserve">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w:instrText>
            </w:r>
            <w:r w:rsidRPr="00AE3143">
              <w:rPr>
                <w:rFonts w:asciiTheme="majorBidi" w:eastAsia="Times New Roman" w:hAnsiTheme="majorBidi" w:cstheme="majorBidi"/>
                <w:color w:val="131413"/>
                <w:sz w:val="24"/>
                <w:szCs w:val="24"/>
              </w:rPr>
              <w:lastRenderedPageBreak/>
              <w:instrText xml:space="preserve">(DOC).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instrText>
            </w:r>
            <w:r w:rsidRPr="00AE3143">
              <w:rPr>
                <w:rFonts w:asciiTheme="majorBidi" w:eastAsia="Times New Roman" w:hAnsiTheme="majorBidi" w:cstheme="majorBidi"/>
                <w:color w:val="131413"/>
                <w:sz w:val="24"/>
                <w:szCs w:val="24"/>
              </w:rPr>
              <w:lastRenderedPageBreak/>
              <w:instrText>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w:instrText>
            </w:r>
            <w:r w:rsidRPr="00AE3143">
              <w:rPr>
                <w:rFonts w:asciiTheme="majorBidi" w:eastAsia="Times New Roman" w:hAnsiTheme="majorBidi" w:cstheme="majorBidi"/>
                <w:color w:val="131413"/>
                <w:sz w:val="24"/>
                <w:szCs w:val="24"/>
              </w:rPr>
              <w:lastRenderedPageBreak/>
              <w:instrText>opping-particle":"","family":"Klimkowicz-Pawlas","given":"Agnieszka","non-dropping-particle":"","parse-names":false,"suffix":""},{"dropping-particle":"","family":"Ukalska-Jaruga","given":"Aleksandra","non-dropping-particle":"","parse-names":false,"suffix":""},{"dropping-particle":"","family":"Mierzwa-Hersztek","given":"Monika","non-dropping-particle":"","parse-names":false,"suffix":""},{"dropping-</w:instrText>
            </w:r>
            <w:r w:rsidRPr="00AE3143">
              <w:rPr>
                <w:rFonts w:asciiTheme="majorBidi" w:eastAsia="Times New Roman" w:hAnsiTheme="majorBidi" w:cstheme="majorBidi"/>
                <w:color w:val="131413"/>
                <w:sz w:val="24"/>
                <w:szCs w:val="24"/>
              </w:rPr>
              <w:lastRenderedPageBreak/>
              <w:instrText>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ntainer-title":"Journal of Soils and Sediments","id":"ITEM-</w:instrText>
            </w:r>
            <w:r w:rsidRPr="00AE3143">
              <w:rPr>
                <w:rFonts w:asciiTheme="majorBidi" w:eastAsia="Times New Roman" w:hAnsiTheme="majorBidi" w:cstheme="majorBidi"/>
                <w:color w:val="131413"/>
                <w:sz w:val="24"/>
                <w:szCs w:val="24"/>
              </w:rPr>
              <w:lastRenderedPageBreak/>
              <w:instrText xml:space="preserve">4","issue":"6","issued":{"date-parts":[["2021","6","1"]]},"page":"2418-2431","publisher":"Springer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fauna","type":"article-journal","volume":"21"},"uris":["http://www.mendeley.com/documents/?uuid=8224bc48-1b49-3c80-9c45-40bfe6140be0"]}],"mendeley":{"formattedCitation":"(Adeniji et al., 2019b; Baran et al., 2021; Howard et al., 2021; </w:instrText>
            </w:r>
            <w:r w:rsidRPr="00AE3143">
              <w:rPr>
                <w:rFonts w:asciiTheme="majorBidi" w:eastAsia="Times New Roman" w:hAnsiTheme="majorBidi" w:cstheme="majorBidi"/>
                <w:color w:val="131413"/>
                <w:sz w:val="24"/>
                <w:szCs w:val="24"/>
              </w:rPr>
              <w:lastRenderedPageBreak/>
              <w:instrText>Montuori et al., 2016)","manualFormatting":"(Adeniji et al.. 2019b; Baran et al.. 2021; Howard et al.. 2021; Montuori et al.. 2016)","plainTextFormattedCitation":"(Adeniji et al., 2019b; Baran et al., 2021; Howard et al., 2021; Montuori et al., 2016)","previouslyFormattedCitation":"(Adeniji et al., 2019b; Baran et al., 2021; Howard et al., 2021; Montuori et al., 2016)"},"properties":{"noteIndex":0},"schema":"https://github.com/citation-style-language/schema/raw/master/csl-citation.json"}</w:instrText>
            </w:r>
            <w:r w:rsidRPr="00AE3143">
              <w:rPr>
                <w:rFonts w:asciiTheme="majorBidi" w:eastAsia="Times New Roman" w:hAnsiTheme="majorBidi" w:cstheme="majorBidi"/>
                <w:color w:val="131413"/>
                <w:sz w:val="24"/>
                <w:szCs w:val="24"/>
              </w:rPr>
              <w:fldChar w:fldCharType="separate"/>
            </w:r>
            <w:r w:rsidR="000A5D59" w:rsidRPr="00AE3143">
              <w:rPr>
                <w:rFonts w:asciiTheme="majorBidi" w:eastAsia="Times New Roman" w:hAnsiTheme="majorBidi" w:cstheme="majorBidi"/>
                <w:noProof/>
                <w:color w:val="131413"/>
                <w:sz w:val="24"/>
                <w:szCs w:val="24"/>
              </w:rPr>
              <w:t>(Adeniji et al.,</w:t>
            </w:r>
            <w:r w:rsidR="00BC49EC" w:rsidRPr="00AE3143">
              <w:rPr>
                <w:rFonts w:asciiTheme="majorBidi" w:eastAsia="Times New Roman" w:hAnsiTheme="majorBidi" w:cstheme="majorBidi"/>
                <w:noProof/>
                <w:color w:val="131413"/>
                <w:sz w:val="24"/>
                <w:szCs w:val="24"/>
              </w:rPr>
              <w:t xml:space="preserve"> 2019</w:t>
            </w:r>
            <w:r w:rsidR="000A5D59" w:rsidRPr="00AE3143">
              <w:rPr>
                <w:rFonts w:asciiTheme="majorBidi" w:eastAsia="Times New Roman" w:hAnsiTheme="majorBidi" w:cstheme="majorBidi"/>
                <w:noProof/>
                <w:color w:val="131413"/>
                <w:sz w:val="24"/>
                <w:szCs w:val="24"/>
              </w:rPr>
              <w:t>; Baran et al.,</w:t>
            </w:r>
            <w:r w:rsidR="00C04FD7" w:rsidRPr="00AE3143">
              <w:rPr>
                <w:rFonts w:asciiTheme="majorBidi" w:eastAsia="Times New Roman" w:hAnsiTheme="majorBidi" w:cstheme="majorBidi"/>
                <w:noProof/>
                <w:color w:val="131413"/>
                <w:sz w:val="24"/>
                <w:szCs w:val="24"/>
              </w:rPr>
              <w:t xml:space="preserve"> 2021</w:t>
            </w:r>
            <w:r w:rsidR="000A5D59" w:rsidRPr="00AE3143">
              <w:rPr>
                <w:rFonts w:asciiTheme="majorBidi" w:eastAsia="Times New Roman" w:hAnsiTheme="majorBidi" w:cstheme="majorBidi"/>
                <w:noProof/>
                <w:color w:val="131413"/>
                <w:sz w:val="24"/>
                <w:szCs w:val="24"/>
              </w:rPr>
              <w:t>; Montuori et al.,</w:t>
            </w:r>
            <w:r w:rsidRPr="00AE3143">
              <w:rPr>
                <w:rFonts w:asciiTheme="majorBidi" w:eastAsia="Times New Roman" w:hAnsiTheme="majorBidi" w:cstheme="majorBidi"/>
                <w:noProof/>
                <w:color w:val="131413"/>
                <w:sz w:val="24"/>
                <w:szCs w:val="24"/>
              </w:rPr>
              <w:t xml:space="preserve"> 2016)</w:t>
            </w:r>
            <w:r w:rsidRPr="00AE3143">
              <w:rPr>
                <w:rFonts w:asciiTheme="majorBidi" w:eastAsia="Times New Roman" w:hAnsiTheme="majorBidi" w:cstheme="majorBidi"/>
                <w:color w:val="131413"/>
                <w:sz w:val="24"/>
                <w:szCs w:val="24"/>
              </w:rPr>
              <w:fldChar w:fldCharType="end"/>
            </w:r>
          </w:p>
        </w:tc>
      </w:tr>
      <w:tr w:rsidR="00486478" w:rsidRPr="00AE3143" w14:paraId="488F7BD3" w14:textId="77777777" w:rsidTr="00B37503">
        <w:tc>
          <w:tcPr>
            <w:tcW w:w="2087" w:type="dxa"/>
            <w:vMerge/>
            <w:shd w:val="clear" w:color="auto" w:fill="auto"/>
          </w:tcPr>
          <w:p w14:paraId="5E1B5013"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vAlign w:val="center"/>
          </w:tcPr>
          <w:p w14:paraId="58DBCA75"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0.2-0.5</w:t>
            </w:r>
          </w:p>
        </w:tc>
        <w:tc>
          <w:tcPr>
            <w:tcW w:w="4317" w:type="dxa"/>
            <w:shd w:val="clear" w:color="auto" w:fill="auto"/>
            <w:vAlign w:val="center"/>
          </w:tcPr>
          <w:p w14:paraId="02F2D761"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Pyrolytic (burning of liquid fossil fuels and crude oil. vehicles)</w:t>
            </w:r>
          </w:p>
        </w:tc>
        <w:tc>
          <w:tcPr>
            <w:tcW w:w="2704" w:type="dxa"/>
            <w:vMerge/>
            <w:shd w:val="clear" w:color="auto" w:fill="auto"/>
          </w:tcPr>
          <w:p w14:paraId="393D54CB"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00EABE3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31223B04" w14:textId="77777777" w:rsidTr="00B37503">
        <w:tc>
          <w:tcPr>
            <w:tcW w:w="2087" w:type="dxa"/>
            <w:vMerge/>
            <w:shd w:val="clear" w:color="auto" w:fill="auto"/>
          </w:tcPr>
          <w:p w14:paraId="438E2A91"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tcPr>
          <w:p w14:paraId="4003C49B"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&gt;0.5</w:t>
            </w:r>
          </w:p>
        </w:tc>
        <w:tc>
          <w:tcPr>
            <w:tcW w:w="4317" w:type="dxa"/>
            <w:shd w:val="clear" w:color="auto" w:fill="auto"/>
            <w:vAlign w:val="center"/>
          </w:tcPr>
          <w:p w14:paraId="6B9A5688"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shd w:val="clear" w:color="auto" w:fill="auto"/>
          </w:tcPr>
          <w:p w14:paraId="1AF692A6"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0064ABDF"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079873FB" w14:textId="77777777" w:rsidTr="00B37503">
        <w:tc>
          <w:tcPr>
            <w:tcW w:w="2087" w:type="dxa"/>
            <w:vMerge w:val="restart"/>
            <w:shd w:val="clear" w:color="auto" w:fill="auto"/>
          </w:tcPr>
          <w:p w14:paraId="093EDA5B"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AE3143">
              <w:rPr>
                <w:rFonts w:asciiTheme="majorBidi" w:eastAsia="Times New Roman" w:hAnsiTheme="majorBidi" w:cstheme="majorBidi"/>
                <w:color w:val="000000"/>
                <w:sz w:val="24"/>
                <w:szCs w:val="24"/>
              </w:rPr>
              <w:lastRenderedPageBreak/>
              <w:t>BaA</w:t>
            </w:r>
            <w:proofErr w:type="spellEnd"/>
            <w:r w:rsidRPr="00AE3143">
              <w:rPr>
                <w:rFonts w:asciiTheme="majorBidi" w:eastAsia="Times New Roman" w:hAnsiTheme="majorBidi" w:cstheme="majorBidi"/>
                <w:color w:val="000000"/>
                <w:sz w:val="24"/>
                <w:szCs w:val="24"/>
              </w:rPr>
              <w:t>/(</w:t>
            </w:r>
            <w:proofErr w:type="spellStart"/>
            <w:r w:rsidRPr="00AE3143">
              <w:rPr>
                <w:rFonts w:asciiTheme="majorBidi" w:eastAsia="Times New Roman" w:hAnsiTheme="majorBidi" w:cstheme="majorBidi"/>
                <w:color w:val="000000"/>
                <w:sz w:val="24"/>
                <w:szCs w:val="24"/>
              </w:rPr>
              <w:t>BaA+Chr</w:t>
            </w:r>
            <w:proofErr w:type="spellEnd"/>
            <w:r w:rsidRPr="00AE3143">
              <w:rPr>
                <w:rFonts w:asciiTheme="majorBidi" w:eastAsia="Times New Roman" w:hAnsiTheme="majorBidi" w:cstheme="majorBidi"/>
                <w:color w:val="000000"/>
                <w:sz w:val="24"/>
                <w:szCs w:val="24"/>
              </w:rPr>
              <w:t>)</w:t>
            </w:r>
          </w:p>
        </w:tc>
        <w:tc>
          <w:tcPr>
            <w:tcW w:w="1511" w:type="dxa"/>
            <w:shd w:val="clear" w:color="auto" w:fill="auto"/>
          </w:tcPr>
          <w:p w14:paraId="4B4B8503"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&lt;0.2</w:t>
            </w:r>
          </w:p>
        </w:tc>
        <w:tc>
          <w:tcPr>
            <w:tcW w:w="4317" w:type="dxa"/>
            <w:shd w:val="clear" w:color="auto" w:fill="auto"/>
            <w:vAlign w:val="center"/>
          </w:tcPr>
          <w:p w14:paraId="2B3AA785"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Petrogenic inputs (liquid fuel discharges)</w:t>
            </w:r>
          </w:p>
        </w:tc>
        <w:tc>
          <w:tcPr>
            <w:tcW w:w="2704" w:type="dxa"/>
            <w:vMerge w:val="restart"/>
            <w:shd w:val="clear" w:color="auto" w:fill="auto"/>
          </w:tcPr>
          <w:p w14:paraId="0439749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0.37 &gt; 0.35</w:t>
            </w:r>
          </w:p>
          <w:p w14:paraId="2B3A34BF"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0.45 &gt; 0.35</w:t>
            </w:r>
          </w:p>
          <w:p w14:paraId="73065B33"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lastRenderedPageBreak/>
              <w:t>Summer = 0.44 &gt; 0.35</w:t>
            </w:r>
          </w:p>
          <w:p w14:paraId="55E5AF3C"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0.48 &gt; 0.35</w:t>
            </w:r>
          </w:p>
          <w:p w14:paraId="67806670"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 xml:space="preserve"> </w:t>
            </w:r>
          </w:p>
        </w:tc>
        <w:tc>
          <w:tcPr>
            <w:tcW w:w="3146" w:type="dxa"/>
            <w:vMerge w:val="restart"/>
            <w:shd w:val="clear" w:color="auto" w:fill="auto"/>
          </w:tcPr>
          <w:p w14:paraId="43E6C821"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lastRenderedPageBreak/>
              <w:fldChar w:fldCharType="begin" w:fldLock="1"/>
            </w:r>
            <w:r w:rsidRPr="00AE3143">
              <w:rPr>
                <w:rFonts w:asciiTheme="majorBidi" w:eastAsia="Times New Roman" w:hAnsiTheme="majorBidi" w:cstheme="majorBidi"/>
                <w:color w:val="131413"/>
                <w:sz w:val="24"/>
                <w:szCs w:val="24"/>
              </w:rPr>
              <w:instrText>ADDIN CSL_CITATION {"citationItems":[{"id":"ITE</w:instrText>
            </w:r>
            <w:r w:rsidRPr="00AE3143">
              <w:rPr>
                <w:rFonts w:asciiTheme="majorBidi" w:eastAsia="Times New Roman" w:hAnsiTheme="majorBidi" w:cstheme="majorBidi"/>
                <w:color w:val="131413"/>
                <w:sz w:val="24"/>
                <w:szCs w:val="24"/>
              </w:rPr>
              <w:lastRenderedPageBreak/>
              <w:instrText xml:space="preserve">M-1","itemData":{"DOI":"10.1007/S00244-019-00617-W/TABLES/5","ISSN":"14320703","PMID":"30879120","abstract":"The incidence and spatial distribution of polycyclic aromatic hydrocarbons (PAHs) in the Buffalo River Estuary in the Eastern Cape Province of 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w:instrText>
            </w:r>
            <w:r w:rsidRPr="00AE3143">
              <w:rPr>
                <w:rFonts w:asciiTheme="majorBidi" w:eastAsia="Times New Roman" w:hAnsiTheme="majorBidi" w:cstheme="majorBidi"/>
                <w:color w:val="131413"/>
                <w:sz w:val="24"/>
                <w:szCs w:val="24"/>
              </w:rPr>
              <w:lastRenderedPageBreak/>
              <w:instrText xml:space="preserve">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samples varied as 14.91–206 μg/L and 1107–22,310 μg/kg in that order. Total levels of the contaminants were above the target values in the two matrices and were higher in summer than autumn. Although the noncarcinogenic </w:instrText>
            </w:r>
            <w:r w:rsidRPr="00AE3143">
              <w:rPr>
                <w:rFonts w:asciiTheme="majorBidi" w:eastAsia="Times New Roman" w:hAnsiTheme="majorBidi" w:cstheme="majorBidi"/>
                <w:color w:val="131413"/>
                <w:sz w:val="24"/>
                <w:szCs w:val="24"/>
              </w:rPr>
              <w:lastRenderedPageBreak/>
              <w:instrText xml:space="preserve">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w:instrText>
            </w:r>
            <w:r w:rsidRPr="00AE3143">
              <w:rPr>
                <w:rFonts w:asciiTheme="majorBidi" w:eastAsia="Times New Roman" w:hAnsiTheme="majorBidi" w:cstheme="majorBidi"/>
                <w:color w:val="131413"/>
                <w:sz w:val="24"/>
                <w:szCs w:val="24"/>
              </w:rPr>
              <w:lastRenderedPageBreak/>
              <w:instrText>magnitude of pollution at the sites.","author":[{"dropping-particle":"","family":"Adeniji","given":"A. O.","non-dropping-particle":"","parse-names":false,"suffix":""},{"dropping-particle":"","family":"Okoh","given":"O. O.","non-dropping-particle":"","parse-names":false,"suffix":""},{"dropping-particle":"","family":"Okoh","given":"A. I.","non-dropping-particle":"","parse-names":false,"suffix":""}],"container-title":"Archives of Environmental Contamination and Toxicology","id":"ITEM-1","issue":"4","issued":{"date-parts":[["2019","5","1"]]},"pa</w:instrText>
            </w:r>
            <w:r w:rsidRPr="00AE3143">
              <w:rPr>
                <w:rFonts w:asciiTheme="majorBidi" w:eastAsia="Times New Roman" w:hAnsiTheme="majorBidi" w:cstheme="majorBidi"/>
                <w:color w:val="131413"/>
                <w:sz w:val="24"/>
                <w:szCs w:val="24"/>
              </w:rPr>
              <w:lastRenderedPageBreak/>
              <w:instrText xml:space="preserve">ge":"657-669","publisher":"Springer New York LLC","title":"Levels of Polycyclic Aromatic Hydrocarbons in the Water and Sediment of Buffalo River Estuary, South Africa and Their Health Risk Assessment","type":"article-journal","volume":"76"},"uris":["http://www.mendeley.com/documents/?uuid=5780b9a0-7395-36e3-bdc8-09a0b5662082"]},{"id":"ITEM-2","itemData":{"DOI":"10.3390/W13223295","ISSN":"2073-4441","abstract":"Polycyclic aromatic hydrocarbons (PAHs) are ubiquitous </w:instrText>
            </w:r>
            <w:r w:rsidRPr="00AE3143">
              <w:rPr>
                <w:rFonts w:asciiTheme="majorBidi" w:eastAsia="Times New Roman" w:hAnsiTheme="majorBidi" w:cstheme="majorBidi"/>
                <w:color w:val="131413"/>
                <w:sz w:val="24"/>
                <w:szCs w:val="24"/>
              </w:rPr>
              <w:lastRenderedPageBreak/>
              <w:instrText xml:space="preserve">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w:instrText>
            </w:r>
            <w:r w:rsidRPr="00AE3143">
              <w:rPr>
                <w:rFonts w:asciiTheme="majorBidi" w:eastAsia="Times New Roman" w:hAnsiTheme="majorBidi" w:cstheme="majorBidi"/>
                <w:color w:val="131413"/>
                <w:sz w:val="24"/>
                <w:szCs w:val="24"/>
              </w:rPr>
              <w:lastRenderedPageBreak/>
              <w:instrText xml:space="preserve">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mg/kg) indicate toxic effects to the sediments, its resources and, ultimately, the public that consumes the resources thereof; hence, the </w:instrText>
            </w:r>
            <w:r w:rsidRPr="00AE3143">
              <w:rPr>
                <w:rFonts w:asciiTheme="majorBidi" w:eastAsia="Times New Roman" w:hAnsiTheme="majorBidi" w:cstheme="majorBidi"/>
                <w:color w:val="131413"/>
                <w:sz w:val="24"/>
                <w:szCs w:val="24"/>
              </w:rPr>
              <w:lastRenderedPageBreak/>
              <w:instrText xml:space="preserve">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23.26 mgTEQ/kg dw and 4.47 to 23.52 mgMEQ/kg dw, and the total mean toxic equivalency quotient (∑TEQ) </w:instrText>
            </w:r>
            <w:r w:rsidRPr="00AE3143">
              <w:rPr>
                <w:rFonts w:asciiTheme="majorBidi" w:eastAsia="Times New Roman" w:hAnsiTheme="majorBidi" w:cstheme="majorBidi"/>
                <w:color w:val="131413"/>
                <w:sz w:val="24"/>
                <w:szCs w:val="24"/>
              </w:rPr>
              <w:lastRenderedPageBreak/>
              <w:instrText xml:space="preserve">(15.12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w:instrText>
            </w:r>
            <w:r w:rsidRPr="00AE3143">
              <w:rPr>
                <w:rFonts w:asciiTheme="majorBidi" w:eastAsia="Times New Roman" w:hAnsiTheme="majorBidi" w:cstheme="majorBidi"/>
                <w:color w:val="131413"/>
                <w:sz w:val="24"/>
                <w:szCs w:val="24"/>
              </w:rPr>
              <w:lastRenderedPageBreak/>
              <w:instrText>carry out appropriate clean-up 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Vol. 13, Page 3295","id":"ITEM-2","issue":"22","issued":{"date-</w:instrText>
            </w:r>
            <w:r w:rsidRPr="00AE3143">
              <w:rPr>
                <w:rFonts w:asciiTheme="majorBidi" w:eastAsia="Times New Roman" w:hAnsiTheme="majorBidi" w:cstheme="majorBidi"/>
                <w:color w:val="131413"/>
                <w:sz w:val="24"/>
                <w:szCs w:val="24"/>
              </w:rPr>
              <w:lastRenderedPageBreak/>
              <w:instrText>parts":[["2021","11","21"]]},"page":"3295","publisher":"Multidisciplinary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Nigeria","type":"article-journal","volume":"13"},"uris":["http://www.mendeley.com/documents/?uuid=72f0255f-a058-3f31-8b1a-0f6aaa2bc073"]},{"id":"ITEM-3","itemData":{"DOI":"10.1016/J.SCITOTENV.2016.05.183","ISSN":"0048-9697","PMID":"27265739","a</w:instrText>
            </w:r>
            <w:r w:rsidRPr="00AE3143">
              <w:rPr>
                <w:rFonts w:asciiTheme="majorBidi" w:eastAsia="Times New Roman" w:hAnsiTheme="majorBidi" w:cstheme="majorBidi"/>
                <w:color w:val="131413"/>
                <w:sz w:val="24"/>
                <w:szCs w:val="24"/>
              </w:rPr>
              <w:lastRenderedPageBreak/>
              <w:instrText xml:space="preserve">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DP and SPM) and in sediment samples, respectively. The </w:instrText>
            </w:r>
            <w:r w:rsidRPr="00AE3143">
              <w:rPr>
                <w:rFonts w:asciiTheme="majorBidi" w:eastAsia="Times New Roman" w:hAnsiTheme="majorBidi" w:cstheme="majorBidi"/>
                <w:color w:val="131413"/>
                <w:sz w:val="24"/>
                <w:szCs w:val="24"/>
              </w:rPr>
              <w:lastRenderedPageBreak/>
              <w:instrText>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Sea.","author":[{"dropping-</w:instrText>
            </w:r>
            <w:r w:rsidRPr="00AE3143">
              <w:rPr>
                <w:rFonts w:asciiTheme="majorBidi" w:eastAsia="Times New Roman" w:hAnsiTheme="majorBidi" w:cstheme="majorBidi"/>
                <w:color w:val="131413"/>
                <w:sz w:val="24"/>
                <w:szCs w:val="24"/>
              </w:rPr>
              <w:lastRenderedPageBreak/>
              <w:instrText>particle":"","family":"Montuori","given":"Paolo","non-dropping-particle":"","parse-names":false,"suffix":""},{"dropping-particle":"","family":"Aurino","given":"Sara","non-dropping-particle":"","parse-names":false,"suffix":""},{"dropping-particle":"","family":"Garzonio","given":"Fatima","non-dropping-particle":"","parse-names":false,"suffix":""},{"dropping-particle":"","family":"Sarnacchiaro","given":"Pasquale","non-dropping-particle":"","parse-names":false,"suffix":""},{"dropping-particle":"","family":"Nardon</w:instrText>
            </w:r>
            <w:r w:rsidRPr="00AE3143">
              <w:rPr>
                <w:rFonts w:asciiTheme="majorBidi" w:eastAsia="Times New Roman" w:hAnsiTheme="majorBidi" w:cstheme="majorBidi"/>
                <w:color w:val="131413"/>
                <w:sz w:val="24"/>
                <w:szCs w:val="24"/>
              </w:rPr>
              <w:lastRenderedPageBreak/>
              <w:instrText>e","given":"Antonio","non-dropping-particle":"","parse-names":false,"suffix":""},{"dropping-particle":"","family":"Triassi","given":"Maria","non-dropping-particle":"","parse-names":false,"suffix":""}],"container-title":"Science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w:instrText>
            </w:r>
            <w:r w:rsidRPr="00AE3143">
              <w:rPr>
                <w:rFonts w:asciiTheme="majorBidi" w:eastAsia="Times New Roman" w:hAnsiTheme="majorBidi" w:cstheme="majorBidi"/>
                <w:color w:val="131413"/>
                <w:sz w:val="24"/>
                <w:szCs w:val="24"/>
              </w:rPr>
              <w:lastRenderedPageBreak/>
              <w:instrText xml:space="preserv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w:instrText>
            </w:r>
            <w:r w:rsidRPr="00AE3143">
              <w:rPr>
                <w:rFonts w:asciiTheme="majorBidi" w:eastAsia="Times New Roman" w:hAnsiTheme="majorBidi" w:cstheme="majorBidi"/>
                <w:color w:val="131413"/>
                <w:sz w:val="24"/>
                <w:szCs w:val="24"/>
              </w:rPr>
              <w:lastRenderedPageBreak/>
              <w:instrText xml:space="preserve">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w:instrText>
            </w:r>
            <w:r w:rsidRPr="00AE3143">
              <w:rPr>
                <w:rFonts w:asciiTheme="majorBidi" w:eastAsia="Times New Roman" w:hAnsiTheme="majorBidi" w:cstheme="majorBidi"/>
                <w:color w:val="131413"/>
                <w:sz w:val="24"/>
                <w:szCs w:val="24"/>
              </w:rPr>
              <w:lastRenderedPageBreak/>
              <w:instrText xml:space="preserve">(fulvic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w:instrText>
            </w:r>
            <w:r w:rsidRPr="00AE3143">
              <w:rPr>
                <w:rFonts w:asciiTheme="majorBidi" w:eastAsia="Times New Roman" w:hAnsiTheme="majorBidi" w:cstheme="majorBidi"/>
                <w:color w:val="131413"/>
                <w:sz w:val="24"/>
                <w:szCs w:val="24"/>
              </w:rPr>
              <w:lastRenderedPageBreak/>
              <w:instrText>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w:instrText>
            </w:r>
            <w:r w:rsidRPr="00AE3143">
              <w:rPr>
                <w:rFonts w:asciiTheme="majorBidi" w:eastAsia="Times New Roman" w:hAnsiTheme="majorBidi" w:cstheme="majorBidi"/>
                <w:color w:val="131413"/>
                <w:sz w:val="24"/>
                <w:szCs w:val="24"/>
              </w:rPr>
              <w:lastRenderedPageBreak/>
              <w:instrText>"non-dropping-particle":"","parse-names":false,"suffix":""},{"dropping-particle":"","family":"Mierzwa-Hersztek","given":"Monika","non-dropping-particle":"","parse-names":false,"suffix":""},{"dropping-particle":"","family":"Gondek","given":"Krzysztof","non-dropping-particle":"","parse-names":false,"suffix":""},{"dropping-particle":"","family":"Szara-Bąk","given":"Magdalena","non-dropping-particle":"","parse-names":false,"suffix":""},{"dropping-</w:instrText>
            </w:r>
            <w:r w:rsidRPr="00AE3143">
              <w:rPr>
                <w:rFonts w:asciiTheme="majorBidi" w:eastAsia="Times New Roman" w:hAnsiTheme="majorBidi" w:cstheme="majorBidi"/>
                <w:color w:val="131413"/>
                <w:sz w:val="24"/>
                <w:szCs w:val="24"/>
              </w:rPr>
              <w:lastRenderedPageBreak/>
              <w:instrText xml:space="preserve">particle":"","family":"Tarnawski","given":"Marek","non-dropping-particle":"","parse-names":false,"suffix":""},{"dropping-particle":"","family":"Spałek","given":"Iwona","non-dropping-particle":"","parse-names":false,"suffix":""}],"container-title":"Journal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bottom sediments of a dam </w:instrText>
            </w:r>
            <w:r w:rsidRPr="00AE3143">
              <w:rPr>
                <w:rFonts w:asciiTheme="majorBidi" w:eastAsia="Times New Roman" w:hAnsiTheme="majorBidi" w:cstheme="majorBidi"/>
                <w:color w:val="131413"/>
                <w:sz w:val="24"/>
                <w:szCs w:val="24"/>
              </w:rPr>
              <w:lastRenderedPageBreak/>
              <w:instrText>reservoir, their interaction with organic matter and risk to benthic fauna","type":"article-journal","volume":"21"},"uris":["http://www.mendeley.com/documents/?uuid=8224bc48-1b49-3c80-9c45-40bfe6140be0"]}],"mendeley":{"formattedCitation":"(Adeniji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w:instrText>
            </w:r>
            <w:r w:rsidRPr="00AE3143">
              <w:rPr>
                <w:rFonts w:asciiTheme="majorBidi" w:eastAsia="Times New Roman" w:hAnsiTheme="majorBidi" w:cstheme="majorBidi"/>
                <w:color w:val="131413"/>
                <w:sz w:val="24"/>
                <w:szCs w:val="24"/>
              </w:rPr>
              <w:lastRenderedPageBreak/>
              <w:instrText>Citation":"(Adeniji et al., 2019b; Baran et al., 2021; Howard et al., 2021; Montuori et al., 2016)"},"properties":{"noteIndex":0},"schema":"https://github.com/citation-style-language/schema/raw/master/csl-citation.json"}</w:instrText>
            </w:r>
            <w:r w:rsidRPr="00AE3143">
              <w:rPr>
                <w:rFonts w:asciiTheme="majorBidi" w:eastAsia="Times New Roman" w:hAnsiTheme="majorBidi" w:cstheme="majorBidi"/>
                <w:color w:val="131413"/>
                <w:sz w:val="24"/>
                <w:szCs w:val="24"/>
              </w:rPr>
              <w:fldChar w:fldCharType="separate"/>
            </w:r>
            <w:r w:rsidR="000A5D59" w:rsidRPr="00AE3143">
              <w:rPr>
                <w:rFonts w:asciiTheme="majorBidi" w:eastAsia="Times New Roman" w:hAnsiTheme="majorBidi" w:cstheme="majorBidi"/>
                <w:noProof/>
                <w:color w:val="131413"/>
                <w:sz w:val="24"/>
                <w:szCs w:val="24"/>
              </w:rPr>
              <w:t>(Adeniji et al., 2019; Baran et al., 2021; Howard et al., 2021; Montuori et al.,</w:t>
            </w:r>
            <w:r w:rsidRPr="00AE3143">
              <w:rPr>
                <w:rFonts w:asciiTheme="majorBidi" w:eastAsia="Times New Roman" w:hAnsiTheme="majorBidi" w:cstheme="majorBidi"/>
                <w:noProof/>
                <w:color w:val="131413"/>
                <w:sz w:val="24"/>
                <w:szCs w:val="24"/>
              </w:rPr>
              <w:t xml:space="preserve"> 2016)</w:t>
            </w:r>
            <w:r w:rsidRPr="00AE3143">
              <w:rPr>
                <w:rFonts w:asciiTheme="majorBidi" w:eastAsia="Times New Roman" w:hAnsiTheme="majorBidi" w:cstheme="majorBidi"/>
                <w:color w:val="131413"/>
                <w:sz w:val="24"/>
                <w:szCs w:val="24"/>
              </w:rPr>
              <w:fldChar w:fldCharType="end"/>
            </w:r>
          </w:p>
        </w:tc>
      </w:tr>
      <w:tr w:rsidR="00486478" w:rsidRPr="00AE3143" w14:paraId="7FF32AE1" w14:textId="77777777" w:rsidTr="00B37503">
        <w:tc>
          <w:tcPr>
            <w:tcW w:w="2087" w:type="dxa"/>
            <w:vMerge/>
          </w:tcPr>
          <w:p w14:paraId="7EA61D6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tcPr>
          <w:p w14:paraId="45C3D61C"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p w14:paraId="04F9BF3A"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lastRenderedPageBreak/>
              <w:t>0.2-0.35</w:t>
            </w:r>
          </w:p>
        </w:tc>
        <w:tc>
          <w:tcPr>
            <w:tcW w:w="4317" w:type="dxa"/>
            <w:shd w:val="clear" w:color="auto" w:fill="auto"/>
            <w:vAlign w:val="center"/>
          </w:tcPr>
          <w:p w14:paraId="7C29B962"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lastRenderedPageBreak/>
              <w:t>Mixed sources (petrogenic / pyrogenic)</w:t>
            </w:r>
          </w:p>
        </w:tc>
        <w:tc>
          <w:tcPr>
            <w:tcW w:w="2704" w:type="dxa"/>
            <w:vMerge/>
            <w:shd w:val="clear" w:color="auto" w:fill="auto"/>
          </w:tcPr>
          <w:p w14:paraId="67B9CFF9"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5E6C6889"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5D6E7279" w14:textId="77777777" w:rsidTr="00B37503">
        <w:tc>
          <w:tcPr>
            <w:tcW w:w="2087" w:type="dxa"/>
            <w:vMerge/>
          </w:tcPr>
          <w:p w14:paraId="2EC0F526"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vAlign w:val="center"/>
          </w:tcPr>
          <w:p w14:paraId="3B896C93"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&gt;0.35</w:t>
            </w:r>
          </w:p>
        </w:tc>
        <w:tc>
          <w:tcPr>
            <w:tcW w:w="4317" w:type="dxa"/>
            <w:shd w:val="clear" w:color="auto" w:fill="auto"/>
            <w:vAlign w:val="center"/>
          </w:tcPr>
          <w:p w14:paraId="22171EF8" w14:textId="77777777" w:rsidR="00486478" w:rsidRPr="00AE3143" w:rsidRDefault="00486478" w:rsidP="00AE3143">
            <w:pPr>
              <w:rPr>
                <w:rFonts w:asciiTheme="majorBidi" w:hAnsiTheme="majorBidi" w:cstheme="majorBidi"/>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shd w:val="clear" w:color="auto" w:fill="auto"/>
          </w:tcPr>
          <w:p w14:paraId="6C0BC238"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tc>
        <w:tc>
          <w:tcPr>
            <w:tcW w:w="3146" w:type="dxa"/>
            <w:vMerge/>
            <w:shd w:val="clear" w:color="auto" w:fill="auto"/>
          </w:tcPr>
          <w:p w14:paraId="1A26CC0B"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45B269F2" w14:textId="77777777" w:rsidTr="00B37503">
        <w:tc>
          <w:tcPr>
            <w:tcW w:w="2087" w:type="dxa"/>
            <w:vMerge w:val="restart"/>
          </w:tcPr>
          <w:p w14:paraId="712A79C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AE3143">
              <w:rPr>
                <w:rFonts w:asciiTheme="majorBidi" w:eastAsia="Times New Roman" w:hAnsiTheme="majorBidi" w:cstheme="majorBidi"/>
                <w:sz w:val="24"/>
                <w:szCs w:val="24"/>
              </w:rPr>
              <w:lastRenderedPageBreak/>
              <w:t>BaP</w:t>
            </w:r>
            <w:proofErr w:type="spellEnd"/>
            <w:r w:rsidRPr="00AE3143">
              <w:rPr>
                <w:rFonts w:asciiTheme="majorBidi" w:eastAsia="Times New Roman" w:hAnsiTheme="majorBidi" w:cstheme="majorBidi"/>
                <w:sz w:val="24"/>
                <w:szCs w:val="24"/>
              </w:rPr>
              <w:t>/(</w:t>
            </w:r>
            <w:proofErr w:type="spellStart"/>
            <w:r w:rsidRPr="00AE3143">
              <w:rPr>
                <w:rFonts w:asciiTheme="majorBidi" w:eastAsia="Times New Roman" w:hAnsiTheme="majorBidi" w:cstheme="majorBidi"/>
                <w:sz w:val="24"/>
                <w:szCs w:val="24"/>
              </w:rPr>
              <w:t>BaP+Chr</w:t>
            </w:r>
            <w:proofErr w:type="spellEnd"/>
            <w:r w:rsidRPr="00AE3143">
              <w:rPr>
                <w:rFonts w:asciiTheme="majorBidi" w:eastAsia="Times New Roman" w:hAnsiTheme="majorBidi" w:cstheme="majorBidi"/>
                <w:sz w:val="24"/>
                <w:szCs w:val="24"/>
              </w:rPr>
              <w:t>)</w:t>
            </w:r>
          </w:p>
        </w:tc>
        <w:tc>
          <w:tcPr>
            <w:tcW w:w="1511" w:type="dxa"/>
            <w:shd w:val="clear" w:color="auto" w:fill="auto"/>
          </w:tcPr>
          <w:p w14:paraId="058F9241"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&lt;0.4</w:t>
            </w:r>
          </w:p>
        </w:tc>
        <w:tc>
          <w:tcPr>
            <w:tcW w:w="4317" w:type="dxa"/>
            <w:shd w:val="clear" w:color="auto" w:fill="auto"/>
            <w:vAlign w:val="center"/>
          </w:tcPr>
          <w:p w14:paraId="6FEA86ED"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Petrogenic inputs (liquid fuel discharges)</w:t>
            </w:r>
          </w:p>
        </w:tc>
        <w:tc>
          <w:tcPr>
            <w:tcW w:w="2704" w:type="dxa"/>
            <w:vMerge w:val="restart"/>
            <w:shd w:val="clear" w:color="auto" w:fill="auto"/>
          </w:tcPr>
          <w:p w14:paraId="13471E99"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0.35 &lt; 0.4</w:t>
            </w:r>
          </w:p>
          <w:p w14:paraId="2A6D87A9"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0.49 &gt; 0.4</w:t>
            </w:r>
          </w:p>
          <w:p w14:paraId="46FA1B16"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0.62 &gt; 0.4</w:t>
            </w:r>
          </w:p>
          <w:p w14:paraId="03EDF9C8"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0.55 &gt; 0.4</w:t>
            </w:r>
          </w:p>
          <w:p w14:paraId="5B941884"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 xml:space="preserve"> </w:t>
            </w:r>
          </w:p>
        </w:tc>
        <w:tc>
          <w:tcPr>
            <w:tcW w:w="3146" w:type="dxa"/>
            <w:vMerge w:val="restart"/>
            <w:shd w:val="clear" w:color="auto" w:fill="auto"/>
          </w:tcPr>
          <w:p w14:paraId="5B7D55E5" w14:textId="3E2A7BAE" w:rsidR="00486478" w:rsidRPr="00AE3143" w:rsidRDefault="00B37503" w:rsidP="00AE3143">
            <w:pPr>
              <w:tabs>
                <w:tab w:val="left" w:pos="6390"/>
              </w:tabs>
              <w:spacing w:line="360" w:lineRule="auto"/>
              <w:jc w:val="both"/>
              <w:rPr>
                <w:rFonts w:asciiTheme="majorBidi" w:eastAsia="Times New Roman" w:hAnsiTheme="majorBidi" w:cstheme="majorBidi"/>
                <w:color w:val="000000"/>
                <w:sz w:val="24"/>
                <w:szCs w:val="24"/>
              </w:rPr>
            </w:pPr>
            <w:r w:rsidRPr="00AE3143">
              <w:rPr>
                <w:rFonts w:asciiTheme="majorBidi" w:eastAsia="Times New Roman" w:hAnsiTheme="majorBidi" w:cstheme="majorBidi"/>
                <w:color w:val="000000"/>
                <w:sz w:val="24"/>
                <w:szCs w:val="24"/>
              </w:rPr>
              <w:t>(</w:t>
            </w:r>
            <w:r w:rsidRPr="00AE3143">
              <w:rPr>
                <w:rFonts w:asciiTheme="majorBidi" w:hAnsiTheme="majorBidi" w:cstheme="majorBidi"/>
                <w:color w:val="000000" w:themeColor="text1"/>
                <w:sz w:val="24"/>
                <w:szCs w:val="24"/>
                <w:shd w:val="clear" w:color="auto" w:fill="FFFFFF"/>
              </w:rPr>
              <w:t>Yunker et al., 2002)</w:t>
            </w:r>
          </w:p>
          <w:p w14:paraId="72551924" w14:textId="1BA3F81A" w:rsidR="00AE01E3" w:rsidRPr="00AE3143" w:rsidRDefault="00AE01E3"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5DC3DA40" w14:textId="77777777" w:rsidTr="00AE01E3">
        <w:tc>
          <w:tcPr>
            <w:tcW w:w="2087" w:type="dxa"/>
            <w:vMerge/>
          </w:tcPr>
          <w:p w14:paraId="68974A18"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tcPr>
          <w:p w14:paraId="0F026B1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&gt;0.4</w:t>
            </w:r>
          </w:p>
        </w:tc>
        <w:tc>
          <w:tcPr>
            <w:tcW w:w="4317" w:type="dxa"/>
            <w:vAlign w:val="center"/>
          </w:tcPr>
          <w:p w14:paraId="6AD3FCB1"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tcPr>
          <w:p w14:paraId="6192053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tc>
        <w:tc>
          <w:tcPr>
            <w:tcW w:w="3146" w:type="dxa"/>
            <w:vMerge/>
            <w:shd w:val="clear" w:color="auto" w:fill="FF0000"/>
          </w:tcPr>
          <w:p w14:paraId="39DFE79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03BCE542" w14:textId="77777777" w:rsidTr="003C3638">
        <w:tc>
          <w:tcPr>
            <w:tcW w:w="2087" w:type="dxa"/>
            <w:vMerge w:val="restart"/>
            <w:shd w:val="clear" w:color="auto" w:fill="auto"/>
          </w:tcPr>
          <w:p w14:paraId="1B2C11DB"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3C3638">
              <w:rPr>
                <w:rFonts w:asciiTheme="majorBidi" w:eastAsia="Times New Roman" w:hAnsiTheme="majorBidi" w:cstheme="majorBidi"/>
                <w:sz w:val="24"/>
                <w:szCs w:val="24"/>
              </w:rPr>
              <w:t>BaP</w:t>
            </w:r>
            <w:proofErr w:type="spellEnd"/>
            <w:r w:rsidRPr="003C3638">
              <w:rPr>
                <w:rFonts w:asciiTheme="majorBidi" w:eastAsia="Times New Roman" w:hAnsiTheme="majorBidi" w:cstheme="majorBidi"/>
                <w:sz w:val="24"/>
                <w:szCs w:val="24"/>
              </w:rPr>
              <w:t>/</w:t>
            </w:r>
            <w:proofErr w:type="spellStart"/>
            <w:r w:rsidRPr="003C3638">
              <w:rPr>
                <w:rFonts w:asciiTheme="majorBidi" w:eastAsia="Times New Roman" w:hAnsiTheme="majorBidi" w:cstheme="majorBidi"/>
                <w:sz w:val="24"/>
                <w:szCs w:val="24"/>
              </w:rPr>
              <w:t>BghiP</w:t>
            </w:r>
            <w:proofErr w:type="spellEnd"/>
          </w:p>
        </w:tc>
        <w:tc>
          <w:tcPr>
            <w:tcW w:w="1511" w:type="dxa"/>
            <w:shd w:val="clear" w:color="auto" w:fill="auto"/>
          </w:tcPr>
          <w:p w14:paraId="04B5B316"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000000"/>
                <w:sz w:val="24"/>
                <w:szCs w:val="24"/>
              </w:rPr>
              <w:t>&gt;0.6</w:t>
            </w:r>
          </w:p>
        </w:tc>
        <w:tc>
          <w:tcPr>
            <w:tcW w:w="4317" w:type="dxa"/>
            <w:shd w:val="clear" w:color="auto" w:fill="auto"/>
            <w:vAlign w:val="center"/>
          </w:tcPr>
          <w:p w14:paraId="49A41321"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Petrogenic inputs (liquid fuel discharges)</w:t>
            </w:r>
          </w:p>
        </w:tc>
        <w:tc>
          <w:tcPr>
            <w:tcW w:w="2704" w:type="dxa"/>
            <w:vMerge w:val="restart"/>
            <w:shd w:val="clear" w:color="auto" w:fill="auto"/>
          </w:tcPr>
          <w:p w14:paraId="367EC569"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Winter = 0.95 &gt; 0.6</w:t>
            </w:r>
          </w:p>
          <w:p w14:paraId="3868209E"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Spring = 0.78 &gt; 0.6</w:t>
            </w:r>
          </w:p>
          <w:p w14:paraId="0DB80E37"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Summer = 0.68 &gt; 0.6</w:t>
            </w:r>
          </w:p>
          <w:p w14:paraId="69060C06"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Autumn = 1.19 &gt;0.6</w:t>
            </w:r>
          </w:p>
          <w:p w14:paraId="28083D4A" w14:textId="77777777" w:rsidR="00486478" w:rsidRPr="003C3638" w:rsidRDefault="00486478" w:rsidP="00AE3143">
            <w:pPr>
              <w:rPr>
                <w:rFonts w:asciiTheme="majorBidi" w:eastAsia="Times New Roman" w:hAnsiTheme="majorBidi" w:cstheme="majorBidi"/>
                <w:color w:val="000000"/>
                <w:sz w:val="24"/>
                <w:szCs w:val="24"/>
              </w:rPr>
            </w:pPr>
          </w:p>
        </w:tc>
        <w:tc>
          <w:tcPr>
            <w:tcW w:w="3146" w:type="dxa"/>
            <w:vMerge w:val="restart"/>
            <w:shd w:val="clear" w:color="auto" w:fill="auto"/>
          </w:tcPr>
          <w:p w14:paraId="5F240411"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sz w:val="24"/>
                <w:szCs w:val="24"/>
              </w:rPr>
              <w:fldChar w:fldCharType="begin" w:fldLock="1"/>
            </w:r>
            <w:r w:rsidRPr="003C3638">
              <w:rPr>
                <w:rFonts w:asciiTheme="majorBidi" w:eastAsia="Times New Roman" w:hAnsiTheme="majorBidi" w:cstheme="majorBidi"/>
                <w:sz w:val="24"/>
                <w:szCs w:val="24"/>
              </w:rPr>
              <w:instrText xml:space="preserve">ADDIN CSL_CITATION {"citationItems":[{"id":"ITEM-1","itemData":{"DOI":"10.1016/J.SCITOTENV.2018.12.428","ISSN":"0048-9697","abstract":"The increasing contamination of </w:instrText>
            </w:r>
            <w:r w:rsidRPr="003C3638">
              <w:rPr>
                <w:rFonts w:asciiTheme="majorBidi" w:eastAsia="Times New Roman" w:hAnsiTheme="majorBidi" w:cstheme="majorBidi"/>
                <w:sz w:val="24"/>
                <w:szCs w:val="24"/>
              </w:rPr>
              <w:lastRenderedPageBreak/>
              <w:instrText xml:space="preserve">fresh water resources by trace metals and persistent organic pollutants is a major environmental concern. In the present study, we investigated, for the first time, the distribution, sources and ecological risk of trace metals and organic pollutants, including polycyclic aromatic hydrocarbons (PAHs), polychlorinated biphenyls (PCBs) and organochlorine pesticides (OCPs), in surface sediments from a Southeastern European river (Someşu Mic River, Romania). Concentrations of Cd, Cr, Cu, Pb, Ni and Zn ranged from 0.04 to 0.4, 9.4 to 43.15, 7.2 to 65.6, 12.3 to 131.4, 14.7 to 47.7 and 42.1 to </w:instrText>
            </w:r>
            <w:r w:rsidRPr="003C3638">
              <w:rPr>
                <w:rFonts w:asciiTheme="majorBidi" w:eastAsia="Times New Roman" w:hAnsiTheme="majorBidi" w:cstheme="majorBidi"/>
                <w:sz w:val="24"/>
                <w:szCs w:val="24"/>
              </w:rPr>
              <w:lastRenderedPageBreak/>
              <w:instrText>236.8 mg kg−1 dw, respectively. Concentrations of total PAHs, PCBs and OCPs ranged from 24.8 to 575.6, 2.7 to 252.7 and 2.1 to 44.3 ng g−1 dw, respectively. Some sediment parameters, i.e., pH, total organic carbon (TOC) and total organic matter (OM) contents, played a significant role in the spatial distribution of contaminants. A combined analysis based on diagnostic ratios and multivariate analyses revealed PAHs originating mainly from pyrolytic sources. PCB compositions showed distinct contamination signatures for tri- to tetra-chlorinated PCBs, characteristic of contamination by Aroclor-</w:instrText>
            </w:r>
            <w:r w:rsidRPr="003C3638">
              <w:rPr>
                <w:rFonts w:asciiTheme="majorBidi" w:eastAsia="Times New Roman" w:hAnsiTheme="majorBidi" w:cstheme="majorBidi"/>
                <w:sz w:val="24"/>
                <w:szCs w:val="24"/>
              </w:rPr>
              <w:lastRenderedPageBreak/>
              <w:instrText xml:space="preserve">1016 and -1254 technical mixtures. The dominant OCP congeners were α-HCH and p,p′-DDD, reflecting past use of technical HCHs and DDTs in agricultural practices. Metal source and pollution status was assessed using geoaccumulation index and enrichment factor, which indicate widespread pollution by Pb, Cd, Zn, Ni and Cu. The use of Sediments Quality Guidelines (SQGs), mean effect range-median quotient (m-ERM-Q) and toxic equivalent factor (TEF) indicated that the highest ecological risks occurred for PCBs and DDTs. This work presents not only initial baseline information on the </w:instrText>
            </w:r>
            <w:r w:rsidRPr="003C3638">
              <w:rPr>
                <w:rFonts w:asciiTheme="majorBidi" w:eastAsia="Times New Roman" w:hAnsiTheme="majorBidi" w:cstheme="majorBidi"/>
                <w:sz w:val="24"/>
                <w:szCs w:val="24"/>
              </w:rPr>
              <w:lastRenderedPageBreak/>
              <w:instrText>extent of organic and inorganic contaminations in a river of ecological and economical interest, but also provides a diagnostic ratio/statistical combined approach that can be used to evaluate sediment quality in similar environments.","author":[{"dropping-particle":"","family":"Barhoumi","given":"Badreddine","non-dropping-particle":"","parse-names":false,"suffix":""},{"dropping-particle":"","family":"Beldean-Galea","given":"Mihail Simion","non-dropping-particle":"","parse-names":false,"suffix":""},{"dr</w:instrText>
            </w:r>
            <w:r w:rsidRPr="003C3638">
              <w:rPr>
                <w:rFonts w:asciiTheme="majorBidi" w:eastAsia="Times New Roman" w:hAnsiTheme="majorBidi" w:cstheme="majorBidi"/>
                <w:sz w:val="24"/>
                <w:szCs w:val="24"/>
              </w:rPr>
              <w:lastRenderedPageBreak/>
              <w:instrText>opping-particle":"","family":"Al-Rawabdeh","given":"Abdulla M.","non-dropping-particle":"","parse-names":false,"suffix":""},{"dropping-particle":"","family":"Roba","given":"Carmen","non-dropping-particle":"","parse-names":false,"suffix":""},{"dropping-particle":"","family":"Martonos","given":"Ildiko Melinda","non-dropping-particle":"","parse-names":false,"suffix":""},{"dropping-particle":"","family":"Bălc","given":"Ramona","non-dropping-particle":"","parse-names":false,"suffix":""},{"dr</w:instrText>
            </w:r>
            <w:r w:rsidRPr="003C3638">
              <w:rPr>
                <w:rFonts w:asciiTheme="majorBidi" w:eastAsia="Times New Roman" w:hAnsiTheme="majorBidi" w:cstheme="majorBidi"/>
                <w:sz w:val="24"/>
                <w:szCs w:val="24"/>
              </w:rPr>
              <w:lastRenderedPageBreak/>
              <w:instrText>opping-particle":"","family":"Kahlaoui","given":"Massoud","non-dropping-particle":"","parse-names":false,"suffix":""},{"dropping-particle":"","family":"Touil","given":"Soufiane","non-dropping-particle":"","parse-names":false,"suffix":""},{"dropping-particle":"","family":"Tedetti","given":"Marc","non-dropping-particle":"","parse-names":false,"suffix":""},{"dropping-particle":"","family":"Driss","given":"Mohamed Ridha","non-dropping-particle":"","parse-names":false,"suffix":""},{"dropping-</w:instrText>
            </w:r>
            <w:r w:rsidRPr="003C3638">
              <w:rPr>
                <w:rFonts w:asciiTheme="majorBidi" w:eastAsia="Times New Roman" w:hAnsiTheme="majorBidi" w:cstheme="majorBidi"/>
                <w:sz w:val="24"/>
                <w:szCs w:val="24"/>
              </w:rPr>
              <w:lastRenderedPageBreak/>
              <w:instrText>particle":"","family":"Baciu","given":"Călin","non-dropping-particle":"","parse-names":false,"suffix":""}],"container-title":"Science of The Total Environment","id":"ITEM-1","issued":{"date-parts":[["2019","4","10"]]},"page":"660-676","publisher":"Elsevier","title":"Occurrence, distribution and ecological risk of trace metals and organic pollutants in surface sediments from a Southeastern European river (Someşu Mic River, Romania)","type":"article-journal","volume":"660"},"uris":["http://www.mendeley.com/documents/?uuid=3fee1c2e-bc2b-36a9-8951-</w:instrText>
            </w:r>
            <w:r w:rsidRPr="003C3638">
              <w:rPr>
                <w:rFonts w:asciiTheme="majorBidi" w:eastAsia="Times New Roman" w:hAnsiTheme="majorBidi" w:cstheme="majorBidi"/>
                <w:sz w:val="24"/>
                <w:szCs w:val="24"/>
              </w:rPr>
              <w:lastRenderedPageBreak/>
              <w:instrText>a4125ef53b73"]}],"mendeley":{"formattedCitation":"(Barhoumi et al., 2019)","manualFormatting":"(Barhoumi et al.. 2019)","plainTextFormattedCitation":"(Barhoumi et al., 2019)","previouslyFormattedCitation":"(Barhoumi et al., 2019)"},"properties":{"noteIndex":0},"schema":"https://github.com/citation-style-language/schema/raw/master/csl-citation.json"}</w:instrText>
            </w:r>
            <w:r w:rsidRPr="003C3638">
              <w:rPr>
                <w:rFonts w:asciiTheme="majorBidi" w:eastAsia="Times New Roman" w:hAnsiTheme="majorBidi" w:cstheme="majorBidi"/>
                <w:sz w:val="24"/>
                <w:szCs w:val="24"/>
              </w:rPr>
              <w:fldChar w:fldCharType="separate"/>
            </w:r>
            <w:r w:rsidR="00636951" w:rsidRPr="003C3638">
              <w:rPr>
                <w:rFonts w:asciiTheme="majorBidi" w:eastAsia="Times New Roman" w:hAnsiTheme="majorBidi" w:cstheme="majorBidi"/>
                <w:noProof/>
                <w:sz w:val="24"/>
                <w:szCs w:val="24"/>
              </w:rPr>
              <w:t>(Barhoumi et al.,</w:t>
            </w:r>
            <w:r w:rsidRPr="003C3638">
              <w:rPr>
                <w:rFonts w:asciiTheme="majorBidi" w:eastAsia="Times New Roman" w:hAnsiTheme="majorBidi" w:cstheme="majorBidi"/>
                <w:noProof/>
                <w:sz w:val="24"/>
                <w:szCs w:val="24"/>
              </w:rPr>
              <w:t xml:space="preserve"> 2019)</w:t>
            </w:r>
            <w:r w:rsidRPr="003C3638">
              <w:rPr>
                <w:rFonts w:asciiTheme="majorBidi" w:eastAsia="Times New Roman" w:hAnsiTheme="majorBidi" w:cstheme="majorBidi"/>
                <w:sz w:val="24"/>
                <w:szCs w:val="24"/>
              </w:rPr>
              <w:fldChar w:fldCharType="end"/>
            </w:r>
          </w:p>
        </w:tc>
      </w:tr>
      <w:tr w:rsidR="00486478" w:rsidRPr="00AE3143" w14:paraId="2BDE17F5" w14:textId="77777777" w:rsidTr="003C3638">
        <w:tc>
          <w:tcPr>
            <w:tcW w:w="2087" w:type="dxa"/>
            <w:vMerge/>
            <w:shd w:val="clear" w:color="auto" w:fill="auto"/>
          </w:tcPr>
          <w:p w14:paraId="00B3C9BB"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511" w:type="dxa"/>
            <w:shd w:val="clear" w:color="auto" w:fill="auto"/>
          </w:tcPr>
          <w:p w14:paraId="0C4EB99E"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000000"/>
                <w:sz w:val="24"/>
                <w:szCs w:val="24"/>
              </w:rPr>
              <w:t>&lt;0.6 (non-traffic emission)</w:t>
            </w:r>
          </w:p>
        </w:tc>
        <w:tc>
          <w:tcPr>
            <w:tcW w:w="4317" w:type="dxa"/>
            <w:shd w:val="clear" w:color="auto" w:fill="auto"/>
            <w:vAlign w:val="center"/>
          </w:tcPr>
          <w:p w14:paraId="43339C18" w14:textId="77777777" w:rsidR="00486478" w:rsidRPr="00AE3143" w:rsidRDefault="00486478" w:rsidP="00AE3143">
            <w:pPr>
              <w:rPr>
                <w:rFonts w:asciiTheme="majorBidi" w:hAnsiTheme="majorBidi" w:cstheme="majorBidi"/>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704" w:type="dxa"/>
            <w:vMerge/>
            <w:shd w:val="clear" w:color="auto" w:fill="auto"/>
          </w:tcPr>
          <w:p w14:paraId="2DF824D1"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46" w:type="dxa"/>
            <w:vMerge/>
            <w:shd w:val="clear" w:color="auto" w:fill="auto"/>
          </w:tcPr>
          <w:p w14:paraId="23A92AD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bl>
    <w:p w14:paraId="704E0D56" w14:textId="21FDD732" w:rsidR="00AE01E3" w:rsidRPr="00AE3143" w:rsidRDefault="00AE01E3" w:rsidP="00AE3143">
      <w:pPr>
        <w:spacing w:after="0" w:line="240" w:lineRule="auto"/>
        <w:jc w:val="both"/>
        <w:rPr>
          <w:rFonts w:asciiTheme="majorBidi" w:hAnsiTheme="majorBidi" w:cstheme="majorBidi"/>
          <w:i/>
          <w:sz w:val="24"/>
          <w:szCs w:val="24"/>
        </w:rPr>
      </w:pPr>
    </w:p>
    <w:p w14:paraId="22356704" w14:textId="46EFFDE2" w:rsidR="009F07A4" w:rsidRPr="00AE3143" w:rsidRDefault="009F07A4" w:rsidP="00AE3143">
      <w:pPr>
        <w:spacing w:after="0" w:line="240" w:lineRule="auto"/>
        <w:jc w:val="both"/>
        <w:rPr>
          <w:rFonts w:asciiTheme="majorBidi" w:hAnsiTheme="majorBidi" w:cstheme="majorBidi"/>
          <w:i/>
          <w:sz w:val="24"/>
          <w:szCs w:val="24"/>
        </w:rPr>
      </w:pPr>
    </w:p>
    <w:p w14:paraId="7FEB94E0" w14:textId="432C5AD7" w:rsidR="009F07A4" w:rsidRPr="00AE3143" w:rsidRDefault="009F07A4" w:rsidP="00AE3143">
      <w:pPr>
        <w:spacing w:after="0" w:line="240" w:lineRule="auto"/>
        <w:jc w:val="both"/>
        <w:rPr>
          <w:rFonts w:asciiTheme="majorBidi" w:hAnsiTheme="majorBidi" w:cstheme="majorBidi"/>
          <w:i/>
          <w:sz w:val="24"/>
          <w:szCs w:val="24"/>
        </w:rPr>
      </w:pPr>
    </w:p>
    <w:p w14:paraId="17A5B017" w14:textId="77777777" w:rsidR="009F07A4" w:rsidRPr="00AE3143" w:rsidRDefault="009F07A4" w:rsidP="00AE3143">
      <w:pPr>
        <w:spacing w:after="0" w:line="240" w:lineRule="auto"/>
        <w:jc w:val="both"/>
        <w:rPr>
          <w:rFonts w:asciiTheme="majorBidi" w:hAnsiTheme="majorBidi" w:cstheme="majorBidi"/>
          <w:i/>
          <w:sz w:val="24"/>
          <w:szCs w:val="24"/>
        </w:rPr>
      </w:pPr>
    </w:p>
    <w:p w14:paraId="40B26613" w14:textId="77777777" w:rsidR="00500C07" w:rsidRPr="00AE3143" w:rsidRDefault="00500C07" w:rsidP="00AE3143">
      <w:pPr>
        <w:spacing w:after="0" w:line="240" w:lineRule="auto"/>
        <w:jc w:val="both"/>
        <w:rPr>
          <w:rFonts w:asciiTheme="majorBidi" w:hAnsiTheme="majorBidi" w:cstheme="majorBidi"/>
          <w:i/>
          <w:sz w:val="24"/>
          <w:szCs w:val="24"/>
        </w:rPr>
      </w:pPr>
    </w:p>
    <w:tbl>
      <w:tblPr>
        <w:tblStyle w:val="TableGrid"/>
        <w:tblW w:w="13765" w:type="dxa"/>
        <w:tblLook w:val="04A0" w:firstRow="1" w:lastRow="0" w:firstColumn="1" w:lastColumn="0" w:noHBand="0" w:noVBand="1"/>
      </w:tblPr>
      <w:tblGrid>
        <w:gridCol w:w="2087"/>
        <w:gridCol w:w="1346"/>
        <w:gridCol w:w="4533"/>
        <w:gridCol w:w="2607"/>
        <w:gridCol w:w="3192"/>
      </w:tblGrid>
      <w:tr w:rsidR="00EE693E" w:rsidRPr="00AE3143" w14:paraId="7634E4BD" w14:textId="77777777" w:rsidTr="002D2E38">
        <w:tc>
          <w:tcPr>
            <w:tcW w:w="13765" w:type="dxa"/>
            <w:gridSpan w:val="5"/>
            <w:tcBorders>
              <w:top w:val="nil"/>
              <w:left w:val="nil"/>
              <w:bottom w:val="single" w:sz="4" w:space="0" w:color="auto"/>
              <w:right w:val="nil"/>
            </w:tcBorders>
          </w:tcPr>
          <w:p w14:paraId="7C0F68D0" w14:textId="3DD2F3D5" w:rsidR="00EE693E" w:rsidRPr="00AE3143" w:rsidRDefault="00EE693E" w:rsidP="00AE3143">
            <w:pPr>
              <w:jc w:val="both"/>
              <w:rPr>
                <w:rFonts w:asciiTheme="majorBidi" w:hAnsiTheme="majorBidi" w:cstheme="majorBidi"/>
                <w:color w:val="131413"/>
                <w:sz w:val="24"/>
                <w:szCs w:val="24"/>
              </w:rPr>
            </w:pPr>
            <w:r w:rsidRPr="00AE3143">
              <w:rPr>
                <w:rFonts w:asciiTheme="majorBidi" w:hAnsiTheme="majorBidi" w:cstheme="majorBidi"/>
                <w:color w:val="131413"/>
                <w:sz w:val="24"/>
                <w:szCs w:val="24"/>
              </w:rPr>
              <w:t xml:space="preserve">Table </w:t>
            </w:r>
            <w:r w:rsidR="00D240C8" w:rsidRPr="00AE3143">
              <w:rPr>
                <w:rFonts w:asciiTheme="majorBidi" w:hAnsiTheme="majorBidi" w:cstheme="majorBidi"/>
                <w:color w:val="131413"/>
                <w:sz w:val="24"/>
                <w:szCs w:val="24"/>
              </w:rPr>
              <w:t xml:space="preserve">S4 </w:t>
            </w:r>
            <w:r w:rsidRPr="00AE3143">
              <w:rPr>
                <w:rFonts w:asciiTheme="majorBidi" w:hAnsiTheme="majorBidi" w:cstheme="majorBidi"/>
                <w:iCs/>
                <w:sz w:val="24"/>
                <w:szCs w:val="24"/>
              </w:rPr>
              <w:t xml:space="preserve">Sources diagnostic ratios of PAHs in sediments </w:t>
            </w:r>
            <w:r w:rsidRPr="00AE3143">
              <w:rPr>
                <w:rFonts w:asciiTheme="majorBidi" w:hAnsiTheme="majorBidi" w:cstheme="majorBidi"/>
                <w:iCs/>
                <w:color w:val="131413"/>
                <w:sz w:val="24"/>
                <w:szCs w:val="24"/>
              </w:rPr>
              <w:t>Explanation</w:t>
            </w:r>
            <w:r w:rsidRPr="00AE3143">
              <w:rPr>
                <w:rFonts w:asciiTheme="majorBidi" w:hAnsiTheme="majorBidi" w:cstheme="majorBidi"/>
                <w:color w:val="131413"/>
                <w:sz w:val="24"/>
                <w:szCs w:val="24"/>
              </w:rPr>
              <w:t xml:space="preserve"> of PAHs diagnostic ratios</w:t>
            </w:r>
          </w:p>
        </w:tc>
      </w:tr>
      <w:tr w:rsidR="00486478" w:rsidRPr="00AE3143" w14:paraId="4B47DE12" w14:textId="77777777" w:rsidTr="002D2E38">
        <w:tc>
          <w:tcPr>
            <w:tcW w:w="2087" w:type="dxa"/>
            <w:tcBorders>
              <w:top w:val="single" w:sz="4" w:space="0" w:color="auto"/>
            </w:tcBorders>
          </w:tcPr>
          <w:p w14:paraId="7ED3839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Ratio</w:t>
            </w:r>
          </w:p>
        </w:tc>
        <w:tc>
          <w:tcPr>
            <w:tcW w:w="1346" w:type="dxa"/>
            <w:tcBorders>
              <w:top w:val="single" w:sz="4" w:space="0" w:color="auto"/>
            </w:tcBorders>
          </w:tcPr>
          <w:p w14:paraId="136BB3D0"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Range</w:t>
            </w:r>
          </w:p>
        </w:tc>
        <w:tc>
          <w:tcPr>
            <w:tcW w:w="4533" w:type="dxa"/>
            <w:tcBorders>
              <w:top w:val="single" w:sz="4" w:space="0" w:color="auto"/>
            </w:tcBorders>
          </w:tcPr>
          <w:p w14:paraId="25DDED88"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Source</w:t>
            </w:r>
          </w:p>
        </w:tc>
        <w:tc>
          <w:tcPr>
            <w:tcW w:w="2607" w:type="dxa"/>
            <w:tcBorders>
              <w:top w:val="single" w:sz="4" w:space="0" w:color="auto"/>
            </w:tcBorders>
          </w:tcPr>
          <w:p w14:paraId="4DEE525F" w14:textId="77777777" w:rsidR="00486478" w:rsidRPr="00AE3143" w:rsidRDefault="002F6931"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Calculated Ratios</w:t>
            </w:r>
          </w:p>
        </w:tc>
        <w:tc>
          <w:tcPr>
            <w:tcW w:w="3192" w:type="dxa"/>
            <w:tcBorders>
              <w:top w:val="single" w:sz="4" w:space="0" w:color="auto"/>
            </w:tcBorders>
          </w:tcPr>
          <w:p w14:paraId="4ADAE9CB"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color w:val="222222"/>
                <w:sz w:val="24"/>
                <w:szCs w:val="24"/>
                <w:shd w:val="clear" w:color="auto" w:fill="FFFFFF"/>
              </w:rPr>
              <w:t>References</w:t>
            </w:r>
          </w:p>
        </w:tc>
      </w:tr>
      <w:tr w:rsidR="00486478" w:rsidRPr="00AE3143" w14:paraId="2A148C87" w14:textId="77777777" w:rsidTr="00EE693E">
        <w:tc>
          <w:tcPr>
            <w:tcW w:w="2087" w:type="dxa"/>
            <w:vMerge w:val="restart"/>
          </w:tcPr>
          <w:p w14:paraId="1F1F43C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000000"/>
                <w:sz w:val="24"/>
                <w:szCs w:val="24"/>
              </w:rPr>
              <w:t>LMW/HMW</w:t>
            </w:r>
          </w:p>
        </w:tc>
        <w:tc>
          <w:tcPr>
            <w:tcW w:w="1346" w:type="dxa"/>
          </w:tcPr>
          <w:p w14:paraId="0D7766E9"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&gt;1</w:t>
            </w:r>
          </w:p>
        </w:tc>
        <w:tc>
          <w:tcPr>
            <w:tcW w:w="4533" w:type="dxa"/>
          </w:tcPr>
          <w:p w14:paraId="38B3AEAB"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Petrogenic inputs (liquid fuel discharges)</w:t>
            </w:r>
          </w:p>
        </w:tc>
        <w:tc>
          <w:tcPr>
            <w:tcW w:w="2607" w:type="dxa"/>
            <w:vMerge w:val="restart"/>
          </w:tcPr>
          <w:p w14:paraId="6040AE89"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0.34 &lt; 1</w:t>
            </w:r>
          </w:p>
          <w:p w14:paraId="2C74A47F"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lastRenderedPageBreak/>
              <w:t>Spring  = 0.43 &lt; 1</w:t>
            </w:r>
          </w:p>
          <w:p w14:paraId="11D7771A"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0.39 &lt; 1</w:t>
            </w:r>
          </w:p>
          <w:p w14:paraId="1200E78E"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autumn= 0.39 &lt; 1</w:t>
            </w:r>
          </w:p>
        </w:tc>
        <w:tc>
          <w:tcPr>
            <w:tcW w:w="3192" w:type="dxa"/>
            <w:vMerge w:val="restart"/>
          </w:tcPr>
          <w:p w14:paraId="47BFF486"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hAnsiTheme="majorBidi" w:cstheme="majorBidi"/>
                <w:sz w:val="24"/>
                <w:szCs w:val="24"/>
              </w:rPr>
              <w:lastRenderedPageBreak/>
              <w:fldChar w:fldCharType="begin" w:fldLock="1"/>
            </w:r>
            <w:r w:rsidRPr="00AE3143">
              <w:rPr>
                <w:rFonts w:asciiTheme="majorBidi" w:hAnsiTheme="majorBidi" w:cstheme="majorBidi"/>
                <w:sz w:val="24"/>
                <w:szCs w:val="24"/>
              </w:rPr>
              <w:instrText xml:space="preserve">ADDIN CSL_CITATION {"citationItems":[{"id":"ITEM-1","itemData":{"DOI":"10.1016/J.MARPOLBUL.2020.110923","ISSN":"0025-326X","PMID":"32479296","abstract":"The distribution, composition, and ecological risk of 16 types of polycyclic aromatic hydrocarbons (PAHs) and 6 types of phthalic acid esters (PAEs) in the surface sediment of Songhua river, northeast China, were investigated. The total weight of the PAHs (∑16PAHs) varied from 226.70 to 7086.62 ng/g dry weight (dw), whereas that of the PAEs (∑6PAEs) ranged from 819.44 to 24,035.39 ng/g dw. The </w:instrText>
            </w:r>
            <w:r w:rsidRPr="00AE3143">
              <w:rPr>
                <w:rFonts w:asciiTheme="majorBidi" w:hAnsiTheme="majorBidi" w:cstheme="majorBidi"/>
                <w:sz w:val="24"/>
                <w:szCs w:val="24"/>
              </w:rPr>
              <w:lastRenderedPageBreak/>
              <w:instrText xml:space="preserve">dominant PAHs were four-membered ring PAHs, which varied from 18.65% to 78.10% of the total PAHs. The most abundant PAEs was di-2-ethylhexyl phthalate ester (DEHP), which accounted for 65.02–99.07% of the total PAEs, followed by di-n-butyl phthalate ranging from 1.50 to 55.43%. Pyrolytic origin was the dominant PAH source. Approximately 12.70% target PAHs in the Songhua river sediment exhibited moderate ecological risk with 23.49–1404.09 ng/g carcinogenic toxicity equivalent. DEHP in 80.95% of the sediment samples exceeded the effects range low, indicating its potential harmfulness to the </w:instrText>
            </w:r>
            <w:r w:rsidRPr="00AE3143">
              <w:rPr>
                <w:rFonts w:asciiTheme="majorBidi" w:hAnsiTheme="majorBidi" w:cstheme="majorBidi"/>
                <w:sz w:val="24"/>
                <w:szCs w:val="24"/>
              </w:rPr>
              <w:lastRenderedPageBreak/>
              <w:instrText>aquatic environment.","author":[{"dropping-particle":"","family":"Yang","given":"Yanyan","non-dropping-particle":"","parse-names":false,"suffix":""},{"dropping-particle":"","family":"Wang","given":"Haiyan","non-dropping-particle":"","parse-names":false,"suffix":""},{"dropping-particle":"","family":"Chang","given":"Yang","non-dropping-particle":"","parse-names":false,"suffix":""},{"dropping-particle":"","family":"Yan","given":"Guokai","non-dropping-particle":"","parse-names":false,"suffix":""},{"dr</w:instrText>
            </w:r>
            <w:r w:rsidRPr="00AE3143">
              <w:rPr>
                <w:rFonts w:asciiTheme="majorBidi" w:hAnsiTheme="majorBidi" w:cstheme="majorBidi"/>
                <w:sz w:val="24"/>
                <w:szCs w:val="24"/>
              </w:rPr>
              <w:lastRenderedPageBreak/>
              <w:instrText>opping-particle":"","family":"Chu","given":"Zhaosheng","non-dropping-particle":"","parse-names":false,"suffix":""},{"dropping-particle":"","family":"Zhao","given":"Zhuanjun","non-dropping-particle":"","parse-names":false,"suffix":""},{"dropping-particle":"","family":"Li","given":"Li","non-dropping-particle":"","parse-names":false,"suffix":""},{"dropping-particle":"","family":"Li","given":"Zewen","non-dropping-particle":"","parse-names":false,"suffix":""},{"dropping-particle":"","family":"Wu","gi</w:instrText>
            </w:r>
            <w:r w:rsidRPr="00AE3143">
              <w:rPr>
                <w:rFonts w:asciiTheme="majorBidi" w:hAnsiTheme="majorBidi" w:cstheme="majorBidi"/>
                <w:sz w:val="24"/>
                <w:szCs w:val="24"/>
              </w:rPr>
              <w:lastRenderedPageBreak/>
              <w:instrText>ven":"Tong","non-dropping-particle":"","parse-names":false,"suffix":""}],"container-title":"Marine Pollution Bulletin","id":"ITEM-1","issued":{"date-parts":[["2020","3","1"]]},"page":"110923","publisher":"Pergamon","title":"Distributions, compositions, and ecological risk assessment of polycyclic aromatic hydrocarbons and phthalic acid esters in surface sediment of Songhua river, China","type":"article-journal","volume":"152"},"uris":["http://www.mendeley.com/documents/?uuid=a1e88647-4b3d-3ed0-9532-1b1c58cfb04c"]},{"id":"ITEM-</w:instrText>
            </w:r>
            <w:r w:rsidRPr="00AE3143">
              <w:rPr>
                <w:rFonts w:asciiTheme="majorBidi" w:hAnsiTheme="majorBidi" w:cstheme="majorBidi"/>
                <w:sz w:val="24"/>
                <w:szCs w:val="24"/>
              </w:rPr>
              <w:lastRenderedPageBreak/>
              <w:instrText xml:space="preserve">2","itemData":{"DOI":"10.1007/S11368-021-02968-1/TABLES/6","ISSN":"16147480","abstract":"Purpose: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w:instrText>
            </w:r>
            <w:r w:rsidRPr="00AE3143">
              <w:rPr>
                <w:rFonts w:asciiTheme="majorBidi" w:hAnsiTheme="majorBidi" w:cstheme="majorBidi"/>
                <w:sz w:val="24"/>
                <w:szCs w:val="24"/>
              </w:rPr>
              <w:lastRenderedPageBreak/>
              <w:instrText xml:space="preserve">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w:instrText>
            </w:r>
            <w:r w:rsidRPr="00AE3143">
              <w:rPr>
                <w:rFonts w:asciiTheme="majorBidi" w:hAnsiTheme="majorBidi" w:cstheme="majorBidi"/>
                <w:sz w:val="24"/>
                <w:szCs w:val="24"/>
              </w:rPr>
              <w:lastRenderedPageBreak/>
              <w:instrText>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sediments.","author":[{"dropping-particle":"","family":"Baran","given":"Agnieszka","non-</w:instrText>
            </w:r>
            <w:r w:rsidRPr="00AE3143">
              <w:rPr>
                <w:rFonts w:asciiTheme="majorBidi" w:hAnsiTheme="majorBidi" w:cstheme="majorBidi"/>
                <w:sz w:val="24"/>
                <w:szCs w:val="24"/>
              </w:rPr>
              <w:lastRenderedPageBreak/>
              <w:instrText>dropping-particle":"","parse-names":false,"suffix":""},{"dropping-particle":"","family":"Klimkowicz-Pawlas","given":"Agnieszka","non-dropping-particle":"","parse-names":false,"suffix":""},{"dropping-particle":"","family":"Ukalska-Jaruga","given":"Aleksandra","non-dropping-particle":"","parse-names":false,"suffix":""},{"dropping-particle":"","family":"Mierzwa-Hersztek","given":"Monika","non-dropping-particle":"","parse-</w:instrText>
            </w:r>
            <w:r w:rsidRPr="00AE3143">
              <w:rPr>
                <w:rFonts w:asciiTheme="majorBidi" w:hAnsiTheme="majorBidi" w:cstheme="majorBidi"/>
                <w:sz w:val="24"/>
                <w:szCs w:val="24"/>
              </w:rPr>
              <w:lastRenderedPageBreak/>
              <w:instrText>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names":false,"suffix":""}],"co</w:instrText>
            </w:r>
            <w:r w:rsidRPr="00AE3143">
              <w:rPr>
                <w:rFonts w:asciiTheme="majorBidi" w:hAnsiTheme="majorBidi" w:cstheme="majorBidi"/>
                <w:sz w:val="24"/>
                <w:szCs w:val="24"/>
              </w:rPr>
              <w:lastRenderedPageBreak/>
              <w:instrText xml:space="preserve">ntainer-title":"Journal of Soils and Sediments","id":"ITEM-2","issue":"6","issued":{"date-parts":[["2021","6","1"]]},"page":"2418-2431","publisher":"Springer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fauna","type":"article-journal","volume":"21"},"uris":["http://www.mendeley.com/documents/?uuid=8224bc48-1b49-3c80-9c45-40bfe6140be0"]}],"mendeley":{"formattedCitation":"(Baran et al., 2021; Yang et al., </w:instrText>
            </w:r>
            <w:r w:rsidRPr="00AE3143">
              <w:rPr>
                <w:rFonts w:asciiTheme="majorBidi" w:hAnsiTheme="majorBidi" w:cstheme="majorBidi"/>
                <w:sz w:val="24"/>
                <w:szCs w:val="24"/>
              </w:rPr>
              <w:lastRenderedPageBreak/>
              <w:instrText>2020)","manualFormatting":"(Baran et al.. 2021; Yang et al.. 2020)","plainTextFormattedCitation":"(Baran et al., 2021; Yang et al., 2020)","previouslyFormattedCitation":"(Baran et al., 2021; Yang et al., 2020)"},"properties":{"noteIndex":0},"schema":"https://github.com/citation-style-language/schema/raw/master/csl-citation.json"}</w:instrText>
            </w:r>
            <w:r w:rsidRPr="00AE3143">
              <w:rPr>
                <w:rFonts w:asciiTheme="majorBidi" w:hAnsiTheme="majorBidi" w:cstheme="majorBidi"/>
                <w:sz w:val="24"/>
                <w:szCs w:val="24"/>
              </w:rPr>
              <w:fldChar w:fldCharType="separate"/>
            </w:r>
            <w:r w:rsidR="00D74770" w:rsidRPr="00AE3143">
              <w:rPr>
                <w:rFonts w:asciiTheme="majorBidi" w:hAnsiTheme="majorBidi" w:cstheme="majorBidi"/>
                <w:noProof/>
                <w:sz w:val="24"/>
                <w:szCs w:val="24"/>
              </w:rPr>
              <w:t xml:space="preserve">(Baran et al., 2021; Yang et al., </w:t>
            </w:r>
            <w:r w:rsidRPr="00AE3143">
              <w:rPr>
                <w:rFonts w:asciiTheme="majorBidi" w:hAnsiTheme="majorBidi" w:cstheme="majorBidi"/>
                <w:noProof/>
                <w:sz w:val="24"/>
                <w:szCs w:val="24"/>
              </w:rPr>
              <w:t>2020)</w:t>
            </w:r>
            <w:r w:rsidRPr="00AE3143">
              <w:rPr>
                <w:rFonts w:asciiTheme="majorBidi" w:hAnsiTheme="majorBidi" w:cstheme="majorBidi"/>
                <w:sz w:val="24"/>
                <w:szCs w:val="24"/>
              </w:rPr>
              <w:fldChar w:fldCharType="end"/>
            </w:r>
          </w:p>
        </w:tc>
      </w:tr>
      <w:tr w:rsidR="00486478" w:rsidRPr="00AE3143" w14:paraId="26CAAB15" w14:textId="77777777" w:rsidTr="00EE693E">
        <w:tc>
          <w:tcPr>
            <w:tcW w:w="2087" w:type="dxa"/>
            <w:vMerge/>
          </w:tcPr>
          <w:p w14:paraId="715FD455"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1346" w:type="dxa"/>
          </w:tcPr>
          <w:p w14:paraId="0461B10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&lt;1</w:t>
            </w:r>
          </w:p>
        </w:tc>
        <w:tc>
          <w:tcPr>
            <w:tcW w:w="4533" w:type="dxa"/>
          </w:tcPr>
          <w:p w14:paraId="32D1F00D"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tcPr>
          <w:p w14:paraId="3AF302A2"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tcPr>
          <w:p w14:paraId="17B8C783"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6F6774B9" w14:textId="77777777" w:rsidTr="003C3638">
        <w:tc>
          <w:tcPr>
            <w:tcW w:w="2087" w:type="dxa"/>
            <w:vMerge w:val="restart"/>
            <w:shd w:val="clear" w:color="auto" w:fill="auto"/>
          </w:tcPr>
          <w:p w14:paraId="7B8701C5"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000000"/>
                <w:sz w:val="24"/>
                <w:szCs w:val="24"/>
              </w:rPr>
              <w:lastRenderedPageBreak/>
              <w:t>Flu/(</w:t>
            </w:r>
            <w:proofErr w:type="spellStart"/>
            <w:r w:rsidRPr="003C3638">
              <w:rPr>
                <w:rFonts w:asciiTheme="majorBidi" w:eastAsia="Times New Roman" w:hAnsiTheme="majorBidi" w:cstheme="majorBidi"/>
                <w:color w:val="000000"/>
                <w:sz w:val="24"/>
                <w:szCs w:val="24"/>
              </w:rPr>
              <w:t>Flu+Pyr</w:t>
            </w:r>
            <w:proofErr w:type="spellEnd"/>
            <w:r w:rsidRPr="003C3638">
              <w:rPr>
                <w:rFonts w:asciiTheme="majorBidi" w:eastAsia="Times New Roman" w:hAnsiTheme="majorBidi" w:cstheme="majorBidi"/>
                <w:color w:val="000000"/>
                <w:sz w:val="24"/>
                <w:szCs w:val="24"/>
              </w:rPr>
              <w:t>)</w:t>
            </w:r>
          </w:p>
        </w:tc>
        <w:tc>
          <w:tcPr>
            <w:tcW w:w="1346" w:type="dxa"/>
            <w:shd w:val="clear" w:color="auto" w:fill="auto"/>
          </w:tcPr>
          <w:p w14:paraId="055BEBB0"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131413"/>
                <w:sz w:val="24"/>
                <w:szCs w:val="24"/>
              </w:rPr>
              <w:t>&lt;0.4</w:t>
            </w:r>
          </w:p>
        </w:tc>
        <w:tc>
          <w:tcPr>
            <w:tcW w:w="4533" w:type="dxa"/>
            <w:shd w:val="clear" w:color="auto" w:fill="auto"/>
            <w:vAlign w:val="center"/>
          </w:tcPr>
          <w:p w14:paraId="326D8200" w14:textId="77777777" w:rsidR="00486478" w:rsidRPr="003C3638" w:rsidRDefault="00486478" w:rsidP="00AE3143">
            <w:pPr>
              <w:rPr>
                <w:rFonts w:asciiTheme="majorBidi" w:hAnsiTheme="majorBidi" w:cstheme="majorBidi"/>
                <w:sz w:val="24"/>
                <w:szCs w:val="24"/>
              </w:rPr>
            </w:pPr>
            <w:r w:rsidRPr="003C3638">
              <w:rPr>
                <w:rFonts w:asciiTheme="majorBidi" w:eastAsia="Times New Roman" w:hAnsiTheme="majorBidi" w:cstheme="majorBidi"/>
                <w:color w:val="131413"/>
                <w:sz w:val="24"/>
                <w:szCs w:val="24"/>
              </w:rPr>
              <w:t>Petrogenic inputs (liquid fuel discharges)</w:t>
            </w:r>
          </w:p>
        </w:tc>
        <w:tc>
          <w:tcPr>
            <w:tcW w:w="2607" w:type="dxa"/>
            <w:vMerge w:val="restart"/>
            <w:shd w:val="clear" w:color="auto" w:fill="auto"/>
          </w:tcPr>
          <w:p w14:paraId="2E210348"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Winter = 0.32 &lt; 0.4</w:t>
            </w:r>
          </w:p>
          <w:p w14:paraId="4387AD5C"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Spring = 0.37 &lt; 0.4</w:t>
            </w:r>
          </w:p>
          <w:p w14:paraId="471271D9" w14:textId="77777777" w:rsidR="00486478" w:rsidRPr="003C3638" w:rsidRDefault="00264AD5"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Summer =</w:t>
            </w:r>
            <w:r w:rsidR="00486478" w:rsidRPr="003C3638">
              <w:rPr>
                <w:rFonts w:asciiTheme="majorBidi" w:hAnsiTheme="majorBidi" w:cstheme="majorBidi"/>
                <w:sz w:val="24"/>
                <w:szCs w:val="24"/>
              </w:rPr>
              <w:t>0.43  (0.4-0.5)</w:t>
            </w:r>
          </w:p>
          <w:p w14:paraId="29A659FD"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 xml:space="preserve">Autumn = 0.54 &gt; 0.5 </w:t>
            </w:r>
          </w:p>
        </w:tc>
        <w:tc>
          <w:tcPr>
            <w:tcW w:w="3192" w:type="dxa"/>
            <w:vMerge w:val="restart"/>
            <w:shd w:val="clear" w:color="auto" w:fill="auto"/>
          </w:tcPr>
          <w:p w14:paraId="6DD715AD" w14:textId="37983D1F"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131413"/>
                <w:sz w:val="24"/>
                <w:szCs w:val="24"/>
              </w:rPr>
              <w:fldChar w:fldCharType="begin" w:fldLock="1"/>
            </w:r>
            <w:r w:rsidRPr="003C3638">
              <w:rPr>
                <w:rFonts w:asciiTheme="majorBidi" w:eastAsia="Times New Roman" w:hAnsiTheme="majorBidi" w:cstheme="majorBidi"/>
                <w:color w:val="131413"/>
                <w:sz w:val="24"/>
                <w:szCs w:val="24"/>
              </w:rPr>
              <w:instrText xml:space="preserve">ADDIN CSL_CITATION {"citationItems":[{"id":"ITEM-1","itemData":{"DOI":"10.1007/S00244-019-00617-W/TABLES/5","ISSN":"14320703","PMID":"30879120","abstract":"The incidence and spatial distribution of </w:instrText>
            </w:r>
            <w:r w:rsidRPr="003C3638">
              <w:rPr>
                <w:rFonts w:asciiTheme="majorBidi" w:eastAsia="Times New Roman" w:hAnsiTheme="majorBidi" w:cstheme="majorBidi"/>
                <w:color w:val="131413"/>
                <w:sz w:val="24"/>
                <w:szCs w:val="24"/>
              </w:rPr>
              <w:lastRenderedPageBreak/>
              <w:instrText xml:space="preserve">polycyclic aromatic hydrocarbons (PAHs) in the Buffalo River Estuary in the Eastern Cape Province of South Africa were assessed in this study. A total of 60 surface water and 19 sediment samples were collected from 5 sites of the estuary over a period of 6 months (December 2015 to 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w:instrText>
            </w:r>
            <w:r w:rsidRPr="003C3638">
              <w:rPr>
                <w:rFonts w:asciiTheme="majorBidi" w:eastAsia="Times New Roman" w:hAnsiTheme="majorBidi" w:cstheme="majorBidi"/>
                <w:color w:val="131413"/>
                <w:sz w:val="24"/>
                <w:szCs w:val="24"/>
              </w:rPr>
              <w:lastRenderedPageBreak/>
              <w:instrText xml:space="preserve">not detected (ND) to 24.91 μg/L and ND to 7792 μg/kg, respectively. Total concentrations of the PAHs in the water and sediment samples varied as 14.91–206 μg/L and 1107–22,310 μg/kg in that order. Total levels of the contaminants were above the 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w:instrText>
            </w:r>
            <w:r w:rsidRPr="003C3638">
              <w:rPr>
                <w:rFonts w:asciiTheme="majorBidi" w:eastAsia="Times New Roman" w:hAnsiTheme="majorBidi" w:cstheme="majorBidi"/>
                <w:color w:val="131413"/>
                <w:sz w:val="24"/>
                <w:szCs w:val="24"/>
              </w:rPr>
              <w:lastRenderedPageBreak/>
              <w:instrText>dibenzo(a,h)anthracene were found to be of higher carcinogenic and mutagenic risks in the sediments collected from the study area. Diagnostic ratios suggest that the target hydrocarbons are predominantly from pyrolytic sources. It therefore could be inferred that the water body is conspicuously polluted; hence, efforts should be made to control all the activities contributing to such magnitude of pollution at the sites.","author":[{"dropping-particle":"","family":"Adeniji","given":"A. O.","non-dropping-particle":"","parse-names":false,"suffix":""},{"dropping-particle":"","family":"Okoh","</w:instrText>
            </w:r>
            <w:r w:rsidRPr="003C3638">
              <w:rPr>
                <w:rFonts w:asciiTheme="majorBidi" w:eastAsia="Times New Roman" w:hAnsiTheme="majorBidi" w:cstheme="majorBidi"/>
                <w:color w:val="131413"/>
                <w:sz w:val="24"/>
                <w:szCs w:val="24"/>
              </w:rPr>
              <w:lastRenderedPageBreak/>
              <w:instrText xml:space="preserve">given":"O. O.","non-dropping-particle":"","parse-names":false,"suffix":""},{"dropping-particle":"","family":"Okoh","given":"A. I.","non-dropping-particle":"","parse-names":false,"suffix":""}],"container-title":"Archives of Environmental Contamination and Toxicology","id":"ITEM-1","issue":"4","issued":{"date-parts":[["2019","5","1"]]},"page":"657-669","publisher":"Springer New York LLC","title":"Levels of Polycyclic Aromatic Hydrocarbons in the Water and Sediment of Buffalo River Estuary, South Africa and Their Health Risk </w:instrText>
            </w:r>
            <w:r w:rsidRPr="003C3638">
              <w:rPr>
                <w:rFonts w:asciiTheme="majorBidi" w:eastAsia="Times New Roman" w:hAnsiTheme="majorBidi" w:cstheme="majorBidi"/>
                <w:color w:val="131413"/>
                <w:sz w:val="24"/>
                <w:szCs w:val="24"/>
              </w:rPr>
              <w:lastRenderedPageBreak/>
              <w:instrText xml:space="preserve">Assessment","type":"article-journal","volume":"76"},"uris":["http://www.mendeley.com/documents/?uuid=5780b9a0-7395-36e3-bdc8-09a0b5662082"]},{"id":"ITEM-2","itemData":{"DOI":"10.3390/W13223295","ISSN":"2073-4441","abstract":"Polycyclic 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w:instrText>
            </w:r>
            <w:r w:rsidRPr="003C3638">
              <w:rPr>
                <w:rFonts w:asciiTheme="majorBidi" w:eastAsia="Times New Roman" w:hAnsiTheme="majorBidi" w:cstheme="majorBidi"/>
                <w:color w:val="131413"/>
                <w:sz w:val="24"/>
                <w:szCs w:val="24"/>
              </w:rPr>
              <w:lastRenderedPageBreak/>
              <w:instrText>risk of sixteen priority PAHs (16PAHs) were analysed in the samples. Apart from Nap, Acy, BkF, InP and DbE, all the other PAHs were present in all the sampled points of the studied area with BbF and BaA recording the highest mean values. The range and mean of the total PAHs (∑16PAHs) of 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w:instrText>
            </w:r>
            <w:r w:rsidRPr="003C3638">
              <w:rPr>
                <w:rFonts w:asciiTheme="majorBidi" w:eastAsia="Times New Roman" w:hAnsiTheme="majorBidi" w:cstheme="majorBidi"/>
                <w:color w:val="131413"/>
                <w:sz w:val="24"/>
                <w:szCs w:val="24"/>
              </w:rPr>
              <w:lastRenderedPageBreak/>
              <w:instrText xml:space="preserve">median ER-M) of this study is from 0.953 to 8.80 mg/kg. PAHs below ER-L (4.0 mg/kg) indicate no toxic effect, but values above ER-M (44.79 mg/kg) indicate toxic effects to the sediments, its resources and, ultimately, the public that consumes the resources thereof; hence, the 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w:instrText>
            </w:r>
            <w:r w:rsidRPr="003C3638">
              <w:rPr>
                <w:rFonts w:asciiTheme="majorBidi" w:eastAsia="Times New Roman" w:hAnsiTheme="majorBidi" w:cstheme="majorBidi"/>
                <w:color w:val="131413"/>
                <w:sz w:val="24"/>
                <w:szCs w:val="24"/>
              </w:rPr>
              <w:lastRenderedPageBreak/>
              <w:instrText xml:space="preserve">oil) and pyrogenic sources. The toxic equivalent quotient (TEQ) and mutagenic equivalent quotient (MEQ) of PAHs ranged from 2.96 to 23.26 mgTEQ/kg dw and 4.47 to 23.52 mgMEQ/kg dw, and the total mean toxic equivalency quotient (∑TEQ) (15.12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w:instrText>
            </w:r>
            <w:r w:rsidRPr="003C3638">
              <w:rPr>
                <w:rFonts w:asciiTheme="majorBidi" w:eastAsia="Times New Roman" w:hAnsiTheme="majorBidi" w:cstheme="majorBidi"/>
                <w:color w:val="131413"/>
                <w:sz w:val="24"/>
                <w:szCs w:val="24"/>
              </w:rPr>
              <w:lastRenderedPageBreak/>
              <w:instrText>on these findings, the appropriate regulatory bodies and other organs of government in the region should enforce outright stoppage of the activities of these illegal artisans who do not have control mechanisms for loss control at the site and carry out appropriate clean-up of the…","author":[{"dropping-particle":"","family":"Howard","given":"Ibigoni C.","non-dropping-particle":"","parse-names":false,"suffix":""},{"dropping-particle":"","family":"Okpara","given":"Kingsley E.","non-dropping-particle":"","parse-names":false,"suffix":""},{"dropping-</w:instrText>
            </w:r>
            <w:r w:rsidRPr="003C3638">
              <w:rPr>
                <w:rFonts w:asciiTheme="majorBidi" w:eastAsia="Times New Roman" w:hAnsiTheme="majorBidi" w:cstheme="majorBidi"/>
                <w:color w:val="131413"/>
                <w:sz w:val="24"/>
                <w:szCs w:val="24"/>
              </w:rPr>
              <w:lastRenderedPageBreak/>
              <w:instrText>particle":"","family":"Techato","given":"Kuaanan","non-dropping-particle":"","parse-names":false,"suffix":""}],"container-title":"Water 2021, Vol. 13, Page 3295","id":"ITEM-2","issue":"22","issued":{"date-parts":[["2021","11","21"]]},"page":"3295","publisher":"Multidisciplinary Digital Publishing Institute","title":"Toxicity and Risks Assessment of Polycyclic Aromatic Hydrocarbons in River Bed Sediments of an Artisanal Crude Oil Refining Area in the Niger Delta, Nigeria","type":"article-journal","volume":"13"},"uris</w:instrText>
            </w:r>
            <w:r w:rsidRPr="003C3638">
              <w:rPr>
                <w:rFonts w:asciiTheme="majorBidi" w:eastAsia="Times New Roman" w:hAnsiTheme="majorBidi" w:cstheme="majorBidi"/>
                <w:color w:val="131413"/>
                <w:sz w:val="24"/>
                <w:szCs w:val="24"/>
              </w:rPr>
              <w:lastRenderedPageBreak/>
              <w:instrText xml:space="preserve">":["http://www.mendeley.com/documents/?uuid=72f0255f-a058-3f31-8b1a-0f6aaa2bc073"]},{"id":"ITEM-3","itemData":{"DOI":"10.1016/J.SCITOTENV.2016.05.183","ISSN":"0048-9697","PMID":"27265739","abstract":"The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w:instrText>
            </w:r>
            <w:r w:rsidRPr="003C3638">
              <w:rPr>
                <w:rFonts w:asciiTheme="majorBidi" w:eastAsia="Times New Roman" w:hAnsiTheme="majorBidi" w:cstheme="majorBidi"/>
                <w:color w:val="131413"/>
                <w:sz w:val="24"/>
                <w:szCs w:val="24"/>
              </w:rPr>
              <w:lastRenderedPageBreak/>
              <w:instrText xml:space="preserve">from 21 sites in four different seasons. Total concentrations of PAHs ranged from 10.3 to 951.6 ng L− 1 and from 36.2 to 545.6 ng g− 1 in water (sum of DP and SPM) and in sediment samples, respectively. The 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w:instrText>
            </w:r>
            <w:r w:rsidRPr="003C3638">
              <w:rPr>
                <w:rFonts w:asciiTheme="majorBidi" w:eastAsia="Times New Roman" w:hAnsiTheme="majorBidi" w:cstheme="majorBidi"/>
                <w:color w:val="131413"/>
                <w:sz w:val="24"/>
                <w:szCs w:val="24"/>
              </w:rPr>
              <w:lastRenderedPageBreak/>
              <w:instrText>calculated in about 3161.7 kg year− 1 showing that this river is one of the main contribution sources of these contaminants to the Tyrrhenian Sea.","author":[{"dropping-particle":"","family":"Montuori","given":"Paolo","non-dropping-particle":"","parse-names":false,"suffix":""},{"dropping-particle":"","family":"Aurino","given":"Sara","non-dropping-particle":"","parse-names":false,"suffix":""},{"dropping-particle":"","family":"Garzonio","given":"Fatima","non-dropping-particle":"","parse-names":false,"suffix":""},{"dropping-particle":"","family":"Sarnacc</w:instrText>
            </w:r>
            <w:r w:rsidRPr="003C3638">
              <w:rPr>
                <w:rFonts w:asciiTheme="majorBidi" w:eastAsia="Times New Roman" w:hAnsiTheme="majorBidi" w:cstheme="majorBidi"/>
                <w:color w:val="131413"/>
                <w:sz w:val="24"/>
                <w:szCs w:val="24"/>
              </w:rPr>
              <w:lastRenderedPageBreak/>
              <w:instrText xml:space="preserve">hiaro","given":"Pasquale","non-dropping-particle":"","parse-names":false,"suffix":""},{"dropping-particle":"","family":"Nardone","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w:instrText>
            </w:r>
            <w:r w:rsidRPr="003C3638">
              <w:rPr>
                <w:rFonts w:asciiTheme="majorBidi" w:eastAsia="Times New Roman" w:hAnsiTheme="majorBidi" w:cstheme="majorBidi"/>
                <w:color w:val="131413"/>
                <w:sz w:val="24"/>
                <w:szCs w:val="24"/>
              </w:rPr>
              <w:lastRenderedPageBreak/>
              <w:instrText xml:space="preserve">of polycyclic aromatic hydrocarbons in water and sediments from Tiber River and estuary, Italy","type":"article-journal","volume":"566-567"},"uris":["http://www.mendeley.com/documents/?uuid=acbc24a7-de02-3377-b5b1-13c61a059420"]},{"id":"ITEM-4","itemData":{"DOI":"10.1007/S11368-021-02968-1/TABLES/6","ISSN":"16147480","abstract":"Purpose: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w:instrText>
            </w:r>
            <w:r w:rsidRPr="003C3638">
              <w:rPr>
                <w:rFonts w:asciiTheme="majorBidi" w:eastAsia="Times New Roman" w:hAnsiTheme="majorBidi" w:cstheme="majorBidi"/>
                <w:color w:val="131413"/>
                <w:sz w:val="24"/>
                <w:szCs w:val="24"/>
              </w:rPr>
              <w:lastRenderedPageBreak/>
              <w:instrText xml:space="preserve">and consensus-based sediment quality guidelines for ecological risk assessment in sediments. Methods: Bottom sediment samples were taken 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w:instrText>
            </w:r>
            <w:r w:rsidRPr="003C3638">
              <w:rPr>
                <w:rFonts w:asciiTheme="majorBidi" w:eastAsia="Times New Roman" w:hAnsiTheme="majorBidi" w:cstheme="majorBidi"/>
                <w:color w:val="131413"/>
                <w:sz w:val="24"/>
                <w:szCs w:val="24"/>
              </w:rPr>
              <w:lastRenderedPageBreak/>
              <w:instrText xml:space="preserve">in their natural environment. Results: The content of organic matter fractions was in the following order: Cfa (fulvic acid) &gt; Cnh (non-hydrolysing 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w:instrText>
            </w:r>
            <w:r w:rsidRPr="003C3638">
              <w:rPr>
                <w:rFonts w:asciiTheme="majorBidi" w:eastAsia="Times New Roman" w:hAnsiTheme="majorBidi" w:cstheme="majorBidi"/>
                <w:color w:val="131413"/>
                <w:sz w:val="24"/>
                <w:szCs w:val="24"/>
              </w:rPr>
              <w:lastRenderedPageBreak/>
              <w:instrText>Principal component analysis (PCA) suggests that the fine fraction can significantly increase the bioavailability of PAHs and can be an important factor in the distribution of PAHs in the sediments.","author":[{"dropping-particle":"","family":"Baran","given":"Agnieszka","non-dropping-particle":"","parse-names":false,"suffix":""},{"dropping-particle":"","family":"Klimkowicz-Pawlas","given":"Agnieszka","non-dropping-particle":"","parse-names":false,"suffix":""},{"dropping-particle":"","family":"Ukalska</w:instrText>
            </w:r>
            <w:r w:rsidRPr="003C3638">
              <w:rPr>
                <w:rFonts w:asciiTheme="majorBidi" w:eastAsia="Times New Roman" w:hAnsiTheme="majorBidi" w:cstheme="majorBidi"/>
                <w:color w:val="131413"/>
                <w:sz w:val="24"/>
                <w:szCs w:val="24"/>
              </w:rPr>
              <w:lastRenderedPageBreak/>
              <w:instrText>-Jaruga","given":"Aleksandra","non-dropping-particle":"","parse-names":false,"suffix":""},{"dropping-particle":"","family":"Mierzwa-Hersztek","given":"Monika","non-dropping-particle":"","parse-names":false,"suffix":""},{"dropping-particle":"","family":"Gondek","given":"Krzysztof","non-dropping-particle":"","parse-names":false,"suffix":""},{"dropping-particle":"","family":"Szara-Bąk","given":"Magdalena","non-dropping-particle":"","parse-</w:instrText>
            </w:r>
            <w:r w:rsidRPr="003C3638">
              <w:rPr>
                <w:rFonts w:asciiTheme="majorBidi" w:eastAsia="Times New Roman" w:hAnsiTheme="majorBidi" w:cstheme="majorBidi"/>
                <w:color w:val="131413"/>
                <w:sz w:val="24"/>
                <w:szCs w:val="24"/>
              </w:rPr>
              <w:lastRenderedPageBreak/>
              <w:instrText xml:space="preserve">names":false,"suffix":""},{"dropping-particle":"","family":"Tarnawski","given":"Marek","non-dropping-particle":"","parse-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w:instrText>
            </w:r>
            <w:r w:rsidRPr="003C3638">
              <w:rPr>
                <w:rFonts w:asciiTheme="majorBidi" w:eastAsia="Times New Roman" w:hAnsiTheme="majorBidi" w:cstheme="majorBidi"/>
                <w:color w:val="131413"/>
                <w:sz w:val="24"/>
                <w:szCs w:val="24"/>
              </w:rPr>
              <w:lastRenderedPageBreak/>
              <w:instrText>bottom sediments of a dam reservoir, their interaction with organic matter and risk to benthic fauna","type":"article-journal","volume":"21"},"uris":["http://www.mendeley.com/documents/?uuid=8224bc48-1b49-3c80-9c45-40bfe6140be0"]}],"mendeley":{"formattedCitation":"(Adeniji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2016)","previouslyFormattedC</w:instrText>
            </w:r>
            <w:r w:rsidRPr="003C3638">
              <w:rPr>
                <w:rFonts w:asciiTheme="majorBidi" w:eastAsia="Times New Roman" w:hAnsiTheme="majorBidi" w:cstheme="majorBidi"/>
                <w:color w:val="131413"/>
                <w:sz w:val="24"/>
                <w:szCs w:val="24"/>
              </w:rPr>
              <w:lastRenderedPageBreak/>
              <w:instrText>itation":"(Adeniji et al., 2019b; Baran et al., 2021; Howard et al., 2021; Montuori et al., 2016)"},"properties":{"noteIndex":0},"schema":"https://github.com/citation-style-language/schema/raw/master/csl-citation.json"}</w:instrText>
            </w:r>
            <w:r w:rsidRPr="003C3638">
              <w:rPr>
                <w:rFonts w:asciiTheme="majorBidi" w:eastAsia="Times New Roman" w:hAnsiTheme="majorBidi" w:cstheme="majorBidi"/>
                <w:color w:val="131413"/>
                <w:sz w:val="24"/>
                <w:szCs w:val="24"/>
              </w:rPr>
              <w:fldChar w:fldCharType="separate"/>
            </w:r>
            <w:r w:rsidR="002311E7" w:rsidRPr="003C3638">
              <w:rPr>
                <w:rFonts w:asciiTheme="majorBidi" w:eastAsia="Times New Roman" w:hAnsiTheme="majorBidi" w:cstheme="majorBidi"/>
                <w:noProof/>
                <w:color w:val="131413"/>
                <w:sz w:val="24"/>
                <w:szCs w:val="24"/>
              </w:rPr>
              <w:t>(Adeniji et al.,</w:t>
            </w:r>
            <w:r w:rsidR="000A5D59" w:rsidRPr="003C3638">
              <w:rPr>
                <w:rFonts w:asciiTheme="majorBidi" w:eastAsia="Times New Roman" w:hAnsiTheme="majorBidi" w:cstheme="majorBidi"/>
                <w:noProof/>
                <w:color w:val="131413"/>
                <w:sz w:val="24"/>
                <w:szCs w:val="24"/>
              </w:rPr>
              <w:t xml:space="preserve"> 2019</w:t>
            </w:r>
            <w:r w:rsidR="00D74770" w:rsidRPr="003C3638">
              <w:rPr>
                <w:rFonts w:asciiTheme="majorBidi" w:eastAsia="Times New Roman" w:hAnsiTheme="majorBidi" w:cstheme="majorBidi"/>
                <w:noProof/>
                <w:color w:val="131413"/>
                <w:sz w:val="24"/>
                <w:szCs w:val="24"/>
              </w:rPr>
              <w:t>; Baran et al.,</w:t>
            </w:r>
            <w:r w:rsidR="00C04FD7" w:rsidRPr="003C3638">
              <w:rPr>
                <w:rFonts w:asciiTheme="majorBidi" w:eastAsia="Times New Roman" w:hAnsiTheme="majorBidi" w:cstheme="majorBidi"/>
                <w:noProof/>
                <w:color w:val="131413"/>
                <w:sz w:val="24"/>
                <w:szCs w:val="24"/>
              </w:rPr>
              <w:t xml:space="preserve"> 2021</w:t>
            </w:r>
            <w:r w:rsidR="00D74770" w:rsidRPr="003C3638">
              <w:rPr>
                <w:rFonts w:asciiTheme="majorBidi" w:eastAsia="Times New Roman" w:hAnsiTheme="majorBidi" w:cstheme="majorBidi"/>
                <w:noProof/>
                <w:color w:val="131413"/>
                <w:sz w:val="24"/>
                <w:szCs w:val="24"/>
              </w:rPr>
              <w:t>; Montuori et al.,</w:t>
            </w:r>
            <w:r w:rsidRPr="003C3638">
              <w:rPr>
                <w:rFonts w:asciiTheme="majorBidi" w:eastAsia="Times New Roman" w:hAnsiTheme="majorBidi" w:cstheme="majorBidi"/>
                <w:noProof/>
                <w:color w:val="131413"/>
                <w:sz w:val="24"/>
                <w:szCs w:val="24"/>
              </w:rPr>
              <w:t xml:space="preserve"> 2016)</w:t>
            </w:r>
            <w:r w:rsidRPr="003C3638">
              <w:rPr>
                <w:rFonts w:asciiTheme="majorBidi" w:eastAsia="Times New Roman" w:hAnsiTheme="majorBidi" w:cstheme="majorBidi"/>
                <w:color w:val="131413"/>
                <w:sz w:val="24"/>
                <w:szCs w:val="24"/>
              </w:rPr>
              <w:fldChar w:fldCharType="end"/>
            </w:r>
          </w:p>
        </w:tc>
      </w:tr>
      <w:tr w:rsidR="00486478" w:rsidRPr="00AE3143" w14:paraId="2A092DDD" w14:textId="77777777" w:rsidTr="003C3638">
        <w:tc>
          <w:tcPr>
            <w:tcW w:w="2087" w:type="dxa"/>
            <w:vMerge/>
            <w:shd w:val="clear" w:color="auto" w:fill="auto"/>
          </w:tcPr>
          <w:p w14:paraId="6EF5C62E"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vAlign w:val="center"/>
          </w:tcPr>
          <w:p w14:paraId="65C0BEFB"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0.4-0.5</w:t>
            </w:r>
          </w:p>
        </w:tc>
        <w:tc>
          <w:tcPr>
            <w:tcW w:w="4533" w:type="dxa"/>
            <w:shd w:val="clear" w:color="auto" w:fill="auto"/>
            <w:vAlign w:val="center"/>
          </w:tcPr>
          <w:p w14:paraId="2E6B8F28"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Pyrolytic (burning of liquid fossil fuels and crude oil. vehicles)</w:t>
            </w:r>
          </w:p>
        </w:tc>
        <w:tc>
          <w:tcPr>
            <w:tcW w:w="2607" w:type="dxa"/>
            <w:vMerge/>
            <w:shd w:val="clear" w:color="auto" w:fill="auto"/>
          </w:tcPr>
          <w:p w14:paraId="6F5FC18D"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uto"/>
          </w:tcPr>
          <w:p w14:paraId="47913E20"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0573FBD0" w14:textId="77777777" w:rsidTr="003C3638">
        <w:tc>
          <w:tcPr>
            <w:tcW w:w="2087" w:type="dxa"/>
            <w:vMerge/>
            <w:shd w:val="clear" w:color="auto" w:fill="auto"/>
          </w:tcPr>
          <w:p w14:paraId="3D3141C4"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tcPr>
          <w:p w14:paraId="25B4C4D0"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&gt; 0.5</w:t>
            </w:r>
          </w:p>
        </w:tc>
        <w:tc>
          <w:tcPr>
            <w:tcW w:w="4533" w:type="dxa"/>
            <w:shd w:val="clear" w:color="auto" w:fill="auto"/>
            <w:vAlign w:val="center"/>
          </w:tcPr>
          <w:p w14:paraId="22EF136A" w14:textId="77777777" w:rsidR="00486478" w:rsidRPr="003C3638" w:rsidRDefault="00486478" w:rsidP="00AE3143">
            <w:pPr>
              <w:rPr>
                <w:rFonts w:asciiTheme="majorBidi" w:hAnsiTheme="majorBidi" w:cstheme="majorBidi"/>
                <w:sz w:val="24"/>
                <w:szCs w:val="24"/>
              </w:rPr>
            </w:pPr>
            <w:r w:rsidRPr="003C3638">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shd w:val="clear" w:color="auto" w:fill="auto"/>
          </w:tcPr>
          <w:p w14:paraId="48C897A8"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uto"/>
          </w:tcPr>
          <w:p w14:paraId="526EF32E"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3F88569C" w14:textId="77777777" w:rsidTr="003C3638">
        <w:tc>
          <w:tcPr>
            <w:tcW w:w="2087" w:type="dxa"/>
            <w:vMerge w:val="restart"/>
            <w:shd w:val="clear" w:color="auto" w:fill="auto"/>
          </w:tcPr>
          <w:p w14:paraId="4D9014B5"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r w:rsidRPr="003C3638">
              <w:rPr>
                <w:rFonts w:asciiTheme="majorBidi" w:eastAsia="Times New Roman" w:hAnsiTheme="majorBidi" w:cstheme="majorBidi"/>
                <w:color w:val="000000"/>
                <w:sz w:val="24"/>
                <w:szCs w:val="24"/>
              </w:rPr>
              <w:lastRenderedPageBreak/>
              <w:t>IND/(</w:t>
            </w:r>
            <w:proofErr w:type="spellStart"/>
            <w:r w:rsidRPr="003C3638">
              <w:rPr>
                <w:rFonts w:asciiTheme="majorBidi" w:eastAsia="Times New Roman" w:hAnsiTheme="majorBidi" w:cstheme="majorBidi"/>
                <w:color w:val="000000"/>
                <w:sz w:val="24"/>
                <w:szCs w:val="24"/>
              </w:rPr>
              <w:t>IND+BghiP</w:t>
            </w:r>
            <w:proofErr w:type="spellEnd"/>
            <w:r w:rsidRPr="003C3638">
              <w:rPr>
                <w:rFonts w:asciiTheme="majorBidi" w:eastAsia="Times New Roman" w:hAnsiTheme="majorBidi" w:cstheme="majorBidi"/>
                <w:color w:val="000000"/>
                <w:sz w:val="24"/>
                <w:szCs w:val="24"/>
              </w:rPr>
              <w:t>)</w:t>
            </w:r>
          </w:p>
        </w:tc>
        <w:tc>
          <w:tcPr>
            <w:tcW w:w="1346" w:type="dxa"/>
            <w:shd w:val="clear" w:color="auto" w:fill="auto"/>
          </w:tcPr>
          <w:p w14:paraId="2B773BCC"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&lt;0.2</w:t>
            </w:r>
          </w:p>
        </w:tc>
        <w:tc>
          <w:tcPr>
            <w:tcW w:w="4533" w:type="dxa"/>
            <w:shd w:val="clear" w:color="auto" w:fill="auto"/>
            <w:vAlign w:val="center"/>
          </w:tcPr>
          <w:p w14:paraId="183DC4FF"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Petrogenic inputs (liquid fuel discharges)</w:t>
            </w:r>
          </w:p>
        </w:tc>
        <w:tc>
          <w:tcPr>
            <w:tcW w:w="2607" w:type="dxa"/>
            <w:vMerge w:val="restart"/>
            <w:shd w:val="clear" w:color="auto" w:fill="auto"/>
          </w:tcPr>
          <w:p w14:paraId="14BB33D8"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Winter = 0.53 &gt; 0.5</w:t>
            </w:r>
          </w:p>
          <w:p w14:paraId="6CC0AAB3"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Spring = 0.37 (0.2-0.5)</w:t>
            </w:r>
          </w:p>
          <w:p w14:paraId="36618EF0"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Summer = 0.51 &gt; 0.5</w:t>
            </w:r>
          </w:p>
          <w:p w14:paraId="57B5550B"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Autumn = 0.57 &gt; 0.5</w:t>
            </w:r>
          </w:p>
        </w:tc>
        <w:tc>
          <w:tcPr>
            <w:tcW w:w="3192" w:type="dxa"/>
            <w:vMerge w:val="restart"/>
            <w:shd w:val="clear" w:color="auto" w:fill="auto"/>
          </w:tcPr>
          <w:p w14:paraId="628C6840" w14:textId="59761535"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131413"/>
                <w:sz w:val="24"/>
                <w:szCs w:val="24"/>
              </w:rPr>
              <w:fldChar w:fldCharType="begin" w:fldLock="1"/>
            </w:r>
            <w:r w:rsidRPr="003C3638">
              <w:rPr>
                <w:rFonts w:asciiTheme="majorBidi" w:eastAsia="Times New Roman" w:hAnsiTheme="majorBidi" w:cstheme="majorBidi"/>
                <w:color w:val="131413"/>
                <w:sz w:val="24"/>
                <w:szCs w:val="24"/>
              </w:rPr>
              <w:instrText xml:space="preserve">ADDIN CSL_CITATION {"citationItems":[{"id":"ITEM-1","itemData":{"DOI":"10.1007/S00244-019-00617-W/TABLES/5","ISSN":"14320703","PMID":"30879120","abstract":"The incidence and spatial distribution of polycyclic aromatic hydrocarbons (PAHs) in the Buffalo River Estuary in the Eastern Cape Province of South Africa were assessed in </w:instrText>
            </w:r>
            <w:r w:rsidRPr="003C3638">
              <w:rPr>
                <w:rFonts w:asciiTheme="majorBidi" w:eastAsia="Times New Roman" w:hAnsiTheme="majorBidi" w:cstheme="majorBidi"/>
                <w:color w:val="131413"/>
                <w:sz w:val="24"/>
                <w:szCs w:val="24"/>
              </w:rPr>
              <w:lastRenderedPageBreak/>
              <w:instrText xml:space="preserve">this study. A total of 60 surface water and 19 sediment samples were collected from 5 sites of the estuary over a period of 6 months (December 2015 to 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w:instrText>
            </w:r>
            <w:r w:rsidRPr="003C3638">
              <w:rPr>
                <w:rFonts w:asciiTheme="majorBidi" w:eastAsia="Times New Roman" w:hAnsiTheme="majorBidi" w:cstheme="majorBidi"/>
                <w:color w:val="131413"/>
                <w:sz w:val="24"/>
                <w:szCs w:val="24"/>
              </w:rPr>
              <w:lastRenderedPageBreak/>
              <w:instrText xml:space="preserve">samples varied as 14.91–206 μg/L and 1107–22,310 μg/kg in that order. Total levels of the contaminants were above the 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w:instrText>
            </w:r>
            <w:r w:rsidRPr="003C3638">
              <w:rPr>
                <w:rFonts w:asciiTheme="majorBidi" w:eastAsia="Times New Roman" w:hAnsiTheme="majorBidi" w:cstheme="majorBidi"/>
                <w:color w:val="131413"/>
                <w:sz w:val="24"/>
                <w:szCs w:val="24"/>
              </w:rPr>
              <w:lastRenderedPageBreak/>
              <w:instrText>ratios suggest that the target hydrocarbons are predominantly from pyrolytic sources. It therefore could be inferred that the water body is conspicuously polluted; hence, efforts should be made to control all the activities contributing to such magnitude of pollution at the sites.","author":[{"dropping-particle":"","family":"Adeniji","given":"A. O.","non-dropping-particle":"","parse-names":false,"suffix":""},{"dropping-particle":"","family":"Okoh","given":"O. O.","non-dropping-particle":"","parse-names":false,"suffix":""},{"dropping-particle":"","family":"Okoh","</w:instrText>
            </w:r>
            <w:r w:rsidRPr="003C3638">
              <w:rPr>
                <w:rFonts w:asciiTheme="majorBidi" w:eastAsia="Times New Roman" w:hAnsiTheme="majorBidi" w:cstheme="majorBidi"/>
                <w:color w:val="131413"/>
                <w:sz w:val="24"/>
                <w:szCs w:val="24"/>
              </w:rPr>
              <w:lastRenderedPageBreak/>
              <w:instrText>given":"A. I.","non-dropping-particle":"","parse-names":false,"suffix":""}],"container-title":"Archives of Environmental Contamination and Toxicology","id":"ITEM-1","issue":"4","issued":{"date-parts":[["2019","5","1"]]},"page":"657-669","publisher":"Springer New York LLC","title":"Levels of Polycyclic Aromatic Hydrocarbons in the Water and Sediment of Buffalo River Estuary, South Africa and Their Health Risk Assessment","type":"article-journal","volume":"76"},"uris":["http://www.mendeley.com/documents/?uuid=5780b9a0-7395-36e3-bdc8-</w:instrText>
            </w:r>
            <w:r w:rsidRPr="003C3638">
              <w:rPr>
                <w:rFonts w:asciiTheme="majorBidi" w:eastAsia="Times New Roman" w:hAnsiTheme="majorBidi" w:cstheme="majorBidi"/>
                <w:color w:val="131413"/>
                <w:sz w:val="24"/>
                <w:szCs w:val="24"/>
              </w:rPr>
              <w:lastRenderedPageBreak/>
              <w:instrText xml:space="preserve">09a0b5662082"]},{"id":"ITEM-2","itemData":{"DOI":"10.3390/W13223295","ISSN":"2073-4441","abstract":"Polycyclic 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w:instrText>
            </w:r>
            <w:r w:rsidRPr="003C3638">
              <w:rPr>
                <w:rFonts w:asciiTheme="majorBidi" w:eastAsia="Times New Roman" w:hAnsiTheme="majorBidi" w:cstheme="majorBidi"/>
                <w:color w:val="131413"/>
                <w:sz w:val="24"/>
                <w:szCs w:val="24"/>
              </w:rPr>
              <w:lastRenderedPageBreak/>
              <w:instrText xml:space="preserve">sampled points of the studied area with BbF and BaA recording the highest mean values. The range and mean of the total PAHs (∑16PAHs) of 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w:instrText>
            </w:r>
            <w:r w:rsidRPr="003C3638">
              <w:rPr>
                <w:rFonts w:asciiTheme="majorBidi" w:eastAsia="Times New Roman" w:hAnsiTheme="majorBidi" w:cstheme="majorBidi"/>
                <w:color w:val="131413"/>
                <w:sz w:val="24"/>
                <w:szCs w:val="24"/>
              </w:rPr>
              <w:lastRenderedPageBreak/>
              <w:instrText xml:space="preserve">mg/kg) indicate toxic effects to the sediments, its resources and, ultimately, the public that consumes the resources thereof; hence, the study area 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w:instrText>
            </w:r>
            <w:r w:rsidRPr="003C3638">
              <w:rPr>
                <w:rFonts w:asciiTheme="majorBidi" w:eastAsia="Times New Roman" w:hAnsiTheme="majorBidi" w:cstheme="majorBidi"/>
                <w:color w:val="131413"/>
                <w:sz w:val="24"/>
                <w:szCs w:val="24"/>
              </w:rPr>
              <w:lastRenderedPageBreak/>
              <w:instrText xml:space="preserve">23.26 mgTEQ/kg dw and 4.47 to 23.52 mgMEQ/kg dw, and the total mean toxic equivalency quotient (∑TEQ) (15.12 ± 8.4 mg/kg) is also 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w:instrText>
            </w:r>
            <w:r w:rsidRPr="003C3638">
              <w:rPr>
                <w:rFonts w:asciiTheme="majorBidi" w:eastAsia="Times New Roman" w:hAnsiTheme="majorBidi" w:cstheme="majorBidi"/>
                <w:color w:val="131413"/>
                <w:sz w:val="24"/>
                <w:szCs w:val="24"/>
              </w:rPr>
              <w:lastRenderedPageBreak/>
              <w:instrText xml:space="preserve">stoppage of the activities of these illegal artisans who do not have control mechanisms for loss control at the site and carry out appropriate clean-up 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w:instrText>
            </w:r>
            <w:r w:rsidRPr="003C3638">
              <w:rPr>
                <w:rFonts w:asciiTheme="majorBidi" w:eastAsia="Times New Roman" w:hAnsiTheme="majorBidi" w:cstheme="majorBidi"/>
                <w:color w:val="131413"/>
                <w:sz w:val="24"/>
                <w:szCs w:val="24"/>
              </w:rPr>
              <w:lastRenderedPageBreak/>
              <w:instrText>Vol. 13, Page 3295","id":"ITEM-2","issue":"22","issued":{"date-parts":[["2021","11","21"]]},"page":"3295","publisher":"Multidisciplinary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w:instrText>
            </w:r>
            <w:r w:rsidRPr="003C3638">
              <w:rPr>
                <w:rFonts w:asciiTheme="majorBidi" w:eastAsia="Times New Roman" w:hAnsiTheme="majorBidi" w:cstheme="majorBidi"/>
                <w:color w:val="131413"/>
                <w:sz w:val="24"/>
                <w:szCs w:val="24"/>
              </w:rPr>
              <w:lastRenderedPageBreak/>
              <w:instrText xml:space="preserve">3","itemData":{"DOI":"10.1016/J.SCITOTENV.2016.05.183","ISSN":"0048-9697","PMID":"27265739","abstract":"The concentration, 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w:instrText>
            </w:r>
            <w:r w:rsidRPr="003C3638">
              <w:rPr>
                <w:rFonts w:asciiTheme="majorBidi" w:eastAsia="Times New Roman" w:hAnsiTheme="majorBidi" w:cstheme="majorBidi"/>
                <w:color w:val="131413"/>
                <w:sz w:val="24"/>
                <w:szCs w:val="24"/>
              </w:rPr>
              <w:lastRenderedPageBreak/>
              <w:instrText xml:space="preserve">DP and SPM) and in sediment samples, respectively. The compositions of PAHs showed that 2- to 4-ring PAHs were abundant in DP, 4- to 6-ring 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w:instrText>
            </w:r>
            <w:r w:rsidRPr="003C3638">
              <w:rPr>
                <w:rFonts w:asciiTheme="majorBidi" w:eastAsia="Times New Roman" w:hAnsiTheme="majorBidi" w:cstheme="majorBidi"/>
                <w:color w:val="131413"/>
                <w:sz w:val="24"/>
                <w:szCs w:val="24"/>
              </w:rPr>
              <w:lastRenderedPageBreak/>
              <w:instrText>Sea.","author":[{"dropping-particle":"","family":"Montuori","given":"Paolo","non-dropping-particle":"","parse-names":false,"suffix":""},{"dropping-particle":"","family":"Aurino","given":"Sara","non-dropping-particle":"","parse-names":false,"suffix":""},{"dropping-particle":"","family":"Garzonio","given":"Fatima","non-dropping-particle":"","parse-names":false,"suffix":""},{"dropping-particle":"","family":"Sarnacchiaro","given":"Pasquale","non-dropping-particle":"","parse-names":false,"suffix":""},{"dropping-particle":"","family":"Nardone</w:instrText>
            </w:r>
            <w:r w:rsidRPr="003C3638">
              <w:rPr>
                <w:rFonts w:asciiTheme="majorBidi" w:eastAsia="Times New Roman" w:hAnsiTheme="majorBidi" w:cstheme="majorBidi"/>
                <w:color w:val="131413"/>
                <w:sz w:val="24"/>
                <w:szCs w:val="24"/>
              </w:rPr>
              <w:lastRenderedPageBreak/>
              <w:instrText>","given":"Antonio","non-dropping-particle":"","parse-names":false,"suffix":""},{"dropping-particle":"","family":"Triassi","given":"Maria","non-dropping-particle":"","parse-names":false,"suffix":""}],"container-title":"Science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w:instrText>
            </w:r>
            <w:r w:rsidRPr="003C3638">
              <w:rPr>
                <w:rFonts w:asciiTheme="majorBidi" w:eastAsia="Times New Roman" w:hAnsiTheme="majorBidi" w:cstheme="majorBidi"/>
                <w:color w:val="131413"/>
                <w:sz w:val="24"/>
                <w:szCs w:val="24"/>
              </w:rPr>
              <w:lastRenderedPageBreak/>
              <w:instrText xml:space="preserve">journal","volume":"566-567"},"uris":["http://www.mendeley.com/documents/?uuid=acbc24a7-de02-3377-b5b1-13c61a059420"]},{"id":"ITEM-4","itemData":{"DOI":"10.1007/S11368-021-02968-1/TABLES/6","ISSN":"16147480","abstract":"Purpose: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w:instrText>
            </w:r>
            <w:r w:rsidRPr="003C3638">
              <w:rPr>
                <w:rFonts w:asciiTheme="majorBidi" w:eastAsia="Times New Roman" w:hAnsiTheme="majorBidi" w:cstheme="majorBidi"/>
                <w:color w:val="131413"/>
                <w:sz w:val="24"/>
                <w:szCs w:val="24"/>
              </w:rPr>
              <w:lastRenderedPageBreak/>
              <w:instrText xml:space="preserve">from 46 points located in the Rożnów reservoir (Poland). The sediment organic matter (SOM) characteristics included total carbon (TC), total organic 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w:instrText>
            </w:r>
            <w:r w:rsidRPr="003C3638">
              <w:rPr>
                <w:rFonts w:asciiTheme="majorBidi" w:eastAsia="Times New Roman" w:hAnsiTheme="majorBidi" w:cstheme="majorBidi"/>
                <w:color w:val="131413"/>
                <w:sz w:val="24"/>
                <w:szCs w:val="24"/>
              </w:rPr>
              <w:lastRenderedPageBreak/>
              <w:instrText xml:space="preserve">carbon) &gt; Cha (humic acid) &gt; DOC (dissolved organic carbon). The mean ∑16PAHs (μg kg−1) concentration was 1755.2 ± 724 (total) and 256 ± 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w:instrText>
            </w:r>
            <w:r w:rsidRPr="003C3638">
              <w:rPr>
                <w:rFonts w:asciiTheme="majorBidi" w:eastAsia="Times New Roman" w:hAnsiTheme="majorBidi" w:cstheme="majorBidi"/>
                <w:color w:val="131413"/>
                <w:sz w:val="24"/>
                <w:szCs w:val="24"/>
              </w:rPr>
              <w:lastRenderedPageBreak/>
              <w:instrText>factor in the distribution of PAHs in the sediments.","author":[{"dropping-particle":"","family":"Baran","given":"Agnieszka","non-dropping-particle":"","parse-names":false,"suffix":""},{"dropping-particle":"","family":"Klimkowicz-Pawlas","given":"Agnieszka","non-dropping-particle":"","parse-names":false,"suffix":""},{"dropping-particle":"","family":"Ukalska-Jaruga","given":"Aleksandra","non-dropping-particle":"","parse-names":false,"suffix":""},{"dr</w:instrText>
            </w:r>
            <w:r w:rsidRPr="003C3638">
              <w:rPr>
                <w:rFonts w:asciiTheme="majorBidi" w:eastAsia="Times New Roman" w:hAnsiTheme="majorBidi" w:cstheme="majorBidi"/>
                <w:color w:val="131413"/>
                <w:sz w:val="24"/>
                <w:szCs w:val="24"/>
              </w:rPr>
              <w:lastRenderedPageBreak/>
              <w:instrText>opping-particle":"","family":"Mierzwa-Hersztek","given":"Monika","non-dropping-particle":"","parse-names":false,"suffix":""},{"dropping-particle":"","family":"Gondek","given":"Krzysztof","non-dropping-particle":"","parse-names":false,"suffix":""},{"dropping-particle":"","family":"Szara-Bąk","given":"Magdalena","non-dropping-particle":"","parse-names":false,"suffix":""},{"dropping-particle":"","family":"Tarnawski","given":"Marek","non-dropping-particle":"","parse-</w:instrText>
            </w:r>
            <w:r w:rsidRPr="003C3638">
              <w:rPr>
                <w:rFonts w:asciiTheme="majorBidi" w:eastAsia="Times New Roman" w:hAnsiTheme="majorBidi" w:cstheme="majorBidi"/>
                <w:color w:val="131413"/>
                <w:sz w:val="24"/>
                <w:szCs w:val="24"/>
              </w:rPr>
              <w:lastRenderedPageBreak/>
              <w:instrText>names":false,"suffix":""},{"dropping-particle":"","family":"Spałek","given":"Iwona","non-dropping-particle":"","parse-names":false,"suffix":""}],"container-title":"Journal of Soils and Sediments","id":"ITEM-4","issue":"6","issued":{"date-parts":[["2021","6","1"]]},"page":"2418-2431","publisher":"Springer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w:instrText>
            </w:r>
            <w:r w:rsidRPr="003C3638">
              <w:rPr>
                <w:rFonts w:asciiTheme="majorBidi" w:eastAsia="Times New Roman" w:hAnsiTheme="majorBidi" w:cstheme="majorBidi"/>
                <w:color w:val="131413"/>
                <w:sz w:val="24"/>
                <w:szCs w:val="24"/>
              </w:rPr>
              <w:lastRenderedPageBreak/>
              <w:instrText>":["http://www.mendeley.com/documents/?uuid=8224bc48-1b49-3c80-9c45-40bfe6140be0"]}],"mendeley":{"formattedCitation":"(Adeniji et al., 2019b; Baran et al., 2021; Howard et al., 2021; Montuori et al., 2016)","manualFormatting":"(Adeniji et al.. 2019b; Baran et al.. 2021; Howard et al.. 2021; Montuori et al.. 2016)","plainTextFormattedCitation":"(Adeniji et al., 2019b; Baran et al., 2021; Howard et al., 2021; Montuori et al., 2016)","previouslyFormattedCitation":"(Adeniji et al., 2019b; Baran et al., 2021; Howard et al., 2021; Montuori et al., 2016)"},"properties":{"noteIndex":0},"schema":"https://gith</w:instrText>
            </w:r>
            <w:r w:rsidRPr="003C3638">
              <w:rPr>
                <w:rFonts w:asciiTheme="majorBidi" w:eastAsia="Times New Roman" w:hAnsiTheme="majorBidi" w:cstheme="majorBidi"/>
                <w:color w:val="131413"/>
                <w:sz w:val="24"/>
                <w:szCs w:val="24"/>
              </w:rPr>
              <w:lastRenderedPageBreak/>
              <w:instrText>ub.com/citation-style-language/schema/raw/master/csl-citation.json"}</w:instrText>
            </w:r>
            <w:r w:rsidRPr="003C3638">
              <w:rPr>
                <w:rFonts w:asciiTheme="majorBidi" w:eastAsia="Times New Roman" w:hAnsiTheme="majorBidi" w:cstheme="majorBidi"/>
                <w:color w:val="131413"/>
                <w:sz w:val="24"/>
                <w:szCs w:val="24"/>
              </w:rPr>
              <w:fldChar w:fldCharType="separate"/>
            </w:r>
            <w:r w:rsidR="002311E7" w:rsidRPr="003C3638">
              <w:rPr>
                <w:rFonts w:asciiTheme="majorBidi" w:eastAsia="Times New Roman" w:hAnsiTheme="majorBidi" w:cstheme="majorBidi"/>
                <w:noProof/>
                <w:color w:val="131413"/>
                <w:sz w:val="24"/>
                <w:szCs w:val="24"/>
              </w:rPr>
              <w:t>(Adeniji et al.,</w:t>
            </w:r>
            <w:r w:rsidR="00D74770" w:rsidRPr="003C3638">
              <w:rPr>
                <w:rFonts w:asciiTheme="majorBidi" w:eastAsia="Times New Roman" w:hAnsiTheme="majorBidi" w:cstheme="majorBidi"/>
                <w:noProof/>
                <w:color w:val="131413"/>
                <w:sz w:val="24"/>
                <w:szCs w:val="24"/>
              </w:rPr>
              <w:t xml:space="preserve"> 2019; Baran et al.,</w:t>
            </w:r>
            <w:r w:rsidR="00C04FD7" w:rsidRPr="003C3638">
              <w:rPr>
                <w:rFonts w:asciiTheme="majorBidi" w:eastAsia="Times New Roman" w:hAnsiTheme="majorBidi" w:cstheme="majorBidi"/>
                <w:noProof/>
                <w:color w:val="131413"/>
                <w:sz w:val="24"/>
                <w:szCs w:val="24"/>
              </w:rPr>
              <w:t xml:space="preserve"> 2021</w:t>
            </w:r>
            <w:r w:rsidR="00D74770" w:rsidRPr="003C3638">
              <w:rPr>
                <w:rFonts w:asciiTheme="majorBidi" w:eastAsia="Times New Roman" w:hAnsiTheme="majorBidi" w:cstheme="majorBidi"/>
                <w:noProof/>
                <w:color w:val="131413"/>
                <w:sz w:val="24"/>
                <w:szCs w:val="24"/>
              </w:rPr>
              <w:t>; Montuori et al.,</w:t>
            </w:r>
            <w:r w:rsidRPr="003C3638">
              <w:rPr>
                <w:rFonts w:asciiTheme="majorBidi" w:eastAsia="Times New Roman" w:hAnsiTheme="majorBidi" w:cstheme="majorBidi"/>
                <w:noProof/>
                <w:color w:val="131413"/>
                <w:sz w:val="24"/>
                <w:szCs w:val="24"/>
              </w:rPr>
              <w:t xml:space="preserve"> 2016)</w:t>
            </w:r>
            <w:r w:rsidRPr="003C3638">
              <w:rPr>
                <w:rFonts w:asciiTheme="majorBidi" w:eastAsia="Times New Roman" w:hAnsiTheme="majorBidi" w:cstheme="majorBidi"/>
                <w:color w:val="131413"/>
                <w:sz w:val="24"/>
                <w:szCs w:val="24"/>
              </w:rPr>
              <w:fldChar w:fldCharType="end"/>
            </w:r>
          </w:p>
        </w:tc>
      </w:tr>
      <w:tr w:rsidR="00486478" w:rsidRPr="00AE3143" w14:paraId="7CB2588C" w14:textId="77777777" w:rsidTr="003C3638">
        <w:tc>
          <w:tcPr>
            <w:tcW w:w="2087" w:type="dxa"/>
            <w:vMerge/>
            <w:shd w:val="clear" w:color="auto" w:fill="auto"/>
          </w:tcPr>
          <w:p w14:paraId="6C6F8612"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vAlign w:val="center"/>
          </w:tcPr>
          <w:p w14:paraId="0D7753DB"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0.2-0.5</w:t>
            </w:r>
          </w:p>
        </w:tc>
        <w:tc>
          <w:tcPr>
            <w:tcW w:w="4533" w:type="dxa"/>
            <w:shd w:val="clear" w:color="auto" w:fill="auto"/>
            <w:vAlign w:val="center"/>
          </w:tcPr>
          <w:p w14:paraId="35D8C104"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Pyrolytic (burning of liquid fossil fuels and crude oil. vehicles)</w:t>
            </w:r>
          </w:p>
        </w:tc>
        <w:tc>
          <w:tcPr>
            <w:tcW w:w="2607" w:type="dxa"/>
            <w:vMerge/>
            <w:shd w:val="clear" w:color="auto" w:fill="auto"/>
          </w:tcPr>
          <w:p w14:paraId="577182BB"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uto"/>
          </w:tcPr>
          <w:p w14:paraId="38B11654"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4A3B298E" w14:textId="77777777" w:rsidTr="003C3638">
        <w:tc>
          <w:tcPr>
            <w:tcW w:w="2087" w:type="dxa"/>
            <w:vMerge/>
            <w:shd w:val="clear" w:color="auto" w:fill="auto"/>
          </w:tcPr>
          <w:p w14:paraId="60FBF05D"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tcPr>
          <w:p w14:paraId="3C410337"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&gt;0.5</w:t>
            </w:r>
          </w:p>
        </w:tc>
        <w:tc>
          <w:tcPr>
            <w:tcW w:w="4533" w:type="dxa"/>
            <w:shd w:val="clear" w:color="auto" w:fill="auto"/>
            <w:vAlign w:val="center"/>
          </w:tcPr>
          <w:p w14:paraId="2525303F"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shd w:val="clear" w:color="auto" w:fill="auto"/>
          </w:tcPr>
          <w:p w14:paraId="1EB89D82"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uto"/>
          </w:tcPr>
          <w:p w14:paraId="2B7F35AE"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581D2B51" w14:textId="77777777" w:rsidTr="003C3638">
        <w:tc>
          <w:tcPr>
            <w:tcW w:w="2087" w:type="dxa"/>
            <w:vMerge w:val="restart"/>
            <w:shd w:val="clear" w:color="auto" w:fill="auto"/>
          </w:tcPr>
          <w:p w14:paraId="5AB60227"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3C3638">
              <w:rPr>
                <w:rFonts w:asciiTheme="majorBidi" w:eastAsia="Times New Roman" w:hAnsiTheme="majorBidi" w:cstheme="majorBidi"/>
                <w:color w:val="000000"/>
                <w:sz w:val="24"/>
                <w:szCs w:val="24"/>
              </w:rPr>
              <w:lastRenderedPageBreak/>
              <w:t>BaA</w:t>
            </w:r>
            <w:proofErr w:type="spellEnd"/>
            <w:r w:rsidRPr="003C3638">
              <w:rPr>
                <w:rFonts w:asciiTheme="majorBidi" w:eastAsia="Times New Roman" w:hAnsiTheme="majorBidi" w:cstheme="majorBidi"/>
                <w:color w:val="000000"/>
                <w:sz w:val="24"/>
                <w:szCs w:val="24"/>
              </w:rPr>
              <w:t>/(</w:t>
            </w:r>
            <w:proofErr w:type="spellStart"/>
            <w:r w:rsidRPr="003C3638">
              <w:rPr>
                <w:rFonts w:asciiTheme="majorBidi" w:eastAsia="Times New Roman" w:hAnsiTheme="majorBidi" w:cstheme="majorBidi"/>
                <w:color w:val="000000"/>
                <w:sz w:val="24"/>
                <w:szCs w:val="24"/>
              </w:rPr>
              <w:t>BaA+Chr</w:t>
            </w:r>
            <w:proofErr w:type="spellEnd"/>
            <w:r w:rsidRPr="003C3638">
              <w:rPr>
                <w:rFonts w:asciiTheme="majorBidi" w:eastAsia="Times New Roman" w:hAnsiTheme="majorBidi" w:cstheme="majorBidi"/>
                <w:color w:val="000000"/>
                <w:sz w:val="24"/>
                <w:szCs w:val="24"/>
              </w:rPr>
              <w:t>)</w:t>
            </w:r>
          </w:p>
        </w:tc>
        <w:tc>
          <w:tcPr>
            <w:tcW w:w="1346" w:type="dxa"/>
            <w:shd w:val="clear" w:color="auto" w:fill="auto"/>
          </w:tcPr>
          <w:p w14:paraId="137D7CA5"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&lt;0.2</w:t>
            </w:r>
          </w:p>
        </w:tc>
        <w:tc>
          <w:tcPr>
            <w:tcW w:w="4533" w:type="dxa"/>
            <w:shd w:val="clear" w:color="auto" w:fill="auto"/>
            <w:vAlign w:val="center"/>
          </w:tcPr>
          <w:p w14:paraId="50237DB0"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Petrogenic inputs (liquid fuel discharges)</w:t>
            </w:r>
          </w:p>
        </w:tc>
        <w:tc>
          <w:tcPr>
            <w:tcW w:w="2607" w:type="dxa"/>
            <w:vMerge w:val="restart"/>
            <w:shd w:val="clear" w:color="auto" w:fill="auto"/>
          </w:tcPr>
          <w:p w14:paraId="7C99A82B"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Winter = 0.39 &gt; 0.35</w:t>
            </w:r>
          </w:p>
          <w:p w14:paraId="2DD574A8"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Spring = 0.51 &gt; 0.35</w:t>
            </w:r>
          </w:p>
          <w:p w14:paraId="70E90E65" w14:textId="77777777" w:rsidR="00486478" w:rsidRPr="003C3638" w:rsidRDefault="00486478" w:rsidP="00AE3143">
            <w:pPr>
              <w:tabs>
                <w:tab w:val="left" w:pos="6390"/>
              </w:tabs>
              <w:spacing w:line="360" w:lineRule="auto"/>
              <w:jc w:val="both"/>
              <w:rPr>
                <w:rFonts w:asciiTheme="majorBidi" w:hAnsiTheme="majorBidi" w:cstheme="majorBidi"/>
                <w:sz w:val="24"/>
                <w:szCs w:val="24"/>
              </w:rPr>
            </w:pPr>
            <w:r w:rsidRPr="003C3638">
              <w:rPr>
                <w:rFonts w:asciiTheme="majorBidi" w:hAnsiTheme="majorBidi" w:cstheme="majorBidi"/>
                <w:sz w:val="24"/>
                <w:szCs w:val="24"/>
              </w:rPr>
              <w:t>Summer</w:t>
            </w:r>
            <w:r w:rsidR="00E454B0" w:rsidRPr="003C3638">
              <w:rPr>
                <w:rFonts w:asciiTheme="majorBidi" w:hAnsiTheme="majorBidi" w:cstheme="majorBidi"/>
                <w:sz w:val="24"/>
                <w:szCs w:val="24"/>
              </w:rPr>
              <w:t>=</w:t>
            </w:r>
            <w:r w:rsidRPr="003C3638">
              <w:rPr>
                <w:rFonts w:asciiTheme="majorBidi" w:hAnsiTheme="majorBidi" w:cstheme="majorBidi"/>
                <w:sz w:val="24"/>
                <w:szCs w:val="24"/>
              </w:rPr>
              <w:t>0.28 (0.2-0.35)</w:t>
            </w:r>
          </w:p>
          <w:p w14:paraId="37DA2FD4"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Autumn = 0.55 &gt; 0.35</w:t>
            </w:r>
          </w:p>
          <w:p w14:paraId="4869AAA9"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hAnsiTheme="majorBidi" w:cstheme="majorBidi"/>
                <w:sz w:val="24"/>
                <w:szCs w:val="24"/>
              </w:rPr>
              <w:t xml:space="preserve"> </w:t>
            </w:r>
          </w:p>
        </w:tc>
        <w:tc>
          <w:tcPr>
            <w:tcW w:w="3192" w:type="dxa"/>
            <w:vMerge w:val="restart"/>
            <w:shd w:val="clear" w:color="auto" w:fill="auto"/>
          </w:tcPr>
          <w:p w14:paraId="18C4FCA6" w14:textId="77777777" w:rsidR="00486478" w:rsidRPr="003C3638"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r w:rsidRPr="003C3638">
              <w:rPr>
                <w:rFonts w:asciiTheme="majorBidi" w:eastAsia="Times New Roman" w:hAnsiTheme="majorBidi" w:cstheme="majorBidi"/>
                <w:color w:val="131413"/>
                <w:sz w:val="24"/>
                <w:szCs w:val="24"/>
              </w:rPr>
              <w:fldChar w:fldCharType="begin" w:fldLock="1"/>
            </w:r>
            <w:r w:rsidRPr="003C3638">
              <w:rPr>
                <w:rFonts w:asciiTheme="majorBidi" w:eastAsia="Times New Roman" w:hAnsiTheme="majorBidi" w:cstheme="majorBidi"/>
                <w:color w:val="131413"/>
                <w:sz w:val="24"/>
                <w:szCs w:val="24"/>
              </w:rPr>
              <w:instrText xml:space="preserve">ADDIN CSL_CITATION {"citationItems":[{"id":"ITEM-1","itemData":{"DOI":"10.1007/S00244-019-00617-W/TABLES/5","ISSN":"14320703","PMID":"30879120","abstract":"The incidence and spatial distribution of polycyclic aromatic hydrocarbons (PAHs) in the Buffalo River Estuary in the Eastern Cape Province of South Africa were assessed in this study. A total of 60 surface water and 19 sediment samples were collected from 5 sites of the estuary over a period of 6 months (December 2015 to </w:instrText>
            </w:r>
            <w:r w:rsidRPr="003C3638">
              <w:rPr>
                <w:rFonts w:asciiTheme="majorBidi" w:eastAsia="Times New Roman" w:hAnsiTheme="majorBidi" w:cstheme="majorBidi"/>
                <w:color w:val="131413"/>
                <w:sz w:val="24"/>
                <w:szCs w:val="24"/>
              </w:rPr>
              <w:lastRenderedPageBreak/>
              <w:instrText xml:space="preserve">May 2016). Extraction of PAHs from the water and sediment samples was achieved by using liquid–liquid and soxhlet extraction methods respectively, followed by column clean up with silica gel and quantification by gas chromatography–flame ionization detection. Individual PAH levels in the water and sediment samples ranged from not detected (ND) to 24.91 μg/L and ND to 7792 μg/kg, respectively. Total concentrations of the PAHs in the water and sediment samples varied as 14.91–206 μg/L and 1107–22,310 μg/kg in that order. Total levels of the contaminants were above the </w:instrText>
            </w:r>
            <w:r w:rsidRPr="003C3638">
              <w:rPr>
                <w:rFonts w:asciiTheme="majorBidi" w:eastAsia="Times New Roman" w:hAnsiTheme="majorBidi" w:cstheme="majorBidi"/>
                <w:color w:val="131413"/>
                <w:sz w:val="24"/>
                <w:szCs w:val="24"/>
              </w:rPr>
              <w:lastRenderedPageBreak/>
              <w:instrText xml:space="preserve">target values in the two matrices and were higher in summer than autumn. Although the noncarcinogenic risk of PAHs estimated in the water column through dermal absorption was very low compared with the target value, the carcinogenic risk determined was high for both adults and children. Similarly, benzo(a)pyrene and dibenzo(a,h)anthracene were found to be of higher carcinogenic and mutagenic risks in the sediments collected from the study area. Diagnostic ratios suggest that the target hydrocarbons are predominantly from pyrolytic sources. It therefore could be inferred that the water body is </w:instrText>
            </w:r>
            <w:r w:rsidRPr="003C3638">
              <w:rPr>
                <w:rFonts w:asciiTheme="majorBidi" w:eastAsia="Times New Roman" w:hAnsiTheme="majorBidi" w:cstheme="majorBidi"/>
                <w:color w:val="131413"/>
                <w:sz w:val="24"/>
                <w:szCs w:val="24"/>
              </w:rPr>
              <w:lastRenderedPageBreak/>
              <w:instrText xml:space="preserve">conspicuously polluted; hence, efforts should be made to control all the activities contributing to such magnitude of pollution at the sites.","author":[{"dropping-particle":"","family":"Adeniji","given":"A. O.","non-dropping-particle":"","parse-names":false,"suffix":""},{"dropping-particle":"","family":"Okoh","given":"O. O.","non-dropping-particle":"","parse-names":false,"suffix":""},{"dropping-particle":"","family":"Okoh","given":"A. I.","non-dropping-particle":"","parse-names":false,"suffix":""}],"container-title":"Archives of Environmental Contamination </w:instrText>
            </w:r>
            <w:r w:rsidRPr="003C3638">
              <w:rPr>
                <w:rFonts w:asciiTheme="majorBidi" w:eastAsia="Times New Roman" w:hAnsiTheme="majorBidi" w:cstheme="majorBidi"/>
                <w:color w:val="131413"/>
                <w:sz w:val="24"/>
                <w:szCs w:val="24"/>
              </w:rPr>
              <w:lastRenderedPageBreak/>
              <w:instrText xml:space="preserve">and Toxicology","id":"ITEM-1","issue":"4","issued":{"date-parts":[["2019","5","1"]]},"page":"657-669","publisher":"Springer New York LLC","title":"Levels of Polycyclic Aromatic Hydrocarbons in the Water and Sediment of Buffalo River Estuary, South Africa and Their Health Risk Assessment","type":"article-journal","volume":"76"},"uris":["http://www.mendeley.com/documents/?uuid=5780b9a0-7395-36e3-bdc8-09a0b5662082"]},{"id":"ITEM-2","itemData":{"DOI":"10.3390/W13223295","ISSN":"2073-4441","abstract":"Polycyclic </w:instrText>
            </w:r>
            <w:r w:rsidRPr="003C3638">
              <w:rPr>
                <w:rFonts w:asciiTheme="majorBidi" w:eastAsia="Times New Roman" w:hAnsiTheme="majorBidi" w:cstheme="majorBidi"/>
                <w:color w:val="131413"/>
                <w:sz w:val="24"/>
                <w:szCs w:val="24"/>
              </w:rPr>
              <w:lastRenderedPageBreak/>
              <w:instrText xml:space="preserve">aromatic hydrocarbons (PAHs) are ubiquitous environmental pollutants that possess serious risks to human health and the environment. Forty riverbed sediments samples were collected in mangrove river bed sediments where artisanal refining of crude oil takes place in the Niger Delta of Nigeria. The concentration, occurrence, distribution, toxicity and health risk of sixteen priority PAHs (16PAHs) were analysed in the samples. Apart from Nap, Acy, BkF, InP and DbE, all the other PAHs were present in all the sampled points of the studied area with BbF and BaA recording the highest mean values. The range and mean of the total PAHs (∑16PAHs) of </w:instrText>
            </w:r>
            <w:r w:rsidRPr="003C3638">
              <w:rPr>
                <w:rFonts w:asciiTheme="majorBidi" w:eastAsia="Times New Roman" w:hAnsiTheme="majorBidi" w:cstheme="majorBidi"/>
                <w:color w:val="131413"/>
                <w:sz w:val="24"/>
                <w:szCs w:val="24"/>
              </w:rPr>
              <w:lastRenderedPageBreak/>
              <w:instrText xml:space="preserve">this study are 23.461–89.886 mg/kg and 42.607 ± 14.30 mg/kg dry weight (dw), which is classified as heavily contaminated when compared to the European classification of PAHs pollution in soil (&amp;gt;1.0 mg/kg). The range of the effect range factors used to assess the risk of PAHs in an ecosystem (Effect rang-low (ER-L) and Effect range-median ER-M) of this study is from 0.953 to 8.80 mg/kg. PAHs below ER-L (4.0 mg/kg) indicate no toxic effect, but values above ER-M (44.79 mg/kg) indicate toxic effects to the sediments, its resources and, ultimately, the public that consumes the resources thereof; hence, the study area </w:instrText>
            </w:r>
            <w:r w:rsidRPr="003C3638">
              <w:rPr>
                <w:rFonts w:asciiTheme="majorBidi" w:eastAsia="Times New Roman" w:hAnsiTheme="majorBidi" w:cstheme="majorBidi"/>
                <w:color w:val="131413"/>
                <w:sz w:val="24"/>
                <w:szCs w:val="24"/>
              </w:rPr>
              <w:lastRenderedPageBreak/>
              <w:instrText xml:space="preserve">falls within the contaminated category. The occurrence of the high molecular weight (HMW) PAHs (73.4%) supersedes those of the lower molecular weight (LMW) PAHs (26.6%). The diagnostic ratios and principal component analysis suggest that the main contributors of PAHS into the sediments are the combustion of biomass, fossil fuel (crude oil) and pyrogenic sources. The toxic equivalent quotient (TEQ) and mutagenic equivalent quotient (MEQ) of PAHs ranged from 2.96 to 23.26 mgTEQ/kg dw and 4.47 to 23.52 mgMEQ/kg dw, and the total mean toxic equivalency quotient (∑TEQ) (15.12 ± 8.4 mg/kg) is also </w:instrText>
            </w:r>
            <w:r w:rsidRPr="003C3638">
              <w:rPr>
                <w:rFonts w:asciiTheme="majorBidi" w:eastAsia="Times New Roman" w:hAnsiTheme="majorBidi" w:cstheme="majorBidi"/>
                <w:color w:val="131413"/>
                <w:sz w:val="24"/>
                <w:szCs w:val="24"/>
              </w:rPr>
              <w:lastRenderedPageBreak/>
              <w:instrText xml:space="preserve">greater than the safe level of 0.6 mg/kg, which indicates high toxicity potency. The mean incremental lifetime cancer risks (ILCRs) of human exposure to PAHs shows that both adults TotalILCR adults (6.15 × 10−5) and children TotalILCR children (2.48 × 10−4) can be affected by dermal contact rather than ingestion and inhalation. Based on these findings, the appropriate regulatory bodies and other organs of government in the region should enforce outright stoppage of the activities of these illegal artisans who do not have control mechanisms for loss control at the site and carry out appropriate clean-up </w:instrText>
            </w:r>
            <w:r w:rsidRPr="003C3638">
              <w:rPr>
                <w:rFonts w:asciiTheme="majorBidi" w:eastAsia="Times New Roman" w:hAnsiTheme="majorBidi" w:cstheme="majorBidi"/>
                <w:color w:val="131413"/>
                <w:sz w:val="24"/>
                <w:szCs w:val="24"/>
              </w:rPr>
              <w:lastRenderedPageBreak/>
              <w:instrText>of the…","author":[{"dropping-particle":"","family":"Howard","given":"Ibigoni C.","non-dropping-particle":"","parse-names":false,"suffix":""},{"dropping-particle":"","family":"Okpara","given":"Kingsley E.","non-dropping-particle":"","parse-names":false,"suffix":""},{"dropping-particle":"","family":"Techato","given":"Kuaanan","non-dropping-particle":"","parse-names":false,"suffix":""}],"container-title":"Water 2021, Vol. 13, Page 3295","id":"ITEM-2","issue":"22","issued":{"date-parts":[["2021","11","21"]]},"</w:instrText>
            </w:r>
            <w:r w:rsidRPr="003C3638">
              <w:rPr>
                <w:rFonts w:asciiTheme="majorBidi" w:eastAsia="Times New Roman" w:hAnsiTheme="majorBidi" w:cstheme="majorBidi"/>
                <w:color w:val="131413"/>
                <w:sz w:val="24"/>
                <w:szCs w:val="24"/>
              </w:rPr>
              <w:lastRenderedPageBreak/>
              <w:instrText xml:space="preserve">page":"3295","publisher":"Multidisciplinary Digital Publishing Institute","title":"Toxicity and Risks Assessment of Polycyclic Aromatic Hydrocarbons in River Bed Sediments of an Artisanal Crude Oil Refining Area in the Niger Delta, Nigeria","type":"article-journal","volume":"13"},"uris":["http://www.mendeley.com/documents/?uuid=72f0255f-a058-3f31-8b1a-0f6aaa2bc073"]},{"id":"ITEM-3","itemData":{"DOI":"10.1016/J.SCITOTENV.2016.05.183","ISSN":"0048-9697","PMID":"27265739","abstract":"The concentration, </w:instrText>
            </w:r>
            <w:r w:rsidRPr="003C3638">
              <w:rPr>
                <w:rFonts w:asciiTheme="majorBidi" w:eastAsia="Times New Roman" w:hAnsiTheme="majorBidi" w:cstheme="majorBidi"/>
                <w:color w:val="131413"/>
                <w:sz w:val="24"/>
                <w:szCs w:val="24"/>
              </w:rPr>
              <w:lastRenderedPageBreak/>
              <w:instrText xml:space="preserve">source and ecological risk of polycyclic aromatic hydrocarbons (PAHs) in the Tiber River and its environmental impact on the Tyrrhenian Sea (Central Mediterranean Sea) were estimated. The 16 priority PAHs were determined in the water dissolved phase (DP), suspended particulate matter (SPM) and sediments collected from 21 sites in four different seasons. Total concentrations of PAHs ranged from 10.3 to 951.6 ng L− 1 and from 36.2 to 545.6 ng g− 1 in water (sum of DP and SPM) and in sediment samples, respectively. The compositions of PAHs showed that 2- to 4-ring PAHs were abundant in DP, 4- to 6-ring </w:instrText>
            </w:r>
            <w:r w:rsidRPr="003C3638">
              <w:rPr>
                <w:rFonts w:asciiTheme="majorBidi" w:eastAsia="Times New Roman" w:hAnsiTheme="majorBidi" w:cstheme="majorBidi"/>
                <w:color w:val="131413"/>
                <w:sz w:val="24"/>
                <w:szCs w:val="24"/>
              </w:rPr>
              <w:lastRenderedPageBreak/>
              <w:instrText>PAHs were predominant in SPM samples, and 4- to 5-ring PAHs were abundant in sediments. The diagnostic ratio analysis indicated that the PAHs mainly had a pyrolytic source. The toxic equivalent concentration of carcinogenic PAHs was 45.3 ngTEQ g− 1, suggesting low carcinogenic risk for Tiber River. Total PAHs loads into the sea were calculated in about 3161.7 kg year− 1 showing that this river is one of the main contribution sources of these contaminants to the Tyrrhenian Sea.","author":[{"dropping-particle":"","family":"Montuori","given":"Paolo","non-dropping-particle":"","parse-names":false,"suffix":""},{"dr</w:instrText>
            </w:r>
            <w:r w:rsidRPr="003C3638">
              <w:rPr>
                <w:rFonts w:asciiTheme="majorBidi" w:eastAsia="Times New Roman" w:hAnsiTheme="majorBidi" w:cstheme="majorBidi"/>
                <w:color w:val="131413"/>
                <w:sz w:val="24"/>
                <w:szCs w:val="24"/>
              </w:rPr>
              <w:lastRenderedPageBreak/>
              <w:instrText>opping-particle":"","family":"Aurino","given":"Sara","non-dropping-particle":"","parse-names":false,"suffix":""},{"dropping-particle":"","family":"Garzonio","given":"Fatima","non-dropping-particle":"","parse-names":false,"suffix":""},{"dropping-particle":"","family":"Sarnacchiaro","given":"Pasquale","non-dropping-particle":"","parse-names":false,"suffix":""},{"dropping-particle":"","family":"Nardone","given":"Antonio","non-dropping-particle":"","parse-names":false,"suffix":""},{"dropping-particle":"","family":"Triassi",</w:instrText>
            </w:r>
            <w:r w:rsidRPr="003C3638">
              <w:rPr>
                <w:rFonts w:asciiTheme="majorBidi" w:eastAsia="Times New Roman" w:hAnsiTheme="majorBidi" w:cstheme="majorBidi"/>
                <w:color w:val="131413"/>
                <w:sz w:val="24"/>
                <w:szCs w:val="24"/>
              </w:rPr>
              <w:lastRenderedPageBreak/>
              <w:instrText>"given":"Maria","non-dropping-particle":"","parse-names":false,"suffix":""}],"container-title":"Science of The Total Environment","id":"ITEM-3","issued":{"date-parts":[["2016","10","1"]]},"page":"1254-1267","publisher":"Elsevier","title":"Distribution, sources and ecological risk assessment of polycyclic aromatic hydrocarbons in water and sediments from Tiber River and estuary, Italy","type":"article-journal","volume":"566-567"},"uris":["http://www.mendeley.com/documents/?uuid=acbc24a7-de02-3377-b5b1-13c61a059420"]},{"id":"ITE</w:instrText>
            </w:r>
            <w:r w:rsidRPr="003C3638">
              <w:rPr>
                <w:rFonts w:asciiTheme="majorBidi" w:eastAsia="Times New Roman" w:hAnsiTheme="majorBidi" w:cstheme="majorBidi"/>
                <w:color w:val="131413"/>
                <w:sz w:val="24"/>
                <w:szCs w:val="24"/>
              </w:rPr>
              <w:lastRenderedPageBreak/>
              <w:instrText xml:space="preserve">M-4","itemData":{"DOI":"10.1007/S11368-021-02968-1/TABLES/6","ISSN":"16147480","abstract":"Purpose: The aims of the study were to investigate the interaction between fractions of organic matter and polycyclic aromatic hydrocarbons (PAHs) in bottom sediments and to use mussels as passive biomonitors and consensus-based sediment quality guidelines for ecological risk assessment in sediments. Methods: Bottom sediment samples were taken from 46 points located in the Rożnów reservoir (Poland). The sediment organic matter (SOM) characteristics included total carbon (TC), total organic </w:instrText>
            </w:r>
            <w:r w:rsidRPr="003C3638">
              <w:rPr>
                <w:rFonts w:asciiTheme="majorBidi" w:eastAsia="Times New Roman" w:hAnsiTheme="majorBidi" w:cstheme="majorBidi"/>
                <w:color w:val="131413"/>
                <w:sz w:val="24"/>
                <w:szCs w:val="24"/>
              </w:rPr>
              <w:lastRenderedPageBreak/>
              <w:instrText xml:space="preserve">carbon (TOC), humic acid carbon (Cha), fulvic acid carbon (Cfa), non-hydrolysing carbon (Cnh), and dissolved organic carbon (DOC). The extraction procedure was carried out in bottom sediments as well as in freeze-dried mussel tissue samples to directly determine the accumulation potential of PAHs to the living organisms in their natural environment. Results: The content of organic matter fractions was in the following order: Cfa (fulvic acid) &gt; Cnh (non-hydrolysing carbon) &gt; Cha (humic acid) &gt; DOC (dissolved organic carbon). The mean ∑16PAHs (μg kg−1) concentration was 1755.2 ± 724 (total) and 256 ± </w:instrText>
            </w:r>
            <w:r w:rsidRPr="003C3638">
              <w:rPr>
                <w:rFonts w:asciiTheme="majorBidi" w:eastAsia="Times New Roman" w:hAnsiTheme="majorBidi" w:cstheme="majorBidi"/>
                <w:color w:val="131413"/>
                <w:sz w:val="24"/>
                <w:szCs w:val="24"/>
              </w:rPr>
              <w:lastRenderedPageBreak/>
              <w:instrText>254 (bioavailable) in sediments and 1740 ± 72.2 in the mussel tissues. A significant positive correlation was found between the concentration of PAHs in the mussel tissues and the total and bioavailable concentration of PAHs in bottom sediments. Conclusion: The PAH concentration in bottom sediments depended on the stabile carbon forms Cnh. Principal component analysis (PCA) suggests that the fine fraction can significantly increase the bioavailability of PAHs and can be an important factor in the distribution of PAHs in the sediments.","author":[{"dropping-particle":"","family":"Baran","</w:instrText>
            </w:r>
            <w:r w:rsidRPr="003C3638">
              <w:rPr>
                <w:rFonts w:asciiTheme="majorBidi" w:eastAsia="Times New Roman" w:hAnsiTheme="majorBidi" w:cstheme="majorBidi"/>
                <w:color w:val="131413"/>
                <w:sz w:val="24"/>
                <w:szCs w:val="24"/>
              </w:rPr>
              <w:lastRenderedPageBreak/>
              <w:instrText>given":"Agnieszka","non-dropping-particle":"","parse-names":false,"suffix":""},{"dropping-particle":"","family":"Klimkowicz-Pawlas","given":"Agnieszka","non-dropping-particle":"","parse-names":false,"suffix":""},{"dropping-particle":"","family":"Ukalska-Jaruga","given":"Aleksandra","non-dropping-particle":"","parse-names":false,"suffix":""},{"dropping-particle":"","family":"Mierzwa-Hersztek","given":"Monika","non-dropping-</w:instrText>
            </w:r>
            <w:r w:rsidRPr="003C3638">
              <w:rPr>
                <w:rFonts w:asciiTheme="majorBidi" w:eastAsia="Times New Roman" w:hAnsiTheme="majorBidi" w:cstheme="majorBidi"/>
                <w:color w:val="131413"/>
                <w:sz w:val="24"/>
                <w:szCs w:val="24"/>
              </w:rPr>
              <w:lastRenderedPageBreak/>
              <w:instrText>particle":"","parse-names":false,"suffix":""},{"dropping-particle":"","family":"Gondek","given":"Krzysztof","non-dropping-particle":"","parse-names":false,"suffix":""},{"dropping-particle":"","family":"Szara-Bąk","given":"Magdalena","non-dropping-particle":"","parse-names":false,"suffix":""},{"dropping-particle":"","family":"Tarnawski","given":"Marek","non-dropping-particle":"","parse-names":false,"suffix":""},{"dropping-particle":"","family":"Spałek","given":"Iwona","non-dropping-particle":"","parse-</w:instrText>
            </w:r>
            <w:r w:rsidRPr="003C3638">
              <w:rPr>
                <w:rFonts w:asciiTheme="majorBidi" w:eastAsia="Times New Roman" w:hAnsiTheme="majorBidi" w:cstheme="majorBidi"/>
                <w:color w:val="131413"/>
                <w:sz w:val="24"/>
                <w:szCs w:val="24"/>
              </w:rPr>
              <w:lastRenderedPageBreak/>
              <w:instrText>names":false,"suffix":""}],"container-title":"Journal of Soils and Sediments","id":"ITEM-4","issue":"6","issued":{"date-parts":[["2021","6","1"]]},"page":"2418-2431","publisher":"Springer Science and Business Media Deutschland GmbH","title":"Distribution of polycyclic aromatic hydrocarbons (PAHs) in the bottom sediments of a dam reservoir, their interaction with organic matter and risk to benthic fauna","type":"article-journal","volume":"21"},"uris":["http://www.mendeley.com/documents/?uuid=8224bc48-1b49-3c80-9c45-40bfe6140be0"]}],"mendeley":{"formattedCitation":"(Adeni</w:instrText>
            </w:r>
            <w:r w:rsidRPr="003C3638">
              <w:rPr>
                <w:rFonts w:asciiTheme="majorBidi" w:eastAsia="Times New Roman" w:hAnsiTheme="majorBidi" w:cstheme="majorBidi"/>
                <w:color w:val="131413"/>
                <w:sz w:val="24"/>
                <w:szCs w:val="24"/>
              </w:rPr>
              <w:lastRenderedPageBreak/>
              <w:instrText>ji et al., 2019b; Baran et al., 2021; Howard et al., 2021; Montuori et al., 2016)","manualFormatting":"(Adeniji et al.. 2019b; Baran et al.. 2021; Howard et al.. 2021; Montuori et al.. 2016)","plainTextFormattedCitation":"(Adeniji et al., 2019b; Baran et al., 2021; Howard et al., 2021; Montuori et al., 2016)","previouslyFormattedCitation":"(Adeniji et al., 2019b; Baran et al., 2021; Howard et al., 2021; Montuori et al., 2016)"},"properties":{"noteIndex":0},"schema":"https://github.com/citation-style-language/schema/raw/master/csl-citation.json"}</w:instrText>
            </w:r>
            <w:r w:rsidRPr="003C3638">
              <w:rPr>
                <w:rFonts w:asciiTheme="majorBidi" w:eastAsia="Times New Roman" w:hAnsiTheme="majorBidi" w:cstheme="majorBidi"/>
                <w:color w:val="131413"/>
                <w:sz w:val="24"/>
                <w:szCs w:val="24"/>
              </w:rPr>
              <w:fldChar w:fldCharType="separate"/>
            </w:r>
            <w:r w:rsidR="00D74770" w:rsidRPr="003C3638">
              <w:rPr>
                <w:rFonts w:asciiTheme="majorBidi" w:eastAsia="Times New Roman" w:hAnsiTheme="majorBidi" w:cstheme="majorBidi"/>
                <w:noProof/>
                <w:color w:val="131413"/>
                <w:sz w:val="24"/>
                <w:szCs w:val="24"/>
              </w:rPr>
              <w:t>(Adeniji et al.,</w:t>
            </w:r>
            <w:r w:rsidR="000A5D59" w:rsidRPr="003C3638">
              <w:rPr>
                <w:rFonts w:asciiTheme="majorBidi" w:eastAsia="Times New Roman" w:hAnsiTheme="majorBidi" w:cstheme="majorBidi"/>
                <w:noProof/>
                <w:color w:val="131413"/>
                <w:sz w:val="24"/>
                <w:szCs w:val="24"/>
              </w:rPr>
              <w:t xml:space="preserve"> 2019</w:t>
            </w:r>
            <w:r w:rsidR="00D74770" w:rsidRPr="003C3638">
              <w:rPr>
                <w:rFonts w:asciiTheme="majorBidi" w:eastAsia="Times New Roman" w:hAnsiTheme="majorBidi" w:cstheme="majorBidi"/>
                <w:noProof/>
                <w:color w:val="131413"/>
                <w:sz w:val="24"/>
                <w:szCs w:val="24"/>
              </w:rPr>
              <w:t>; Baran et al.,</w:t>
            </w:r>
            <w:r w:rsidRPr="003C3638">
              <w:rPr>
                <w:rFonts w:asciiTheme="majorBidi" w:eastAsia="Times New Roman" w:hAnsiTheme="majorBidi" w:cstheme="majorBidi"/>
                <w:noProof/>
                <w:color w:val="131413"/>
                <w:sz w:val="24"/>
                <w:szCs w:val="24"/>
              </w:rPr>
              <w:t xml:space="preserve"> 2021; Howar</w:t>
            </w:r>
            <w:r w:rsidR="002311E7" w:rsidRPr="003C3638">
              <w:rPr>
                <w:rFonts w:asciiTheme="majorBidi" w:eastAsia="Times New Roman" w:hAnsiTheme="majorBidi" w:cstheme="majorBidi"/>
                <w:noProof/>
                <w:color w:val="131413"/>
                <w:sz w:val="24"/>
                <w:szCs w:val="24"/>
              </w:rPr>
              <w:t>d et al.,</w:t>
            </w:r>
            <w:r w:rsidR="00D74770" w:rsidRPr="003C3638">
              <w:rPr>
                <w:rFonts w:asciiTheme="majorBidi" w:eastAsia="Times New Roman" w:hAnsiTheme="majorBidi" w:cstheme="majorBidi"/>
                <w:noProof/>
                <w:color w:val="131413"/>
                <w:sz w:val="24"/>
                <w:szCs w:val="24"/>
              </w:rPr>
              <w:t xml:space="preserve"> 2021; Montuori et al.,</w:t>
            </w:r>
            <w:r w:rsidRPr="003C3638">
              <w:rPr>
                <w:rFonts w:asciiTheme="majorBidi" w:eastAsia="Times New Roman" w:hAnsiTheme="majorBidi" w:cstheme="majorBidi"/>
                <w:noProof/>
                <w:color w:val="131413"/>
                <w:sz w:val="24"/>
                <w:szCs w:val="24"/>
              </w:rPr>
              <w:t xml:space="preserve"> 2016)</w:t>
            </w:r>
            <w:r w:rsidRPr="003C3638">
              <w:rPr>
                <w:rFonts w:asciiTheme="majorBidi" w:eastAsia="Times New Roman" w:hAnsiTheme="majorBidi" w:cstheme="majorBidi"/>
                <w:color w:val="131413"/>
                <w:sz w:val="24"/>
                <w:szCs w:val="24"/>
              </w:rPr>
              <w:fldChar w:fldCharType="end"/>
            </w:r>
          </w:p>
        </w:tc>
      </w:tr>
      <w:tr w:rsidR="00486478" w:rsidRPr="00AE3143" w14:paraId="2E7DAE8B" w14:textId="77777777" w:rsidTr="003C3638">
        <w:tc>
          <w:tcPr>
            <w:tcW w:w="2087" w:type="dxa"/>
            <w:vMerge/>
            <w:shd w:val="clear" w:color="auto" w:fill="auto"/>
          </w:tcPr>
          <w:p w14:paraId="7213B969"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tcPr>
          <w:p w14:paraId="79BCDC10"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p w14:paraId="5D5359CE"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0.2-0.35</w:t>
            </w:r>
          </w:p>
        </w:tc>
        <w:tc>
          <w:tcPr>
            <w:tcW w:w="4533" w:type="dxa"/>
            <w:shd w:val="clear" w:color="auto" w:fill="auto"/>
            <w:vAlign w:val="center"/>
          </w:tcPr>
          <w:p w14:paraId="61A927C0"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Mixed sources (petrogenic / pyrogenic)</w:t>
            </w:r>
          </w:p>
        </w:tc>
        <w:tc>
          <w:tcPr>
            <w:tcW w:w="2607" w:type="dxa"/>
            <w:vMerge/>
          </w:tcPr>
          <w:p w14:paraId="3166CA84"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5B9BD5" w:themeFill="accent1"/>
          </w:tcPr>
          <w:p w14:paraId="4F73F4A8"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59C1AF97" w14:textId="77777777" w:rsidTr="003C3638">
        <w:tc>
          <w:tcPr>
            <w:tcW w:w="2087" w:type="dxa"/>
            <w:vMerge/>
            <w:shd w:val="clear" w:color="auto" w:fill="5B9BD5" w:themeFill="accent1"/>
          </w:tcPr>
          <w:p w14:paraId="269DD859"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shd w:val="clear" w:color="auto" w:fill="auto"/>
            <w:vAlign w:val="center"/>
          </w:tcPr>
          <w:p w14:paraId="10819D9C"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&gt;0.35</w:t>
            </w:r>
          </w:p>
        </w:tc>
        <w:tc>
          <w:tcPr>
            <w:tcW w:w="4533" w:type="dxa"/>
            <w:shd w:val="clear" w:color="auto" w:fill="auto"/>
            <w:vAlign w:val="center"/>
          </w:tcPr>
          <w:p w14:paraId="578823E4" w14:textId="77777777" w:rsidR="00486478" w:rsidRPr="00AE3143" w:rsidRDefault="00486478" w:rsidP="00AE3143">
            <w:pPr>
              <w:rPr>
                <w:rFonts w:asciiTheme="majorBidi" w:hAnsiTheme="majorBidi" w:cstheme="majorBidi"/>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tcPr>
          <w:p w14:paraId="1CD5C0D7"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tc>
        <w:tc>
          <w:tcPr>
            <w:tcW w:w="3192" w:type="dxa"/>
            <w:vMerge/>
            <w:shd w:val="clear" w:color="auto" w:fill="5B9BD5" w:themeFill="accent1"/>
          </w:tcPr>
          <w:p w14:paraId="4F53B7DE"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20B9CAB2" w14:textId="77777777" w:rsidTr="003C3638">
        <w:tc>
          <w:tcPr>
            <w:tcW w:w="2087" w:type="dxa"/>
            <w:vMerge w:val="restart"/>
            <w:shd w:val="clear" w:color="auto" w:fill="auto"/>
          </w:tcPr>
          <w:p w14:paraId="767A1BEE"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AE3143">
              <w:rPr>
                <w:rFonts w:asciiTheme="majorBidi" w:eastAsia="Times New Roman" w:hAnsiTheme="majorBidi" w:cstheme="majorBidi"/>
                <w:sz w:val="24"/>
                <w:szCs w:val="24"/>
              </w:rPr>
              <w:lastRenderedPageBreak/>
              <w:t>BaP</w:t>
            </w:r>
            <w:proofErr w:type="spellEnd"/>
            <w:r w:rsidRPr="00AE3143">
              <w:rPr>
                <w:rFonts w:asciiTheme="majorBidi" w:eastAsia="Times New Roman" w:hAnsiTheme="majorBidi" w:cstheme="majorBidi"/>
                <w:sz w:val="24"/>
                <w:szCs w:val="24"/>
              </w:rPr>
              <w:t>/(</w:t>
            </w:r>
            <w:proofErr w:type="spellStart"/>
            <w:r w:rsidRPr="00AE3143">
              <w:rPr>
                <w:rFonts w:asciiTheme="majorBidi" w:eastAsia="Times New Roman" w:hAnsiTheme="majorBidi" w:cstheme="majorBidi"/>
                <w:sz w:val="24"/>
                <w:szCs w:val="24"/>
              </w:rPr>
              <w:t>BaP+Chr</w:t>
            </w:r>
            <w:proofErr w:type="spellEnd"/>
            <w:r w:rsidRPr="00AE3143">
              <w:rPr>
                <w:rFonts w:asciiTheme="majorBidi" w:eastAsia="Times New Roman" w:hAnsiTheme="majorBidi" w:cstheme="majorBidi"/>
                <w:sz w:val="24"/>
                <w:szCs w:val="24"/>
              </w:rPr>
              <w:t>)</w:t>
            </w:r>
          </w:p>
        </w:tc>
        <w:tc>
          <w:tcPr>
            <w:tcW w:w="1346" w:type="dxa"/>
            <w:shd w:val="clear" w:color="auto" w:fill="auto"/>
          </w:tcPr>
          <w:p w14:paraId="458E5EC4"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&lt;0.4</w:t>
            </w:r>
          </w:p>
        </w:tc>
        <w:tc>
          <w:tcPr>
            <w:tcW w:w="4533" w:type="dxa"/>
            <w:shd w:val="clear" w:color="auto" w:fill="auto"/>
            <w:vAlign w:val="center"/>
          </w:tcPr>
          <w:p w14:paraId="01D64EDD"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Petrogenic inputs (liquid fuel discharges)</w:t>
            </w:r>
          </w:p>
        </w:tc>
        <w:tc>
          <w:tcPr>
            <w:tcW w:w="2607" w:type="dxa"/>
            <w:vMerge w:val="restart"/>
            <w:shd w:val="clear" w:color="auto" w:fill="auto"/>
          </w:tcPr>
          <w:p w14:paraId="159C169B"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 xml:space="preserve">Winter </w:t>
            </w:r>
            <w:r w:rsidR="002311E7" w:rsidRPr="00AE3143">
              <w:rPr>
                <w:rFonts w:asciiTheme="majorBidi" w:hAnsiTheme="majorBidi" w:cstheme="majorBidi"/>
                <w:sz w:val="24"/>
                <w:szCs w:val="24"/>
              </w:rPr>
              <w:t xml:space="preserve">  </w:t>
            </w:r>
            <w:r w:rsidRPr="00AE3143">
              <w:rPr>
                <w:rFonts w:asciiTheme="majorBidi" w:hAnsiTheme="majorBidi" w:cstheme="majorBidi"/>
                <w:sz w:val="24"/>
                <w:szCs w:val="24"/>
              </w:rPr>
              <w:t>= 0.39 &lt; 0.4</w:t>
            </w:r>
          </w:p>
          <w:p w14:paraId="201BF322"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lastRenderedPageBreak/>
              <w:t>Spring</w:t>
            </w:r>
            <w:r w:rsidR="002311E7" w:rsidRPr="00AE3143">
              <w:rPr>
                <w:rFonts w:asciiTheme="majorBidi" w:hAnsiTheme="majorBidi" w:cstheme="majorBidi"/>
                <w:sz w:val="24"/>
                <w:szCs w:val="24"/>
              </w:rPr>
              <w:t xml:space="preserve">   </w:t>
            </w:r>
            <w:r w:rsidRPr="00AE3143">
              <w:rPr>
                <w:rFonts w:asciiTheme="majorBidi" w:hAnsiTheme="majorBidi" w:cstheme="majorBidi"/>
                <w:sz w:val="24"/>
                <w:szCs w:val="24"/>
              </w:rPr>
              <w:t xml:space="preserve"> = 0.68 &gt; 0.4</w:t>
            </w:r>
          </w:p>
          <w:p w14:paraId="6B4B1A0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0.52 &gt; 0.4</w:t>
            </w:r>
          </w:p>
          <w:p w14:paraId="3B321446"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0.70 &gt; 0.4</w:t>
            </w:r>
          </w:p>
          <w:p w14:paraId="0B408EFC"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 xml:space="preserve"> </w:t>
            </w:r>
          </w:p>
        </w:tc>
        <w:tc>
          <w:tcPr>
            <w:tcW w:w="3192" w:type="dxa"/>
            <w:vMerge w:val="restart"/>
            <w:shd w:val="clear" w:color="auto" w:fill="auto"/>
          </w:tcPr>
          <w:p w14:paraId="2A8AB1E8" w14:textId="77777777" w:rsidR="00AE3143" w:rsidRPr="00AE3143" w:rsidRDefault="00AE3143" w:rsidP="00AE3143">
            <w:pPr>
              <w:tabs>
                <w:tab w:val="left" w:pos="6390"/>
              </w:tabs>
              <w:spacing w:line="360" w:lineRule="auto"/>
              <w:jc w:val="both"/>
              <w:rPr>
                <w:rFonts w:asciiTheme="majorBidi" w:eastAsia="Times New Roman" w:hAnsiTheme="majorBidi" w:cstheme="majorBidi"/>
                <w:color w:val="000000"/>
                <w:sz w:val="24"/>
                <w:szCs w:val="24"/>
              </w:rPr>
            </w:pPr>
            <w:r w:rsidRPr="00AE3143">
              <w:rPr>
                <w:rFonts w:asciiTheme="majorBidi" w:eastAsia="Times New Roman" w:hAnsiTheme="majorBidi" w:cstheme="majorBidi"/>
                <w:color w:val="000000"/>
                <w:sz w:val="24"/>
                <w:szCs w:val="24"/>
              </w:rPr>
              <w:lastRenderedPageBreak/>
              <w:t>(</w:t>
            </w:r>
            <w:r w:rsidRPr="00AE3143">
              <w:rPr>
                <w:rFonts w:asciiTheme="majorBidi" w:hAnsiTheme="majorBidi" w:cstheme="majorBidi"/>
                <w:color w:val="000000" w:themeColor="text1"/>
                <w:sz w:val="24"/>
                <w:szCs w:val="24"/>
                <w:shd w:val="clear" w:color="auto" w:fill="FFFFFF"/>
              </w:rPr>
              <w:t>Yunker et al., 2002)</w:t>
            </w:r>
          </w:p>
          <w:p w14:paraId="6A8F90FB" w14:textId="5E0A9EBD" w:rsidR="00AE01E3" w:rsidRPr="00AE3143" w:rsidRDefault="00AE01E3"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0CC31F67" w14:textId="77777777" w:rsidTr="00EE693E">
        <w:trPr>
          <w:trHeight w:val="1340"/>
        </w:trPr>
        <w:tc>
          <w:tcPr>
            <w:tcW w:w="2087" w:type="dxa"/>
            <w:vMerge/>
          </w:tcPr>
          <w:p w14:paraId="12A1DC85"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000000"/>
                <w:sz w:val="24"/>
                <w:szCs w:val="24"/>
              </w:rPr>
            </w:pPr>
          </w:p>
        </w:tc>
        <w:tc>
          <w:tcPr>
            <w:tcW w:w="1346" w:type="dxa"/>
          </w:tcPr>
          <w:p w14:paraId="6695833A"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&gt;0.4</w:t>
            </w:r>
          </w:p>
        </w:tc>
        <w:tc>
          <w:tcPr>
            <w:tcW w:w="4533" w:type="dxa"/>
            <w:vAlign w:val="center"/>
          </w:tcPr>
          <w:p w14:paraId="10D828A8" w14:textId="77777777" w:rsidR="00486478" w:rsidRPr="00AE3143" w:rsidRDefault="00486478" w:rsidP="00AE3143">
            <w:pPr>
              <w:rPr>
                <w:rFonts w:asciiTheme="majorBidi" w:eastAsia="Times New Roman" w:hAnsiTheme="majorBidi" w:cstheme="majorBidi"/>
                <w:color w:val="131413"/>
                <w:sz w:val="24"/>
                <w:szCs w:val="24"/>
              </w:rPr>
            </w:pPr>
            <w:r w:rsidRPr="00AE3143">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tcPr>
          <w:p w14:paraId="4F9C6DAD"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p>
        </w:tc>
        <w:tc>
          <w:tcPr>
            <w:tcW w:w="3192" w:type="dxa"/>
            <w:vMerge/>
            <w:shd w:val="clear" w:color="auto" w:fill="FF0000"/>
          </w:tcPr>
          <w:p w14:paraId="3F286BFA" w14:textId="77777777" w:rsidR="00486478" w:rsidRPr="00AE3143" w:rsidRDefault="00486478" w:rsidP="00AE3143">
            <w:pPr>
              <w:tabs>
                <w:tab w:val="left" w:pos="6390"/>
              </w:tabs>
              <w:spacing w:line="360" w:lineRule="auto"/>
              <w:jc w:val="both"/>
              <w:rPr>
                <w:rFonts w:asciiTheme="majorBidi" w:hAnsiTheme="majorBidi" w:cstheme="majorBidi"/>
                <w:color w:val="222222"/>
                <w:sz w:val="24"/>
                <w:szCs w:val="24"/>
                <w:shd w:val="clear" w:color="auto" w:fill="FFFFFF"/>
              </w:rPr>
            </w:pPr>
          </w:p>
        </w:tc>
      </w:tr>
      <w:tr w:rsidR="00486478" w:rsidRPr="00AE3143" w14:paraId="496BE8B0" w14:textId="77777777" w:rsidTr="003C3638">
        <w:trPr>
          <w:trHeight w:val="296"/>
        </w:trPr>
        <w:tc>
          <w:tcPr>
            <w:tcW w:w="2087" w:type="dxa"/>
            <w:vMerge w:val="restart"/>
            <w:shd w:val="clear" w:color="auto" w:fill="auto"/>
          </w:tcPr>
          <w:p w14:paraId="021AF429"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000000"/>
                <w:sz w:val="24"/>
                <w:szCs w:val="24"/>
              </w:rPr>
            </w:pPr>
            <w:proofErr w:type="spellStart"/>
            <w:r w:rsidRPr="003C3638">
              <w:rPr>
                <w:rFonts w:asciiTheme="majorBidi" w:eastAsia="Times New Roman" w:hAnsiTheme="majorBidi" w:cstheme="majorBidi"/>
                <w:sz w:val="24"/>
                <w:szCs w:val="24"/>
              </w:rPr>
              <w:t>BaP</w:t>
            </w:r>
            <w:proofErr w:type="spellEnd"/>
            <w:r w:rsidRPr="003C3638">
              <w:rPr>
                <w:rFonts w:asciiTheme="majorBidi" w:eastAsia="Times New Roman" w:hAnsiTheme="majorBidi" w:cstheme="majorBidi"/>
                <w:sz w:val="24"/>
                <w:szCs w:val="24"/>
              </w:rPr>
              <w:t>/</w:t>
            </w:r>
            <w:proofErr w:type="spellStart"/>
            <w:r w:rsidRPr="003C3638">
              <w:rPr>
                <w:rFonts w:asciiTheme="majorBidi" w:eastAsia="Times New Roman" w:hAnsiTheme="majorBidi" w:cstheme="majorBidi"/>
                <w:sz w:val="24"/>
                <w:szCs w:val="24"/>
              </w:rPr>
              <w:t>BghiP</w:t>
            </w:r>
            <w:proofErr w:type="spellEnd"/>
          </w:p>
        </w:tc>
        <w:tc>
          <w:tcPr>
            <w:tcW w:w="1346" w:type="dxa"/>
            <w:shd w:val="clear" w:color="auto" w:fill="auto"/>
          </w:tcPr>
          <w:p w14:paraId="5F157F97" w14:textId="77777777" w:rsidR="00486478" w:rsidRPr="003C3638"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000000"/>
                <w:sz w:val="24"/>
                <w:szCs w:val="24"/>
              </w:rPr>
              <w:t>&gt;</w:t>
            </w:r>
            <w:r w:rsidR="00AE01E3" w:rsidRPr="003C3638">
              <w:rPr>
                <w:rFonts w:asciiTheme="majorBidi" w:eastAsia="Times New Roman" w:hAnsiTheme="majorBidi" w:cstheme="majorBidi"/>
                <w:color w:val="000000"/>
                <w:sz w:val="24"/>
                <w:szCs w:val="24"/>
              </w:rPr>
              <w:t xml:space="preserve"> </w:t>
            </w:r>
            <w:r w:rsidRPr="003C3638">
              <w:rPr>
                <w:rFonts w:asciiTheme="majorBidi" w:eastAsia="Times New Roman" w:hAnsiTheme="majorBidi" w:cstheme="majorBidi"/>
                <w:color w:val="000000"/>
                <w:sz w:val="24"/>
                <w:szCs w:val="24"/>
              </w:rPr>
              <w:t>0.6</w:t>
            </w:r>
          </w:p>
        </w:tc>
        <w:tc>
          <w:tcPr>
            <w:tcW w:w="4533" w:type="dxa"/>
            <w:shd w:val="clear" w:color="auto" w:fill="auto"/>
            <w:vAlign w:val="center"/>
          </w:tcPr>
          <w:p w14:paraId="56CCB4A0" w14:textId="77777777" w:rsidR="00486478" w:rsidRPr="003C3638" w:rsidRDefault="00486478" w:rsidP="00AE3143">
            <w:pPr>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131413"/>
                <w:sz w:val="24"/>
                <w:szCs w:val="24"/>
              </w:rPr>
              <w:t>Petrogenic inputs (liquid fuel discharges)</w:t>
            </w:r>
          </w:p>
        </w:tc>
        <w:tc>
          <w:tcPr>
            <w:tcW w:w="2607" w:type="dxa"/>
            <w:vMerge w:val="restart"/>
            <w:shd w:val="clear" w:color="auto" w:fill="auto"/>
          </w:tcPr>
          <w:p w14:paraId="063A36C5"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Winter = 1.70</w:t>
            </w:r>
            <w:r w:rsidR="00F9222D" w:rsidRPr="00AE3143">
              <w:rPr>
                <w:rFonts w:asciiTheme="majorBidi" w:hAnsiTheme="majorBidi" w:cstheme="majorBidi"/>
                <w:sz w:val="24"/>
                <w:szCs w:val="24"/>
              </w:rPr>
              <w:t xml:space="preserve"> </w:t>
            </w:r>
            <w:r w:rsidRPr="00AE3143">
              <w:rPr>
                <w:rFonts w:asciiTheme="majorBidi" w:hAnsiTheme="majorBidi" w:cstheme="majorBidi"/>
                <w:sz w:val="24"/>
                <w:szCs w:val="24"/>
              </w:rPr>
              <w:t xml:space="preserve"> &gt; 0.6</w:t>
            </w:r>
          </w:p>
          <w:p w14:paraId="0253D27A"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Spring = 1.1</w:t>
            </w:r>
            <w:r w:rsidR="00F9222D" w:rsidRPr="00AE3143">
              <w:rPr>
                <w:rFonts w:asciiTheme="majorBidi" w:hAnsiTheme="majorBidi" w:cstheme="majorBidi"/>
                <w:sz w:val="24"/>
                <w:szCs w:val="24"/>
              </w:rPr>
              <w:t xml:space="preserve">    </w:t>
            </w:r>
            <w:r w:rsidRPr="00AE3143">
              <w:rPr>
                <w:rFonts w:asciiTheme="majorBidi" w:hAnsiTheme="majorBidi" w:cstheme="majorBidi"/>
                <w:sz w:val="24"/>
                <w:szCs w:val="24"/>
              </w:rPr>
              <w:t>&gt; 0.6</w:t>
            </w:r>
          </w:p>
          <w:p w14:paraId="64BE3A8E" w14:textId="77777777" w:rsidR="00486478" w:rsidRPr="00AE3143" w:rsidRDefault="00486478" w:rsidP="00AE3143">
            <w:pPr>
              <w:tabs>
                <w:tab w:val="left" w:pos="6390"/>
              </w:tabs>
              <w:spacing w:line="360" w:lineRule="auto"/>
              <w:jc w:val="both"/>
              <w:rPr>
                <w:rFonts w:asciiTheme="majorBidi" w:hAnsiTheme="majorBidi" w:cstheme="majorBidi"/>
                <w:sz w:val="24"/>
                <w:szCs w:val="24"/>
              </w:rPr>
            </w:pPr>
            <w:r w:rsidRPr="00AE3143">
              <w:rPr>
                <w:rFonts w:asciiTheme="majorBidi" w:hAnsiTheme="majorBidi" w:cstheme="majorBidi"/>
                <w:sz w:val="24"/>
                <w:szCs w:val="24"/>
              </w:rPr>
              <w:t>Summer = 2.45 &gt; 0.6</w:t>
            </w:r>
          </w:p>
          <w:p w14:paraId="70D9482E" w14:textId="77777777" w:rsidR="00486478" w:rsidRPr="00AE3143" w:rsidRDefault="00486478" w:rsidP="00AE3143">
            <w:pPr>
              <w:tabs>
                <w:tab w:val="left" w:pos="6390"/>
              </w:tabs>
              <w:spacing w:line="360" w:lineRule="auto"/>
              <w:jc w:val="both"/>
              <w:rPr>
                <w:rFonts w:asciiTheme="majorBidi" w:eastAsia="Times New Roman" w:hAnsiTheme="majorBidi" w:cstheme="majorBidi"/>
                <w:color w:val="131413"/>
                <w:sz w:val="24"/>
                <w:szCs w:val="24"/>
              </w:rPr>
            </w:pPr>
            <w:r w:rsidRPr="00AE3143">
              <w:rPr>
                <w:rFonts w:asciiTheme="majorBidi" w:hAnsiTheme="majorBidi" w:cstheme="majorBidi"/>
                <w:sz w:val="24"/>
                <w:szCs w:val="24"/>
              </w:rPr>
              <w:t>Autumn = 5.10 &gt;</w:t>
            </w:r>
            <w:r w:rsidR="00AE01E3" w:rsidRPr="00AE3143">
              <w:rPr>
                <w:rFonts w:asciiTheme="majorBidi" w:hAnsiTheme="majorBidi" w:cstheme="majorBidi"/>
                <w:sz w:val="24"/>
                <w:szCs w:val="24"/>
              </w:rPr>
              <w:t xml:space="preserve"> </w:t>
            </w:r>
            <w:r w:rsidRPr="00AE3143">
              <w:rPr>
                <w:rFonts w:asciiTheme="majorBidi" w:hAnsiTheme="majorBidi" w:cstheme="majorBidi"/>
                <w:sz w:val="24"/>
                <w:szCs w:val="24"/>
              </w:rPr>
              <w:t>0.6</w:t>
            </w:r>
          </w:p>
          <w:p w14:paraId="5AB30173" w14:textId="77777777" w:rsidR="00486478" w:rsidRPr="00AE3143" w:rsidRDefault="00486478" w:rsidP="00AE3143">
            <w:pPr>
              <w:rPr>
                <w:rFonts w:asciiTheme="majorBidi" w:eastAsia="Times New Roman" w:hAnsiTheme="majorBidi" w:cstheme="majorBidi"/>
                <w:color w:val="000000"/>
                <w:sz w:val="24"/>
                <w:szCs w:val="24"/>
              </w:rPr>
            </w:pPr>
          </w:p>
        </w:tc>
        <w:tc>
          <w:tcPr>
            <w:tcW w:w="3192" w:type="dxa"/>
            <w:vMerge w:val="restart"/>
            <w:shd w:val="clear" w:color="auto" w:fill="auto"/>
          </w:tcPr>
          <w:p w14:paraId="204B729E" w14:textId="77777777" w:rsidR="002311E7" w:rsidRPr="00AE3143" w:rsidRDefault="002311E7" w:rsidP="00AE3143">
            <w:pPr>
              <w:tabs>
                <w:tab w:val="left" w:pos="6390"/>
              </w:tabs>
              <w:spacing w:line="360" w:lineRule="auto"/>
              <w:jc w:val="both"/>
              <w:rPr>
                <w:rFonts w:asciiTheme="majorBidi" w:eastAsia="Times New Roman" w:hAnsiTheme="majorBidi" w:cstheme="majorBidi"/>
                <w:sz w:val="24"/>
                <w:szCs w:val="24"/>
              </w:rPr>
            </w:pPr>
          </w:p>
          <w:p w14:paraId="0978E913" w14:textId="77777777" w:rsidR="002311E7" w:rsidRPr="00AE3143" w:rsidRDefault="002311E7" w:rsidP="00AE3143">
            <w:pPr>
              <w:tabs>
                <w:tab w:val="left" w:pos="6390"/>
              </w:tabs>
              <w:spacing w:line="360" w:lineRule="auto"/>
              <w:jc w:val="both"/>
              <w:rPr>
                <w:rFonts w:asciiTheme="majorBidi" w:eastAsia="Times New Roman" w:hAnsiTheme="majorBidi" w:cstheme="majorBidi"/>
                <w:sz w:val="24"/>
                <w:szCs w:val="24"/>
              </w:rPr>
            </w:pPr>
          </w:p>
          <w:p w14:paraId="7E9230ED" w14:textId="77777777" w:rsidR="00486478" w:rsidRPr="00AE3143" w:rsidRDefault="002311E7" w:rsidP="00AE3143">
            <w:pPr>
              <w:tabs>
                <w:tab w:val="left" w:pos="6390"/>
              </w:tabs>
              <w:spacing w:line="360" w:lineRule="auto"/>
              <w:jc w:val="both"/>
              <w:rPr>
                <w:rFonts w:asciiTheme="majorBidi" w:hAnsiTheme="majorBidi" w:cstheme="majorBidi"/>
                <w:color w:val="222222"/>
                <w:sz w:val="24"/>
                <w:szCs w:val="24"/>
                <w:shd w:val="clear" w:color="auto" w:fill="FFFFFF"/>
              </w:rPr>
            </w:pPr>
            <w:r w:rsidRPr="00AE3143">
              <w:rPr>
                <w:rFonts w:asciiTheme="majorBidi" w:eastAsia="Times New Roman" w:hAnsiTheme="majorBidi" w:cstheme="majorBidi"/>
                <w:sz w:val="24"/>
                <w:szCs w:val="24"/>
              </w:rPr>
              <w:t xml:space="preserve">    </w:t>
            </w:r>
            <w:r w:rsidR="00486478" w:rsidRPr="00AE3143">
              <w:rPr>
                <w:rFonts w:asciiTheme="majorBidi" w:eastAsia="Times New Roman" w:hAnsiTheme="majorBidi" w:cstheme="majorBidi"/>
                <w:sz w:val="24"/>
                <w:szCs w:val="24"/>
              </w:rPr>
              <w:fldChar w:fldCharType="begin" w:fldLock="1"/>
            </w:r>
            <w:r w:rsidR="00486478" w:rsidRPr="00AE3143">
              <w:rPr>
                <w:rFonts w:asciiTheme="majorBidi" w:eastAsia="Times New Roman" w:hAnsiTheme="majorBidi" w:cstheme="majorBidi"/>
                <w:sz w:val="24"/>
                <w:szCs w:val="24"/>
              </w:rPr>
              <w:instrText xml:space="preserve">ADDIN CSL_CITATION {"citationItems":[{"id":"ITEM-1","itemData":{"DOI":"10.1016/J.SCITOTENV.2018.12.428","ISSN":"0048-9697","abstract":"The increasing contamination of fresh water resources by trace metals and persistent organic pollutants is a major environmental concern. In the present study, we investigated, for the first time, the distribution, sources and ecological risk of trace metals </w:instrText>
            </w:r>
            <w:r w:rsidR="00486478" w:rsidRPr="00AE3143">
              <w:rPr>
                <w:rFonts w:asciiTheme="majorBidi" w:eastAsia="Times New Roman" w:hAnsiTheme="majorBidi" w:cstheme="majorBidi"/>
                <w:sz w:val="24"/>
                <w:szCs w:val="24"/>
              </w:rPr>
              <w:lastRenderedPageBreak/>
              <w:instrText xml:space="preserve">and organic pollutants, including polycyclic aromatic hydrocarbons (PAHs), polychlorinated biphenyls (PCBs) and organochlorine pesticides (OCPs), in surface sediments from a Southeastern European river (Someşu Mic River, Romania). Concentrations of Cd, Cr, Cu, Pb, Ni and Zn ranged from 0.04 to 0.4, 9.4 to 43.15, 7.2 to 65.6, 12.3 to 131.4, 14.7 to 47.7 and 42.1 to 236.8 mg kg−1 dw, respectively. Concentrations of total PAHs, PCBs and OCPs ranged from 24.8 to 575.6, 2.7 to 252.7 and 2.1 to 44.3 ng g−1 dw, respectively. Some sediment parameters, i.e., pH, total organic carbon (TOC) and </w:instrText>
            </w:r>
            <w:r w:rsidR="00486478" w:rsidRPr="00AE3143">
              <w:rPr>
                <w:rFonts w:asciiTheme="majorBidi" w:eastAsia="Times New Roman" w:hAnsiTheme="majorBidi" w:cstheme="majorBidi"/>
                <w:sz w:val="24"/>
                <w:szCs w:val="24"/>
              </w:rPr>
              <w:lastRenderedPageBreak/>
              <w:instrText xml:space="preserve">total organic matter (OM) contents, played a significant role in the spatial distribution of contaminants. A combined analysis based on diagnostic ratios and multivariate analyses revealed PAHs originating mainly from pyrolytic sources. PCB compositions showed distinct contamination signatures for tri- to tetra-chlorinated PCBs, characteristic of contamination by Aroclor-1016 and -1254 technical mixtures. The dominant OCP congeners were α-HCH and p,p′-DDD, reflecting past use of technical HCHs and DDTs in agricultural practices. Metal source and pollution status was assessed using </w:instrText>
            </w:r>
            <w:r w:rsidR="00486478" w:rsidRPr="00AE3143">
              <w:rPr>
                <w:rFonts w:asciiTheme="majorBidi" w:eastAsia="Times New Roman" w:hAnsiTheme="majorBidi" w:cstheme="majorBidi"/>
                <w:sz w:val="24"/>
                <w:szCs w:val="24"/>
              </w:rPr>
              <w:lastRenderedPageBreak/>
              <w:instrText xml:space="preserve">geoaccumulation index and enrichment factor, which indicate widespread pollution by Pb, Cd, Zn, Ni and Cu. The use of Sediments Quality Guidelines (SQGs), mean effect range-median quotient (m-ERM-Q) and toxic equivalent factor (TEF) indicated that the highest ecological risks occurred for PCBs and DDTs. This work presents not only initial baseline information on the extent of organic and inorganic contaminations in a river of ecological and economical interest, but also provides a diagnostic ratio/statistical combined approach that can be used to evaluate sediment quality in similar </w:instrText>
            </w:r>
            <w:r w:rsidR="00486478" w:rsidRPr="00AE3143">
              <w:rPr>
                <w:rFonts w:asciiTheme="majorBidi" w:eastAsia="Times New Roman" w:hAnsiTheme="majorBidi" w:cstheme="majorBidi"/>
                <w:sz w:val="24"/>
                <w:szCs w:val="24"/>
              </w:rPr>
              <w:lastRenderedPageBreak/>
              <w:instrText>environments.","author":[{"dropping-particle":"","family":"Barhoumi","given":"Badreddine","non-dropping-particle":"","parse-names":false,"suffix":""},{"dropping-particle":"","family":"Beldean-Galea","given":"Mihail Simion","non-dropping-particle":"","parse-names":false,"suffix":""},{"dropping-particle":"","family":"Al-Rawabdeh","given":"Abdulla M.","non-dropping-particle":"","parse-names":false,"suffix":""},{"dropping-particle":"","family":"Roba","given":"Carmen","non-dropping-particle":"","parse-</w:instrText>
            </w:r>
            <w:r w:rsidR="00486478" w:rsidRPr="00AE3143">
              <w:rPr>
                <w:rFonts w:asciiTheme="majorBidi" w:eastAsia="Times New Roman" w:hAnsiTheme="majorBidi" w:cstheme="majorBidi"/>
                <w:sz w:val="24"/>
                <w:szCs w:val="24"/>
              </w:rPr>
              <w:lastRenderedPageBreak/>
              <w:instrText>names":false,"suffix":""},{"dropping-particle":"","family":"Martonos","given":"Ildiko Melinda","non-dropping-particle":"","parse-names":false,"suffix":""},{"dropping-particle":"","family":"Bălc","given":"Ramona","non-dropping-particle":"","parse-names":false,"suffix":""},{"dropping-particle":"","family":"Kahlaoui","given":"Massoud","non-dropping-particle":"","parse-names":false,"suffix":""},{"dropping-particle":"","family":"Touil","given":"Soufiane","non-dropping-particle":"","parse-names":false,"suffix":""},{"dr</w:instrText>
            </w:r>
            <w:r w:rsidR="00486478" w:rsidRPr="00AE3143">
              <w:rPr>
                <w:rFonts w:asciiTheme="majorBidi" w:eastAsia="Times New Roman" w:hAnsiTheme="majorBidi" w:cstheme="majorBidi"/>
                <w:sz w:val="24"/>
                <w:szCs w:val="24"/>
              </w:rPr>
              <w:lastRenderedPageBreak/>
              <w:instrText>opping-particle":"","family":"Tedetti","given":"Marc","non-dropping-particle":"","parse-names":false,"suffix":""},{"dropping-particle":"","family":"Driss","given":"Mohamed Ridha","non-dropping-particle":"","parse-names":false,"suffix":""},{"dropping-particle":"","family":"Baciu","given":"Călin","non-dropping-particle":"","parse-names":false,"suffix":""}],"container-title":"Science of The Total Environment","id":"ITEM-1","issued":{"date-parts":[["2019","4","10"]]},"page":"660-</w:instrText>
            </w:r>
            <w:r w:rsidR="00486478" w:rsidRPr="00AE3143">
              <w:rPr>
                <w:rFonts w:asciiTheme="majorBidi" w:eastAsia="Times New Roman" w:hAnsiTheme="majorBidi" w:cstheme="majorBidi"/>
                <w:sz w:val="24"/>
                <w:szCs w:val="24"/>
              </w:rPr>
              <w:lastRenderedPageBreak/>
              <w:instrText>676","publisher":"Elsevier","title":"Occurrence, distribution and ecological risk of trace metals and organic pollutants in surface sediments from a Southeastern European river (Someşu Mic River, Romania)","type":"article-journal","volume":"660"},"uris":["http://www.mendeley.com/documents/?uuid=3fee1c2e-bc2b-36a9-8951-a4125ef53b73"]}],"mendeley":{"formattedCitation":"(Barhoumi et al., 2019)","manualFormatting":"(Barhoumi et al.. 2019)","plainTextFormattedCitation":"(Barhoumi et al., 2019)","previouslyFormattedCitation":"(Barhoumi et al., 2019)"},"properties":{"noteIn</w:instrText>
            </w:r>
            <w:r w:rsidR="00486478" w:rsidRPr="00AE3143">
              <w:rPr>
                <w:rFonts w:asciiTheme="majorBidi" w:eastAsia="Times New Roman" w:hAnsiTheme="majorBidi" w:cstheme="majorBidi"/>
                <w:sz w:val="24"/>
                <w:szCs w:val="24"/>
              </w:rPr>
              <w:lastRenderedPageBreak/>
              <w:instrText>dex":0},"schema":"https://github.com/citation-style-language/schema/raw/master/csl-citation.json"}</w:instrText>
            </w:r>
            <w:r w:rsidR="00486478" w:rsidRPr="00AE3143">
              <w:rPr>
                <w:rFonts w:asciiTheme="majorBidi" w:eastAsia="Times New Roman" w:hAnsiTheme="majorBidi" w:cstheme="majorBidi"/>
                <w:sz w:val="24"/>
                <w:szCs w:val="24"/>
              </w:rPr>
              <w:fldChar w:fldCharType="separate"/>
            </w:r>
            <w:r w:rsidR="00D74770" w:rsidRPr="00AE3143">
              <w:rPr>
                <w:rFonts w:asciiTheme="majorBidi" w:eastAsia="Times New Roman" w:hAnsiTheme="majorBidi" w:cstheme="majorBidi"/>
                <w:noProof/>
                <w:sz w:val="24"/>
                <w:szCs w:val="24"/>
              </w:rPr>
              <w:t>(Barhoumi et al.,</w:t>
            </w:r>
            <w:r w:rsidR="00486478" w:rsidRPr="00AE3143">
              <w:rPr>
                <w:rFonts w:asciiTheme="majorBidi" w:eastAsia="Times New Roman" w:hAnsiTheme="majorBidi" w:cstheme="majorBidi"/>
                <w:noProof/>
                <w:sz w:val="24"/>
                <w:szCs w:val="24"/>
              </w:rPr>
              <w:t xml:space="preserve"> 2019)</w:t>
            </w:r>
            <w:r w:rsidR="00486478" w:rsidRPr="00AE3143">
              <w:rPr>
                <w:rFonts w:asciiTheme="majorBidi" w:eastAsia="Times New Roman" w:hAnsiTheme="majorBidi" w:cstheme="majorBidi"/>
                <w:sz w:val="24"/>
                <w:szCs w:val="24"/>
              </w:rPr>
              <w:fldChar w:fldCharType="end"/>
            </w:r>
          </w:p>
        </w:tc>
      </w:tr>
      <w:tr w:rsidR="00486478" w:rsidRPr="00200528" w14:paraId="504D1BD3" w14:textId="77777777" w:rsidTr="003C3638">
        <w:trPr>
          <w:trHeight w:val="1142"/>
        </w:trPr>
        <w:tc>
          <w:tcPr>
            <w:tcW w:w="2087" w:type="dxa"/>
            <w:vMerge/>
            <w:shd w:val="clear" w:color="auto" w:fill="AEAAAA" w:themeFill="background2" w:themeFillShade="BF"/>
          </w:tcPr>
          <w:p w14:paraId="4BCA73B1" w14:textId="77777777" w:rsidR="00486478" w:rsidRPr="003C3638" w:rsidRDefault="00486478" w:rsidP="001031F7">
            <w:pPr>
              <w:tabs>
                <w:tab w:val="left" w:pos="6390"/>
              </w:tabs>
              <w:spacing w:line="360" w:lineRule="auto"/>
              <w:jc w:val="both"/>
              <w:rPr>
                <w:rFonts w:asciiTheme="majorBidi" w:eastAsia="Times New Roman" w:hAnsiTheme="majorBidi" w:cstheme="majorBidi"/>
                <w:b/>
                <w:bCs/>
                <w:color w:val="000000"/>
                <w:sz w:val="24"/>
                <w:szCs w:val="24"/>
              </w:rPr>
            </w:pPr>
          </w:p>
        </w:tc>
        <w:tc>
          <w:tcPr>
            <w:tcW w:w="1346" w:type="dxa"/>
            <w:shd w:val="clear" w:color="auto" w:fill="auto"/>
          </w:tcPr>
          <w:p w14:paraId="30C51948" w14:textId="77777777" w:rsidR="00486478" w:rsidRPr="003C3638" w:rsidRDefault="00486478" w:rsidP="001031F7">
            <w:pPr>
              <w:tabs>
                <w:tab w:val="left" w:pos="6390"/>
              </w:tabs>
              <w:spacing w:line="360" w:lineRule="auto"/>
              <w:jc w:val="both"/>
              <w:rPr>
                <w:rFonts w:asciiTheme="majorBidi" w:eastAsia="Times New Roman" w:hAnsiTheme="majorBidi" w:cstheme="majorBidi"/>
                <w:color w:val="131413"/>
                <w:sz w:val="24"/>
                <w:szCs w:val="24"/>
              </w:rPr>
            </w:pPr>
            <w:r w:rsidRPr="003C3638">
              <w:rPr>
                <w:rFonts w:asciiTheme="majorBidi" w:eastAsia="Times New Roman" w:hAnsiTheme="majorBidi" w:cstheme="majorBidi"/>
                <w:color w:val="000000"/>
                <w:sz w:val="24"/>
                <w:szCs w:val="24"/>
              </w:rPr>
              <w:t>&lt;</w:t>
            </w:r>
            <w:r w:rsidR="003E3157" w:rsidRPr="003C3638">
              <w:rPr>
                <w:rFonts w:asciiTheme="majorBidi" w:eastAsia="Times New Roman" w:hAnsiTheme="majorBidi" w:cstheme="majorBidi"/>
                <w:color w:val="000000"/>
                <w:sz w:val="24"/>
                <w:szCs w:val="24"/>
              </w:rPr>
              <w:t xml:space="preserve"> </w:t>
            </w:r>
            <w:r w:rsidRPr="003C3638">
              <w:rPr>
                <w:rFonts w:asciiTheme="majorBidi" w:eastAsia="Times New Roman" w:hAnsiTheme="majorBidi" w:cstheme="majorBidi"/>
                <w:color w:val="000000"/>
                <w:sz w:val="24"/>
                <w:szCs w:val="24"/>
              </w:rPr>
              <w:t>0.6 (non-traffic emission)</w:t>
            </w:r>
          </w:p>
        </w:tc>
        <w:tc>
          <w:tcPr>
            <w:tcW w:w="4533" w:type="dxa"/>
            <w:shd w:val="clear" w:color="auto" w:fill="auto"/>
            <w:vAlign w:val="center"/>
          </w:tcPr>
          <w:p w14:paraId="146799AE" w14:textId="77777777" w:rsidR="00486478" w:rsidRPr="003C3638" w:rsidRDefault="00486478" w:rsidP="001031F7">
            <w:pPr>
              <w:rPr>
                <w:rFonts w:asciiTheme="majorBidi" w:hAnsiTheme="majorBidi" w:cstheme="majorBidi"/>
                <w:sz w:val="24"/>
                <w:szCs w:val="24"/>
              </w:rPr>
            </w:pPr>
            <w:r w:rsidRPr="003C3638">
              <w:rPr>
                <w:rFonts w:asciiTheme="majorBidi" w:eastAsia="Times New Roman" w:hAnsiTheme="majorBidi" w:cstheme="majorBidi"/>
                <w:color w:val="131413"/>
                <w:sz w:val="24"/>
                <w:szCs w:val="24"/>
              </w:rPr>
              <w:t>Pyrogenic - Combustion of solid fuel - natural sources such as biomass (grass and wood) and coal</w:t>
            </w:r>
          </w:p>
        </w:tc>
        <w:tc>
          <w:tcPr>
            <w:tcW w:w="2607" w:type="dxa"/>
            <w:vMerge/>
            <w:shd w:val="clear" w:color="auto" w:fill="AEAAAA" w:themeFill="background2" w:themeFillShade="BF"/>
          </w:tcPr>
          <w:p w14:paraId="657F565D" w14:textId="77777777" w:rsidR="00486478" w:rsidRPr="00200528" w:rsidRDefault="00486478" w:rsidP="001031F7">
            <w:pPr>
              <w:tabs>
                <w:tab w:val="left" w:pos="6390"/>
              </w:tabs>
              <w:spacing w:line="360" w:lineRule="auto"/>
              <w:jc w:val="both"/>
              <w:rPr>
                <w:rFonts w:asciiTheme="majorBidi" w:hAnsiTheme="majorBidi" w:cstheme="majorBidi"/>
                <w:color w:val="222222"/>
                <w:sz w:val="24"/>
                <w:szCs w:val="24"/>
                <w:shd w:val="clear" w:color="auto" w:fill="FFFFFF"/>
              </w:rPr>
            </w:pPr>
          </w:p>
        </w:tc>
        <w:tc>
          <w:tcPr>
            <w:tcW w:w="3192" w:type="dxa"/>
            <w:vMerge/>
            <w:shd w:val="clear" w:color="auto" w:fill="AEAAAA" w:themeFill="background2" w:themeFillShade="BF"/>
          </w:tcPr>
          <w:p w14:paraId="612129CA" w14:textId="77777777" w:rsidR="00486478" w:rsidRPr="00200528" w:rsidRDefault="00486478" w:rsidP="001031F7">
            <w:pPr>
              <w:tabs>
                <w:tab w:val="left" w:pos="6390"/>
              </w:tabs>
              <w:spacing w:line="360" w:lineRule="auto"/>
              <w:jc w:val="both"/>
              <w:rPr>
                <w:rFonts w:asciiTheme="majorBidi" w:hAnsiTheme="majorBidi" w:cstheme="majorBidi"/>
                <w:color w:val="222222"/>
                <w:sz w:val="24"/>
                <w:szCs w:val="24"/>
                <w:shd w:val="clear" w:color="auto" w:fill="FFFFFF"/>
              </w:rPr>
            </w:pPr>
          </w:p>
        </w:tc>
      </w:tr>
    </w:tbl>
    <w:p w14:paraId="77F21B7C" w14:textId="0444C5B0" w:rsidR="00574166" w:rsidRPr="00200528" w:rsidRDefault="00574166" w:rsidP="00224AC5">
      <w:pPr>
        <w:spacing w:line="240" w:lineRule="auto"/>
        <w:jc w:val="both"/>
        <w:rPr>
          <w:rFonts w:asciiTheme="majorBidi" w:hAnsiTheme="majorBidi" w:cstheme="majorBidi"/>
          <w:sz w:val="24"/>
          <w:szCs w:val="24"/>
        </w:rPr>
        <w:sectPr w:rsidR="00574166" w:rsidRPr="00200528" w:rsidSect="00253249">
          <w:pgSz w:w="15840" w:h="12240" w:orient="landscape"/>
          <w:pgMar w:top="1440" w:right="1440" w:bottom="1440" w:left="900" w:header="720" w:footer="720" w:gutter="0"/>
          <w:cols w:space="720"/>
          <w:docGrid w:linePitch="360"/>
        </w:sectPr>
      </w:pPr>
    </w:p>
    <w:p w14:paraId="61256F48" w14:textId="18545FF6" w:rsidR="00224AC5" w:rsidRPr="00200528" w:rsidRDefault="00224AC5" w:rsidP="00224AC5">
      <w:pPr>
        <w:spacing w:line="240" w:lineRule="auto"/>
        <w:jc w:val="both"/>
        <w:rPr>
          <w:rFonts w:asciiTheme="majorBidi" w:hAnsiTheme="majorBidi" w:cstheme="majorBidi"/>
          <w:sz w:val="24"/>
          <w:szCs w:val="24"/>
        </w:rPr>
      </w:pPr>
    </w:p>
    <w:p w14:paraId="742B1138" w14:textId="716B6D57" w:rsidR="00224AC5" w:rsidRPr="00200528" w:rsidRDefault="00224AC5" w:rsidP="00775E25">
      <w:pPr>
        <w:spacing w:line="240" w:lineRule="auto"/>
        <w:rPr>
          <w:rFonts w:asciiTheme="majorBidi" w:hAnsiTheme="majorBidi" w:cstheme="majorBidi"/>
          <w:sz w:val="24"/>
          <w:szCs w:val="24"/>
        </w:rPr>
      </w:pPr>
    </w:p>
    <w:tbl>
      <w:tblPr>
        <w:tblStyle w:val="TableGrid"/>
        <w:tblW w:w="1075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4"/>
        <w:gridCol w:w="1679"/>
        <w:gridCol w:w="779"/>
        <w:gridCol w:w="1113"/>
        <w:gridCol w:w="2656"/>
        <w:gridCol w:w="1712"/>
        <w:gridCol w:w="1196"/>
      </w:tblGrid>
      <w:tr w:rsidR="00EE693E" w:rsidRPr="00200528" w14:paraId="05276DE5" w14:textId="77777777" w:rsidTr="005B5F74">
        <w:trPr>
          <w:trHeight w:val="369"/>
        </w:trPr>
        <w:tc>
          <w:tcPr>
            <w:tcW w:w="10759" w:type="dxa"/>
            <w:gridSpan w:val="7"/>
            <w:tcBorders>
              <w:bottom w:val="single" w:sz="4" w:space="0" w:color="auto"/>
            </w:tcBorders>
            <w:noWrap/>
          </w:tcPr>
          <w:p w14:paraId="72676F58" w14:textId="669D2D01" w:rsidR="00EE693E" w:rsidRPr="00200528" w:rsidRDefault="00EE693E" w:rsidP="004D4701">
            <w:pPr>
              <w:jc w:val="both"/>
              <w:rPr>
                <w:rFonts w:asciiTheme="majorBidi" w:hAnsiTheme="majorBidi" w:cstheme="majorBidi"/>
                <w:sz w:val="24"/>
                <w:szCs w:val="24"/>
              </w:rPr>
            </w:pPr>
            <w:r w:rsidRPr="00200528">
              <w:rPr>
                <w:rFonts w:asciiTheme="majorBidi" w:hAnsiTheme="majorBidi" w:cstheme="majorBidi"/>
                <w:b/>
                <w:bCs/>
                <w:sz w:val="24"/>
                <w:szCs w:val="24"/>
              </w:rPr>
              <w:t xml:space="preserve">Table </w:t>
            </w:r>
            <w:r w:rsidR="008535F2">
              <w:rPr>
                <w:rFonts w:asciiTheme="majorBidi" w:hAnsiTheme="majorBidi" w:cstheme="majorBidi"/>
                <w:b/>
                <w:bCs/>
                <w:sz w:val="24"/>
                <w:szCs w:val="24"/>
              </w:rPr>
              <w:t>S</w:t>
            </w:r>
            <w:r w:rsidRPr="00200528">
              <w:rPr>
                <w:rFonts w:asciiTheme="majorBidi" w:hAnsiTheme="majorBidi" w:cstheme="majorBidi"/>
                <w:b/>
                <w:bCs/>
                <w:sz w:val="24"/>
                <w:szCs w:val="24"/>
              </w:rPr>
              <w:t>5:</w:t>
            </w:r>
            <w:r w:rsidRPr="00200528">
              <w:rPr>
                <w:rFonts w:asciiTheme="majorBidi" w:hAnsiTheme="majorBidi" w:cstheme="majorBidi"/>
                <w:sz w:val="24"/>
                <w:szCs w:val="24"/>
              </w:rPr>
              <w:t xml:space="preserve"> Concentration range of 16 individual PAHs (ng/g </w:t>
            </w:r>
            <w:proofErr w:type="spellStart"/>
            <w:r w:rsidRPr="00200528">
              <w:rPr>
                <w:rFonts w:asciiTheme="majorBidi" w:hAnsiTheme="majorBidi" w:cstheme="majorBidi"/>
                <w:sz w:val="24"/>
                <w:szCs w:val="24"/>
              </w:rPr>
              <w:t>dw</w:t>
            </w:r>
            <w:proofErr w:type="spellEnd"/>
            <w:r w:rsidRPr="00200528">
              <w:rPr>
                <w:rFonts w:asciiTheme="majorBidi" w:hAnsiTheme="majorBidi" w:cstheme="majorBidi"/>
                <w:sz w:val="24"/>
                <w:szCs w:val="24"/>
              </w:rPr>
              <w:t>) and toxicity guidelines</w:t>
            </w:r>
          </w:p>
        </w:tc>
      </w:tr>
      <w:tr w:rsidR="00FD457F" w:rsidRPr="00200528" w14:paraId="199D8C6A" w14:textId="77777777" w:rsidTr="005B5F74">
        <w:trPr>
          <w:trHeight w:val="369"/>
        </w:trPr>
        <w:tc>
          <w:tcPr>
            <w:tcW w:w="1624" w:type="dxa"/>
            <w:tcBorders>
              <w:top w:val="single" w:sz="4" w:space="0" w:color="auto"/>
              <w:bottom w:val="single" w:sz="4" w:space="0" w:color="auto"/>
            </w:tcBorders>
            <w:noWrap/>
          </w:tcPr>
          <w:p w14:paraId="3340790C"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PAHs</w:t>
            </w:r>
          </w:p>
        </w:tc>
        <w:tc>
          <w:tcPr>
            <w:tcW w:w="1679" w:type="dxa"/>
            <w:tcBorders>
              <w:top w:val="single" w:sz="4" w:space="0" w:color="auto"/>
              <w:bottom w:val="single" w:sz="4" w:space="0" w:color="auto"/>
            </w:tcBorders>
          </w:tcPr>
          <w:p w14:paraId="4B7083D2" w14:textId="77777777" w:rsidR="00361AC5" w:rsidRPr="00200528" w:rsidRDefault="00361AC5" w:rsidP="004D4701">
            <w:pPr>
              <w:jc w:val="both"/>
              <w:rPr>
                <w:rFonts w:asciiTheme="majorBidi" w:hAnsiTheme="majorBidi" w:cstheme="majorBidi"/>
                <w:b/>
                <w:bCs/>
                <w:sz w:val="24"/>
                <w:szCs w:val="24"/>
              </w:rPr>
            </w:pPr>
            <w:r w:rsidRPr="00200528">
              <w:rPr>
                <w:rFonts w:asciiTheme="majorBidi" w:hAnsiTheme="majorBidi" w:cstheme="majorBidi"/>
                <w:sz w:val="24"/>
                <w:szCs w:val="24"/>
              </w:rPr>
              <w:t>ERL-ERM</w:t>
            </w:r>
          </w:p>
        </w:tc>
        <w:tc>
          <w:tcPr>
            <w:tcW w:w="1892" w:type="dxa"/>
            <w:gridSpan w:val="2"/>
            <w:tcBorders>
              <w:top w:val="single" w:sz="4" w:space="0" w:color="auto"/>
              <w:bottom w:val="single" w:sz="4" w:space="0" w:color="auto"/>
            </w:tcBorders>
          </w:tcPr>
          <w:p w14:paraId="367DED8D"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 xml:space="preserve">Range (ng/g </w:t>
            </w:r>
            <w:proofErr w:type="spellStart"/>
            <w:r w:rsidRPr="00200528">
              <w:rPr>
                <w:rFonts w:asciiTheme="majorBidi" w:hAnsiTheme="majorBidi" w:cstheme="majorBidi"/>
                <w:sz w:val="24"/>
                <w:szCs w:val="24"/>
              </w:rPr>
              <w:t>dw</w:t>
            </w:r>
            <w:proofErr w:type="spellEnd"/>
            <w:r w:rsidRPr="00200528">
              <w:rPr>
                <w:rFonts w:asciiTheme="majorBidi" w:hAnsiTheme="majorBidi" w:cstheme="majorBidi"/>
                <w:sz w:val="24"/>
                <w:szCs w:val="24"/>
              </w:rPr>
              <w:t>)</w:t>
            </w:r>
          </w:p>
        </w:tc>
        <w:tc>
          <w:tcPr>
            <w:tcW w:w="2656" w:type="dxa"/>
            <w:tcBorders>
              <w:top w:val="single" w:sz="4" w:space="0" w:color="auto"/>
              <w:bottom w:val="single" w:sz="4" w:space="0" w:color="auto"/>
            </w:tcBorders>
          </w:tcPr>
          <w:p w14:paraId="180F0108" w14:textId="77777777" w:rsidR="00361AC5" w:rsidRPr="00200528" w:rsidRDefault="00361AC5" w:rsidP="004D4701">
            <w:pPr>
              <w:jc w:val="both"/>
              <w:rPr>
                <w:rFonts w:asciiTheme="majorBidi" w:hAnsiTheme="majorBidi" w:cstheme="majorBidi"/>
                <w:b/>
                <w:bCs/>
                <w:sz w:val="24"/>
                <w:szCs w:val="24"/>
              </w:rPr>
            </w:pPr>
            <w:r w:rsidRPr="00200528">
              <w:rPr>
                <w:rFonts w:asciiTheme="majorBidi" w:hAnsiTheme="majorBidi" w:cstheme="majorBidi"/>
                <w:sz w:val="24"/>
                <w:szCs w:val="24"/>
              </w:rPr>
              <w:t>&lt;ERL</w:t>
            </w:r>
            <w:r w:rsidRPr="00200528">
              <w:rPr>
                <w:rFonts w:asciiTheme="majorBidi" w:hAnsiTheme="majorBidi" w:cstheme="majorBidi"/>
                <w:sz w:val="24"/>
                <w:szCs w:val="24"/>
              </w:rPr>
              <w:tab/>
            </w:r>
            <w:r w:rsidRPr="00200528">
              <w:rPr>
                <w:rFonts w:asciiTheme="majorBidi" w:hAnsiTheme="majorBidi" w:cstheme="majorBidi"/>
                <w:sz w:val="24"/>
                <w:szCs w:val="24"/>
              </w:rPr>
              <w:tab/>
            </w:r>
          </w:p>
        </w:tc>
        <w:tc>
          <w:tcPr>
            <w:tcW w:w="1712" w:type="dxa"/>
            <w:tcBorders>
              <w:top w:val="single" w:sz="4" w:space="0" w:color="auto"/>
              <w:bottom w:val="single" w:sz="4" w:space="0" w:color="auto"/>
            </w:tcBorders>
          </w:tcPr>
          <w:p w14:paraId="12A75C56" w14:textId="77777777" w:rsidR="00361AC5" w:rsidRPr="00200528" w:rsidRDefault="00361AC5" w:rsidP="00A36BCD">
            <w:pPr>
              <w:jc w:val="both"/>
              <w:rPr>
                <w:rFonts w:asciiTheme="majorBidi" w:hAnsiTheme="majorBidi" w:cstheme="majorBidi"/>
                <w:b/>
                <w:bCs/>
                <w:sz w:val="24"/>
                <w:szCs w:val="24"/>
              </w:rPr>
            </w:pPr>
            <w:r w:rsidRPr="00200528">
              <w:rPr>
                <w:rFonts w:asciiTheme="majorBidi" w:hAnsiTheme="majorBidi" w:cstheme="majorBidi"/>
                <w:sz w:val="24"/>
                <w:szCs w:val="24"/>
              </w:rPr>
              <w:t xml:space="preserve">≥ERL </w:t>
            </w:r>
            <w:r w:rsidR="00382E63" w:rsidRPr="00200528">
              <w:rPr>
                <w:rFonts w:asciiTheme="majorBidi" w:hAnsiTheme="majorBidi" w:cstheme="majorBidi"/>
                <w:sz w:val="24"/>
                <w:szCs w:val="24"/>
              </w:rPr>
              <w:t xml:space="preserve">and </w:t>
            </w:r>
            <w:r w:rsidR="00A36BCD" w:rsidRPr="00200528">
              <w:rPr>
                <w:rFonts w:asciiTheme="majorBidi" w:hAnsiTheme="majorBidi" w:cstheme="majorBidi"/>
                <w:sz w:val="24"/>
                <w:szCs w:val="24"/>
              </w:rPr>
              <w:t xml:space="preserve">  </w:t>
            </w:r>
            <w:r w:rsidRPr="00200528">
              <w:rPr>
                <w:rFonts w:asciiTheme="majorBidi" w:hAnsiTheme="majorBidi" w:cstheme="majorBidi"/>
                <w:sz w:val="24"/>
                <w:szCs w:val="24"/>
              </w:rPr>
              <w:t>&lt;ERM</w:t>
            </w:r>
          </w:p>
        </w:tc>
        <w:tc>
          <w:tcPr>
            <w:tcW w:w="1193" w:type="dxa"/>
            <w:tcBorders>
              <w:top w:val="single" w:sz="4" w:space="0" w:color="auto"/>
              <w:bottom w:val="single" w:sz="4" w:space="0" w:color="auto"/>
            </w:tcBorders>
          </w:tcPr>
          <w:p w14:paraId="398E0D35" w14:textId="77777777" w:rsidR="00361AC5" w:rsidRPr="00200528" w:rsidRDefault="00361AC5" w:rsidP="004D4701">
            <w:pPr>
              <w:jc w:val="both"/>
              <w:rPr>
                <w:rFonts w:asciiTheme="majorBidi" w:hAnsiTheme="majorBidi" w:cstheme="majorBidi"/>
                <w:b/>
                <w:bCs/>
                <w:sz w:val="24"/>
                <w:szCs w:val="24"/>
              </w:rPr>
            </w:pPr>
            <w:r w:rsidRPr="00200528">
              <w:rPr>
                <w:rFonts w:asciiTheme="majorBidi" w:hAnsiTheme="majorBidi" w:cstheme="majorBidi"/>
                <w:sz w:val="24"/>
                <w:szCs w:val="24"/>
              </w:rPr>
              <w:t>≥ERM</w:t>
            </w:r>
          </w:p>
        </w:tc>
      </w:tr>
      <w:tr w:rsidR="00FD457F" w:rsidRPr="00200528" w14:paraId="7F6B65D6" w14:textId="77777777" w:rsidTr="005B5F74">
        <w:trPr>
          <w:trHeight w:val="369"/>
        </w:trPr>
        <w:tc>
          <w:tcPr>
            <w:tcW w:w="1624" w:type="dxa"/>
            <w:tcBorders>
              <w:top w:val="single" w:sz="4" w:space="0" w:color="auto"/>
            </w:tcBorders>
            <w:noWrap/>
          </w:tcPr>
          <w:p w14:paraId="4C207009" w14:textId="77777777" w:rsidR="00AB4A9A" w:rsidRPr="00200528" w:rsidRDefault="00AB4A9A" w:rsidP="004D4701">
            <w:pPr>
              <w:jc w:val="both"/>
              <w:rPr>
                <w:rFonts w:asciiTheme="majorBidi" w:hAnsiTheme="majorBidi" w:cstheme="majorBidi"/>
                <w:sz w:val="24"/>
                <w:szCs w:val="24"/>
              </w:rPr>
            </w:pPr>
          </w:p>
        </w:tc>
        <w:tc>
          <w:tcPr>
            <w:tcW w:w="1679" w:type="dxa"/>
            <w:tcBorders>
              <w:top w:val="single" w:sz="4" w:space="0" w:color="auto"/>
            </w:tcBorders>
          </w:tcPr>
          <w:p w14:paraId="1376E596" w14:textId="77777777" w:rsidR="00AB4A9A" w:rsidRPr="00200528" w:rsidRDefault="00AB4A9A" w:rsidP="004D4701">
            <w:pPr>
              <w:jc w:val="both"/>
              <w:rPr>
                <w:rFonts w:asciiTheme="majorBidi" w:hAnsiTheme="majorBidi" w:cstheme="majorBidi"/>
                <w:sz w:val="24"/>
                <w:szCs w:val="24"/>
              </w:rPr>
            </w:pPr>
          </w:p>
        </w:tc>
        <w:tc>
          <w:tcPr>
            <w:tcW w:w="1892" w:type="dxa"/>
            <w:gridSpan w:val="2"/>
            <w:tcBorders>
              <w:top w:val="single" w:sz="4" w:space="0" w:color="auto"/>
              <w:bottom w:val="single" w:sz="4" w:space="0" w:color="auto"/>
            </w:tcBorders>
          </w:tcPr>
          <w:p w14:paraId="53525693" w14:textId="77777777" w:rsidR="00AB4A9A" w:rsidRPr="00200528" w:rsidRDefault="00AB4A9A" w:rsidP="004D4701">
            <w:pPr>
              <w:jc w:val="both"/>
              <w:rPr>
                <w:rFonts w:asciiTheme="majorBidi" w:hAnsiTheme="majorBidi" w:cstheme="majorBidi"/>
                <w:sz w:val="24"/>
                <w:szCs w:val="24"/>
              </w:rPr>
            </w:pPr>
            <w:r w:rsidRPr="00200528">
              <w:rPr>
                <w:rFonts w:asciiTheme="majorBidi" w:hAnsiTheme="majorBidi" w:cstheme="majorBidi"/>
                <w:sz w:val="24"/>
                <w:szCs w:val="24"/>
              </w:rPr>
              <w:t>Min      Max</w:t>
            </w:r>
          </w:p>
        </w:tc>
        <w:tc>
          <w:tcPr>
            <w:tcW w:w="2656" w:type="dxa"/>
            <w:tcBorders>
              <w:top w:val="single" w:sz="4" w:space="0" w:color="auto"/>
            </w:tcBorders>
          </w:tcPr>
          <w:p w14:paraId="18D03041" w14:textId="77777777" w:rsidR="00AB4A9A" w:rsidRPr="00200528" w:rsidRDefault="00AB4A9A" w:rsidP="004D4701">
            <w:pPr>
              <w:jc w:val="both"/>
              <w:rPr>
                <w:rFonts w:asciiTheme="majorBidi" w:hAnsiTheme="majorBidi" w:cstheme="majorBidi"/>
                <w:sz w:val="24"/>
                <w:szCs w:val="24"/>
              </w:rPr>
            </w:pPr>
          </w:p>
        </w:tc>
        <w:tc>
          <w:tcPr>
            <w:tcW w:w="1712" w:type="dxa"/>
            <w:tcBorders>
              <w:top w:val="single" w:sz="4" w:space="0" w:color="auto"/>
            </w:tcBorders>
          </w:tcPr>
          <w:p w14:paraId="05D7E1D8" w14:textId="77777777" w:rsidR="00AB4A9A" w:rsidRPr="00200528" w:rsidRDefault="00AB4A9A" w:rsidP="004D4701">
            <w:pPr>
              <w:jc w:val="both"/>
              <w:rPr>
                <w:rFonts w:asciiTheme="majorBidi" w:hAnsiTheme="majorBidi" w:cstheme="majorBidi"/>
                <w:sz w:val="24"/>
                <w:szCs w:val="24"/>
              </w:rPr>
            </w:pPr>
          </w:p>
        </w:tc>
        <w:tc>
          <w:tcPr>
            <w:tcW w:w="1193" w:type="dxa"/>
            <w:tcBorders>
              <w:top w:val="single" w:sz="4" w:space="0" w:color="auto"/>
            </w:tcBorders>
          </w:tcPr>
          <w:p w14:paraId="45FFBFBC" w14:textId="77777777" w:rsidR="00AB4A9A" w:rsidRPr="00200528" w:rsidRDefault="00AB4A9A" w:rsidP="004D4701">
            <w:pPr>
              <w:jc w:val="both"/>
              <w:rPr>
                <w:rFonts w:asciiTheme="majorBidi" w:hAnsiTheme="majorBidi" w:cstheme="majorBidi"/>
                <w:sz w:val="24"/>
                <w:szCs w:val="24"/>
              </w:rPr>
            </w:pPr>
          </w:p>
        </w:tc>
      </w:tr>
      <w:tr w:rsidR="003C2548" w:rsidRPr="00200528" w14:paraId="44F6BCD8" w14:textId="77777777" w:rsidTr="005B5F74">
        <w:trPr>
          <w:trHeight w:val="369"/>
        </w:trPr>
        <w:tc>
          <w:tcPr>
            <w:tcW w:w="1624" w:type="dxa"/>
            <w:noWrap/>
            <w:hideMark/>
          </w:tcPr>
          <w:p w14:paraId="562EBB13"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Nap</w:t>
            </w:r>
          </w:p>
        </w:tc>
        <w:tc>
          <w:tcPr>
            <w:tcW w:w="1679" w:type="dxa"/>
          </w:tcPr>
          <w:p w14:paraId="59CBBD50"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160–2100</w:t>
            </w:r>
          </w:p>
        </w:tc>
        <w:tc>
          <w:tcPr>
            <w:tcW w:w="779" w:type="dxa"/>
            <w:tcBorders>
              <w:top w:val="single" w:sz="4" w:space="0" w:color="auto"/>
            </w:tcBorders>
          </w:tcPr>
          <w:p w14:paraId="782A981A"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14.01</w:t>
            </w:r>
          </w:p>
        </w:tc>
        <w:tc>
          <w:tcPr>
            <w:tcW w:w="1112" w:type="dxa"/>
            <w:tcBorders>
              <w:top w:val="single" w:sz="4" w:space="0" w:color="auto"/>
            </w:tcBorders>
          </w:tcPr>
          <w:p w14:paraId="151A08D2" w14:textId="77777777" w:rsidR="00361AC5" w:rsidRPr="00200528" w:rsidRDefault="00361AC5" w:rsidP="004D4701">
            <w:pPr>
              <w:jc w:val="both"/>
              <w:rPr>
                <w:rFonts w:asciiTheme="majorBidi" w:hAnsiTheme="majorBidi" w:cstheme="majorBidi"/>
                <w:sz w:val="24"/>
                <w:szCs w:val="24"/>
              </w:rPr>
            </w:pPr>
            <w:r w:rsidRPr="00200528">
              <w:rPr>
                <w:rFonts w:asciiTheme="majorBidi" w:hAnsiTheme="majorBidi" w:cstheme="majorBidi"/>
                <w:sz w:val="24"/>
                <w:szCs w:val="24"/>
              </w:rPr>
              <w:t>19.23</w:t>
            </w:r>
          </w:p>
        </w:tc>
        <w:tc>
          <w:tcPr>
            <w:tcW w:w="2656" w:type="dxa"/>
          </w:tcPr>
          <w:p w14:paraId="22D11F02" w14:textId="77777777" w:rsidR="00361AC5" w:rsidRPr="00200528" w:rsidRDefault="00361AC5" w:rsidP="004D4701">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4B9F447A" w14:textId="77777777" w:rsidR="00361AC5" w:rsidRPr="00200528" w:rsidRDefault="00361AC5" w:rsidP="004D4701">
            <w:pPr>
              <w:jc w:val="both"/>
              <w:rPr>
                <w:rFonts w:asciiTheme="majorBidi" w:hAnsiTheme="majorBidi" w:cstheme="majorBidi"/>
                <w:sz w:val="24"/>
                <w:szCs w:val="24"/>
              </w:rPr>
            </w:pPr>
          </w:p>
        </w:tc>
        <w:tc>
          <w:tcPr>
            <w:tcW w:w="1193" w:type="dxa"/>
          </w:tcPr>
          <w:p w14:paraId="3812D15D" w14:textId="77777777" w:rsidR="00361AC5" w:rsidRPr="00200528" w:rsidRDefault="00361AC5" w:rsidP="004D4701">
            <w:pPr>
              <w:jc w:val="both"/>
              <w:rPr>
                <w:rFonts w:asciiTheme="majorBidi" w:hAnsiTheme="majorBidi" w:cstheme="majorBidi"/>
                <w:sz w:val="24"/>
                <w:szCs w:val="24"/>
              </w:rPr>
            </w:pPr>
          </w:p>
        </w:tc>
      </w:tr>
      <w:tr w:rsidR="003C2548" w:rsidRPr="00200528" w14:paraId="294F8A29" w14:textId="77777777" w:rsidTr="005B5F74">
        <w:trPr>
          <w:trHeight w:val="369"/>
        </w:trPr>
        <w:tc>
          <w:tcPr>
            <w:tcW w:w="1624" w:type="dxa"/>
            <w:noWrap/>
            <w:hideMark/>
          </w:tcPr>
          <w:p w14:paraId="48B77F10"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Acy</w:t>
            </w:r>
          </w:p>
        </w:tc>
        <w:tc>
          <w:tcPr>
            <w:tcW w:w="1679" w:type="dxa"/>
          </w:tcPr>
          <w:p w14:paraId="4292656D"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16–500</w:t>
            </w:r>
          </w:p>
        </w:tc>
        <w:tc>
          <w:tcPr>
            <w:tcW w:w="779" w:type="dxa"/>
          </w:tcPr>
          <w:p w14:paraId="0549CD8F"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11.67</w:t>
            </w:r>
          </w:p>
        </w:tc>
        <w:tc>
          <w:tcPr>
            <w:tcW w:w="1112" w:type="dxa"/>
          </w:tcPr>
          <w:p w14:paraId="7B5F9AF2"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18.45</w:t>
            </w:r>
          </w:p>
        </w:tc>
        <w:tc>
          <w:tcPr>
            <w:tcW w:w="2656" w:type="dxa"/>
          </w:tcPr>
          <w:p w14:paraId="1DC8385E" w14:textId="77777777" w:rsidR="00361AC5" w:rsidRPr="00200528" w:rsidRDefault="00A36BCD" w:rsidP="00361AC5">
            <w:pPr>
              <w:jc w:val="both"/>
              <w:rPr>
                <w:rFonts w:asciiTheme="majorBidi" w:hAnsiTheme="majorBidi" w:cstheme="majorBidi"/>
                <w:sz w:val="24"/>
                <w:szCs w:val="24"/>
              </w:rPr>
            </w:pPr>
            <w:r w:rsidRPr="00200528">
              <w:rPr>
                <w:rFonts w:asciiTheme="majorBidi" w:hAnsiTheme="majorBidi" w:cstheme="majorBidi"/>
                <w:sz w:val="24"/>
                <w:szCs w:val="24"/>
              </w:rPr>
              <w:t>Rest Seasons</w:t>
            </w:r>
          </w:p>
        </w:tc>
        <w:tc>
          <w:tcPr>
            <w:tcW w:w="1712" w:type="dxa"/>
          </w:tcPr>
          <w:p w14:paraId="25272AC4" w14:textId="77777777" w:rsidR="00361AC5" w:rsidRPr="00200528" w:rsidRDefault="00AB237E" w:rsidP="00361AC5">
            <w:pPr>
              <w:jc w:val="both"/>
              <w:rPr>
                <w:rFonts w:asciiTheme="majorBidi" w:hAnsiTheme="majorBidi" w:cstheme="majorBidi"/>
                <w:sz w:val="24"/>
                <w:szCs w:val="24"/>
              </w:rPr>
            </w:pPr>
            <w:r w:rsidRPr="00200528">
              <w:rPr>
                <w:rFonts w:asciiTheme="majorBidi" w:hAnsiTheme="majorBidi" w:cstheme="majorBidi"/>
                <w:sz w:val="24"/>
                <w:szCs w:val="24"/>
              </w:rPr>
              <w:t>Winter, Spring</w:t>
            </w:r>
          </w:p>
        </w:tc>
        <w:tc>
          <w:tcPr>
            <w:tcW w:w="1193" w:type="dxa"/>
          </w:tcPr>
          <w:p w14:paraId="6AA07904" w14:textId="77777777" w:rsidR="00361AC5" w:rsidRPr="00200528" w:rsidRDefault="00361AC5" w:rsidP="00361AC5">
            <w:pPr>
              <w:jc w:val="both"/>
              <w:rPr>
                <w:rFonts w:asciiTheme="majorBidi" w:hAnsiTheme="majorBidi" w:cstheme="majorBidi"/>
                <w:sz w:val="24"/>
                <w:szCs w:val="24"/>
              </w:rPr>
            </w:pPr>
          </w:p>
        </w:tc>
      </w:tr>
      <w:tr w:rsidR="003C2548" w:rsidRPr="00200528" w14:paraId="0C79A31F" w14:textId="77777777" w:rsidTr="005B5F74">
        <w:trPr>
          <w:trHeight w:val="369"/>
        </w:trPr>
        <w:tc>
          <w:tcPr>
            <w:tcW w:w="1624" w:type="dxa"/>
            <w:noWrap/>
            <w:hideMark/>
          </w:tcPr>
          <w:p w14:paraId="6B741C76"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Ace</w:t>
            </w:r>
          </w:p>
        </w:tc>
        <w:tc>
          <w:tcPr>
            <w:tcW w:w="1679" w:type="dxa"/>
          </w:tcPr>
          <w:p w14:paraId="6074C557"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44–640</w:t>
            </w:r>
          </w:p>
        </w:tc>
        <w:tc>
          <w:tcPr>
            <w:tcW w:w="779" w:type="dxa"/>
          </w:tcPr>
          <w:p w14:paraId="7AC378C9"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11.20</w:t>
            </w:r>
          </w:p>
        </w:tc>
        <w:tc>
          <w:tcPr>
            <w:tcW w:w="1112" w:type="dxa"/>
          </w:tcPr>
          <w:p w14:paraId="37FDC396"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21.99</w:t>
            </w:r>
          </w:p>
        </w:tc>
        <w:tc>
          <w:tcPr>
            <w:tcW w:w="2656" w:type="dxa"/>
          </w:tcPr>
          <w:p w14:paraId="1D45220B"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0037BD97" w14:textId="77777777" w:rsidR="00361AC5" w:rsidRPr="00200528" w:rsidRDefault="00361AC5" w:rsidP="00361AC5">
            <w:pPr>
              <w:jc w:val="both"/>
              <w:rPr>
                <w:rFonts w:asciiTheme="majorBidi" w:hAnsiTheme="majorBidi" w:cstheme="majorBidi"/>
                <w:sz w:val="24"/>
                <w:szCs w:val="24"/>
              </w:rPr>
            </w:pPr>
          </w:p>
        </w:tc>
        <w:tc>
          <w:tcPr>
            <w:tcW w:w="1193" w:type="dxa"/>
          </w:tcPr>
          <w:p w14:paraId="7571092B" w14:textId="77777777" w:rsidR="00361AC5" w:rsidRPr="00200528" w:rsidRDefault="00361AC5" w:rsidP="00361AC5">
            <w:pPr>
              <w:jc w:val="both"/>
              <w:rPr>
                <w:rFonts w:asciiTheme="majorBidi" w:hAnsiTheme="majorBidi" w:cstheme="majorBidi"/>
                <w:sz w:val="24"/>
                <w:szCs w:val="24"/>
              </w:rPr>
            </w:pPr>
          </w:p>
        </w:tc>
      </w:tr>
      <w:tr w:rsidR="003C2548" w:rsidRPr="00200528" w14:paraId="47CBCD6C" w14:textId="77777777" w:rsidTr="005B5F74">
        <w:trPr>
          <w:trHeight w:val="369"/>
        </w:trPr>
        <w:tc>
          <w:tcPr>
            <w:tcW w:w="1624" w:type="dxa"/>
            <w:noWrap/>
            <w:hideMark/>
          </w:tcPr>
          <w:p w14:paraId="31739EB9"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FI</w:t>
            </w:r>
          </w:p>
        </w:tc>
        <w:tc>
          <w:tcPr>
            <w:tcW w:w="1679" w:type="dxa"/>
          </w:tcPr>
          <w:p w14:paraId="3B9CFD78"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19–540</w:t>
            </w:r>
          </w:p>
        </w:tc>
        <w:tc>
          <w:tcPr>
            <w:tcW w:w="779" w:type="dxa"/>
          </w:tcPr>
          <w:p w14:paraId="10B4AB67"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11.89</w:t>
            </w:r>
          </w:p>
        </w:tc>
        <w:tc>
          <w:tcPr>
            <w:tcW w:w="1112" w:type="dxa"/>
          </w:tcPr>
          <w:p w14:paraId="7E205AD7"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23.30</w:t>
            </w:r>
          </w:p>
        </w:tc>
        <w:tc>
          <w:tcPr>
            <w:tcW w:w="2656" w:type="dxa"/>
          </w:tcPr>
          <w:p w14:paraId="3A49F4CC" w14:textId="77777777" w:rsidR="00361AC5" w:rsidRPr="00200528" w:rsidRDefault="00A36BCD" w:rsidP="00361AC5">
            <w:pPr>
              <w:jc w:val="both"/>
              <w:rPr>
                <w:rFonts w:asciiTheme="majorBidi" w:hAnsiTheme="majorBidi" w:cstheme="majorBidi"/>
                <w:sz w:val="24"/>
                <w:szCs w:val="24"/>
              </w:rPr>
            </w:pPr>
            <w:r w:rsidRPr="00200528">
              <w:rPr>
                <w:rFonts w:asciiTheme="majorBidi" w:hAnsiTheme="majorBidi" w:cstheme="majorBidi"/>
                <w:sz w:val="24"/>
                <w:szCs w:val="24"/>
              </w:rPr>
              <w:t>Rest Seasons</w:t>
            </w:r>
          </w:p>
        </w:tc>
        <w:tc>
          <w:tcPr>
            <w:tcW w:w="1712" w:type="dxa"/>
          </w:tcPr>
          <w:p w14:paraId="42411857" w14:textId="77777777" w:rsidR="00361AC5" w:rsidRPr="00200528" w:rsidRDefault="00AB237E" w:rsidP="00361AC5">
            <w:pPr>
              <w:jc w:val="both"/>
              <w:rPr>
                <w:rFonts w:asciiTheme="majorBidi" w:hAnsiTheme="majorBidi" w:cstheme="majorBidi"/>
                <w:sz w:val="24"/>
                <w:szCs w:val="24"/>
              </w:rPr>
            </w:pPr>
            <w:r w:rsidRPr="00200528">
              <w:rPr>
                <w:rFonts w:asciiTheme="majorBidi" w:hAnsiTheme="majorBidi" w:cstheme="majorBidi"/>
                <w:sz w:val="24"/>
                <w:szCs w:val="24"/>
              </w:rPr>
              <w:t xml:space="preserve">Spring autumn </w:t>
            </w:r>
          </w:p>
        </w:tc>
        <w:tc>
          <w:tcPr>
            <w:tcW w:w="1193" w:type="dxa"/>
          </w:tcPr>
          <w:p w14:paraId="564FA077" w14:textId="77777777" w:rsidR="00361AC5" w:rsidRPr="00200528" w:rsidRDefault="00361AC5" w:rsidP="00361AC5">
            <w:pPr>
              <w:jc w:val="both"/>
              <w:rPr>
                <w:rFonts w:asciiTheme="majorBidi" w:hAnsiTheme="majorBidi" w:cstheme="majorBidi"/>
                <w:b/>
                <w:bCs/>
                <w:sz w:val="24"/>
                <w:szCs w:val="24"/>
              </w:rPr>
            </w:pPr>
          </w:p>
        </w:tc>
      </w:tr>
      <w:tr w:rsidR="003C2548" w:rsidRPr="00200528" w14:paraId="679BB219" w14:textId="77777777" w:rsidTr="005B5F74">
        <w:trPr>
          <w:trHeight w:val="369"/>
        </w:trPr>
        <w:tc>
          <w:tcPr>
            <w:tcW w:w="1624" w:type="dxa"/>
            <w:noWrap/>
            <w:hideMark/>
          </w:tcPr>
          <w:p w14:paraId="70947A0E"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Phe</w:t>
            </w:r>
          </w:p>
        </w:tc>
        <w:tc>
          <w:tcPr>
            <w:tcW w:w="1679" w:type="dxa"/>
          </w:tcPr>
          <w:p w14:paraId="0B1B526A"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240–1500</w:t>
            </w:r>
          </w:p>
        </w:tc>
        <w:tc>
          <w:tcPr>
            <w:tcW w:w="779" w:type="dxa"/>
          </w:tcPr>
          <w:p w14:paraId="32357291"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14.58</w:t>
            </w:r>
          </w:p>
        </w:tc>
        <w:tc>
          <w:tcPr>
            <w:tcW w:w="1112" w:type="dxa"/>
          </w:tcPr>
          <w:p w14:paraId="4778F825"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23.21</w:t>
            </w:r>
          </w:p>
        </w:tc>
        <w:tc>
          <w:tcPr>
            <w:tcW w:w="2656" w:type="dxa"/>
          </w:tcPr>
          <w:p w14:paraId="06D48A9F"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22D6ADCF" w14:textId="77777777" w:rsidR="00361AC5" w:rsidRPr="00200528" w:rsidRDefault="00361AC5" w:rsidP="00361AC5">
            <w:pPr>
              <w:jc w:val="both"/>
              <w:rPr>
                <w:rFonts w:asciiTheme="majorBidi" w:hAnsiTheme="majorBidi" w:cstheme="majorBidi"/>
                <w:sz w:val="24"/>
                <w:szCs w:val="24"/>
              </w:rPr>
            </w:pPr>
          </w:p>
        </w:tc>
        <w:tc>
          <w:tcPr>
            <w:tcW w:w="1193" w:type="dxa"/>
          </w:tcPr>
          <w:p w14:paraId="20D6B2F2" w14:textId="77777777" w:rsidR="00361AC5" w:rsidRPr="00200528" w:rsidRDefault="00361AC5" w:rsidP="00361AC5">
            <w:pPr>
              <w:jc w:val="both"/>
              <w:rPr>
                <w:rFonts w:asciiTheme="majorBidi" w:hAnsiTheme="majorBidi" w:cstheme="majorBidi"/>
                <w:sz w:val="24"/>
                <w:szCs w:val="24"/>
              </w:rPr>
            </w:pPr>
          </w:p>
        </w:tc>
      </w:tr>
      <w:tr w:rsidR="003C2548" w:rsidRPr="00200528" w14:paraId="52880DBF" w14:textId="77777777" w:rsidTr="005B5F74">
        <w:trPr>
          <w:trHeight w:val="369"/>
        </w:trPr>
        <w:tc>
          <w:tcPr>
            <w:tcW w:w="1624" w:type="dxa"/>
            <w:noWrap/>
            <w:hideMark/>
          </w:tcPr>
          <w:p w14:paraId="5B0C4E29"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Ant</w:t>
            </w:r>
          </w:p>
        </w:tc>
        <w:tc>
          <w:tcPr>
            <w:tcW w:w="1679" w:type="dxa"/>
          </w:tcPr>
          <w:p w14:paraId="021F5603"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600–5100</w:t>
            </w:r>
          </w:p>
        </w:tc>
        <w:tc>
          <w:tcPr>
            <w:tcW w:w="779" w:type="dxa"/>
          </w:tcPr>
          <w:p w14:paraId="07335FC6"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13.21</w:t>
            </w:r>
          </w:p>
        </w:tc>
        <w:tc>
          <w:tcPr>
            <w:tcW w:w="1112" w:type="dxa"/>
          </w:tcPr>
          <w:p w14:paraId="58EDE8A0"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24.85</w:t>
            </w:r>
          </w:p>
        </w:tc>
        <w:tc>
          <w:tcPr>
            <w:tcW w:w="2656" w:type="dxa"/>
          </w:tcPr>
          <w:p w14:paraId="3A022DB7"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00A089BF" w14:textId="77777777" w:rsidR="00361AC5" w:rsidRPr="00200528" w:rsidRDefault="00361AC5" w:rsidP="00361AC5">
            <w:pPr>
              <w:jc w:val="both"/>
              <w:rPr>
                <w:rFonts w:asciiTheme="majorBidi" w:hAnsiTheme="majorBidi" w:cstheme="majorBidi"/>
                <w:sz w:val="24"/>
                <w:szCs w:val="24"/>
              </w:rPr>
            </w:pPr>
          </w:p>
        </w:tc>
        <w:tc>
          <w:tcPr>
            <w:tcW w:w="1193" w:type="dxa"/>
          </w:tcPr>
          <w:p w14:paraId="29D103B5" w14:textId="77777777" w:rsidR="00361AC5" w:rsidRPr="00200528" w:rsidRDefault="00361AC5" w:rsidP="00361AC5">
            <w:pPr>
              <w:jc w:val="both"/>
              <w:rPr>
                <w:rFonts w:asciiTheme="majorBidi" w:hAnsiTheme="majorBidi" w:cstheme="majorBidi"/>
                <w:sz w:val="24"/>
                <w:szCs w:val="24"/>
              </w:rPr>
            </w:pPr>
          </w:p>
        </w:tc>
      </w:tr>
      <w:tr w:rsidR="003C2548" w:rsidRPr="00200528" w14:paraId="37072752" w14:textId="77777777" w:rsidTr="005B5F74">
        <w:trPr>
          <w:trHeight w:val="369"/>
        </w:trPr>
        <w:tc>
          <w:tcPr>
            <w:tcW w:w="1624" w:type="dxa"/>
            <w:noWrap/>
            <w:hideMark/>
          </w:tcPr>
          <w:p w14:paraId="4884394E"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Flu</w:t>
            </w:r>
          </w:p>
        </w:tc>
        <w:tc>
          <w:tcPr>
            <w:tcW w:w="1679" w:type="dxa"/>
          </w:tcPr>
          <w:p w14:paraId="1397507D"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85.3–1100</w:t>
            </w:r>
          </w:p>
        </w:tc>
        <w:tc>
          <w:tcPr>
            <w:tcW w:w="779" w:type="dxa"/>
          </w:tcPr>
          <w:p w14:paraId="2EF77526"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8.99</w:t>
            </w:r>
          </w:p>
        </w:tc>
        <w:tc>
          <w:tcPr>
            <w:tcW w:w="1112" w:type="dxa"/>
          </w:tcPr>
          <w:p w14:paraId="6655ECF2"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21.44</w:t>
            </w:r>
          </w:p>
        </w:tc>
        <w:tc>
          <w:tcPr>
            <w:tcW w:w="2656" w:type="dxa"/>
          </w:tcPr>
          <w:p w14:paraId="096FFE52"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287C53AD" w14:textId="77777777" w:rsidR="00361AC5" w:rsidRPr="00200528" w:rsidRDefault="00361AC5" w:rsidP="00361AC5">
            <w:pPr>
              <w:jc w:val="both"/>
              <w:rPr>
                <w:rFonts w:asciiTheme="majorBidi" w:hAnsiTheme="majorBidi" w:cstheme="majorBidi"/>
                <w:sz w:val="24"/>
                <w:szCs w:val="24"/>
              </w:rPr>
            </w:pPr>
          </w:p>
        </w:tc>
        <w:tc>
          <w:tcPr>
            <w:tcW w:w="1193" w:type="dxa"/>
          </w:tcPr>
          <w:p w14:paraId="44A2DD0D" w14:textId="77777777" w:rsidR="00361AC5" w:rsidRPr="00200528" w:rsidRDefault="00361AC5" w:rsidP="00361AC5">
            <w:pPr>
              <w:jc w:val="both"/>
              <w:rPr>
                <w:rFonts w:asciiTheme="majorBidi" w:hAnsiTheme="majorBidi" w:cstheme="majorBidi"/>
                <w:sz w:val="24"/>
                <w:szCs w:val="24"/>
              </w:rPr>
            </w:pPr>
          </w:p>
        </w:tc>
      </w:tr>
      <w:tr w:rsidR="003C2548" w:rsidRPr="00200528" w14:paraId="00C19214" w14:textId="77777777" w:rsidTr="005B5F74">
        <w:trPr>
          <w:trHeight w:val="369"/>
        </w:trPr>
        <w:tc>
          <w:tcPr>
            <w:tcW w:w="1624" w:type="dxa"/>
            <w:noWrap/>
            <w:hideMark/>
          </w:tcPr>
          <w:p w14:paraId="287C4856"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Pyr</w:t>
            </w:r>
            <w:proofErr w:type="spellEnd"/>
          </w:p>
        </w:tc>
        <w:tc>
          <w:tcPr>
            <w:tcW w:w="1679" w:type="dxa"/>
          </w:tcPr>
          <w:p w14:paraId="42EFD306"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665–2500</w:t>
            </w:r>
          </w:p>
        </w:tc>
        <w:tc>
          <w:tcPr>
            <w:tcW w:w="779" w:type="dxa"/>
          </w:tcPr>
          <w:p w14:paraId="057F6779"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11.40</w:t>
            </w:r>
          </w:p>
        </w:tc>
        <w:tc>
          <w:tcPr>
            <w:tcW w:w="1112" w:type="dxa"/>
          </w:tcPr>
          <w:p w14:paraId="03B13BB7"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36.00</w:t>
            </w:r>
          </w:p>
        </w:tc>
        <w:tc>
          <w:tcPr>
            <w:tcW w:w="2656" w:type="dxa"/>
          </w:tcPr>
          <w:p w14:paraId="414C9C25"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330F07EA" w14:textId="77777777" w:rsidR="00361AC5" w:rsidRPr="00200528" w:rsidRDefault="00361AC5" w:rsidP="00361AC5">
            <w:pPr>
              <w:jc w:val="both"/>
              <w:rPr>
                <w:rFonts w:asciiTheme="majorBidi" w:hAnsiTheme="majorBidi" w:cstheme="majorBidi"/>
                <w:sz w:val="24"/>
                <w:szCs w:val="24"/>
              </w:rPr>
            </w:pPr>
          </w:p>
        </w:tc>
        <w:tc>
          <w:tcPr>
            <w:tcW w:w="1193" w:type="dxa"/>
          </w:tcPr>
          <w:p w14:paraId="62AF78FE" w14:textId="77777777" w:rsidR="00361AC5" w:rsidRPr="00200528" w:rsidRDefault="00361AC5" w:rsidP="00361AC5">
            <w:pPr>
              <w:jc w:val="both"/>
              <w:rPr>
                <w:rFonts w:asciiTheme="majorBidi" w:hAnsiTheme="majorBidi" w:cstheme="majorBidi"/>
                <w:sz w:val="24"/>
                <w:szCs w:val="24"/>
              </w:rPr>
            </w:pPr>
          </w:p>
        </w:tc>
      </w:tr>
      <w:tr w:rsidR="003C2548" w:rsidRPr="00200528" w14:paraId="599139A3" w14:textId="77777777" w:rsidTr="005B5F74">
        <w:trPr>
          <w:trHeight w:val="369"/>
        </w:trPr>
        <w:tc>
          <w:tcPr>
            <w:tcW w:w="1624" w:type="dxa"/>
            <w:noWrap/>
            <w:hideMark/>
          </w:tcPr>
          <w:p w14:paraId="1D0DA8AA"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BaA</w:t>
            </w:r>
            <w:proofErr w:type="spellEnd"/>
          </w:p>
        </w:tc>
        <w:tc>
          <w:tcPr>
            <w:tcW w:w="1679" w:type="dxa"/>
          </w:tcPr>
          <w:p w14:paraId="300C395B"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261–1600</w:t>
            </w:r>
          </w:p>
        </w:tc>
        <w:tc>
          <w:tcPr>
            <w:tcW w:w="779" w:type="dxa"/>
          </w:tcPr>
          <w:p w14:paraId="600134DB"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10.17</w:t>
            </w:r>
          </w:p>
        </w:tc>
        <w:tc>
          <w:tcPr>
            <w:tcW w:w="1112" w:type="dxa"/>
          </w:tcPr>
          <w:p w14:paraId="2955A11F"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32.88</w:t>
            </w:r>
          </w:p>
        </w:tc>
        <w:tc>
          <w:tcPr>
            <w:tcW w:w="2656" w:type="dxa"/>
          </w:tcPr>
          <w:p w14:paraId="5512DF1A"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5005D52A" w14:textId="77777777" w:rsidR="00361AC5" w:rsidRPr="00200528" w:rsidRDefault="00361AC5" w:rsidP="00361AC5">
            <w:pPr>
              <w:jc w:val="both"/>
              <w:rPr>
                <w:rFonts w:asciiTheme="majorBidi" w:hAnsiTheme="majorBidi" w:cstheme="majorBidi"/>
                <w:sz w:val="24"/>
                <w:szCs w:val="24"/>
              </w:rPr>
            </w:pPr>
          </w:p>
        </w:tc>
        <w:tc>
          <w:tcPr>
            <w:tcW w:w="1193" w:type="dxa"/>
          </w:tcPr>
          <w:p w14:paraId="0ACF9B9B" w14:textId="77777777" w:rsidR="00361AC5" w:rsidRPr="00200528" w:rsidRDefault="00361AC5" w:rsidP="00361AC5">
            <w:pPr>
              <w:jc w:val="both"/>
              <w:rPr>
                <w:rFonts w:asciiTheme="majorBidi" w:hAnsiTheme="majorBidi" w:cstheme="majorBidi"/>
                <w:sz w:val="24"/>
                <w:szCs w:val="24"/>
              </w:rPr>
            </w:pPr>
          </w:p>
        </w:tc>
      </w:tr>
      <w:tr w:rsidR="003C2548" w:rsidRPr="00200528" w14:paraId="474EE37A" w14:textId="77777777" w:rsidTr="005B5F74">
        <w:trPr>
          <w:trHeight w:val="369"/>
        </w:trPr>
        <w:tc>
          <w:tcPr>
            <w:tcW w:w="1624" w:type="dxa"/>
            <w:noWrap/>
            <w:hideMark/>
          </w:tcPr>
          <w:p w14:paraId="335D0220"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Chr</w:t>
            </w:r>
          </w:p>
        </w:tc>
        <w:tc>
          <w:tcPr>
            <w:tcW w:w="1679" w:type="dxa"/>
          </w:tcPr>
          <w:p w14:paraId="12274C49"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384–2800</w:t>
            </w:r>
          </w:p>
        </w:tc>
        <w:tc>
          <w:tcPr>
            <w:tcW w:w="779" w:type="dxa"/>
          </w:tcPr>
          <w:p w14:paraId="08A64B03"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16.16</w:t>
            </w:r>
          </w:p>
        </w:tc>
        <w:tc>
          <w:tcPr>
            <w:tcW w:w="1112" w:type="dxa"/>
          </w:tcPr>
          <w:p w14:paraId="6E98784C"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50.82</w:t>
            </w:r>
          </w:p>
        </w:tc>
        <w:tc>
          <w:tcPr>
            <w:tcW w:w="2656" w:type="dxa"/>
          </w:tcPr>
          <w:p w14:paraId="6A4BDD04"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7B6AC162" w14:textId="77777777" w:rsidR="00361AC5" w:rsidRPr="00200528" w:rsidRDefault="00361AC5" w:rsidP="00361AC5">
            <w:pPr>
              <w:jc w:val="both"/>
              <w:rPr>
                <w:rFonts w:asciiTheme="majorBidi" w:hAnsiTheme="majorBidi" w:cstheme="majorBidi"/>
                <w:sz w:val="24"/>
                <w:szCs w:val="24"/>
              </w:rPr>
            </w:pPr>
          </w:p>
        </w:tc>
        <w:tc>
          <w:tcPr>
            <w:tcW w:w="1193" w:type="dxa"/>
          </w:tcPr>
          <w:p w14:paraId="4989D220" w14:textId="77777777" w:rsidR="00361AC5" w:rsidRPr="00200528" w:rsidRDefault="00361AC5" w:rsidP="00361AC5">
            <w:pPr>
              <w:jc w:val="both"/>
              <w:rPr>
                <w:rFonts w:asciiTheme="majorBidi" w:hAnsiTheme="majorBidi" w:cstheme="majorBidi"/>
                <w:sz w:val="24"/>
                <w:szCs w:val="24"/>
              </w:rPr>
            </w:pPr>
          </w:p>
        </w:tc>
      </w:tr>
      <w:tr w:rsidR="003C2548" w:rsidRPr="00200528" w14:paraId="500B269C" w14:textId="77777777" w:rsidTr="005B5F74">
        <w:trPr>
          <w:trHeight w:val="369"/>
        </w:trPr>
        <w:tc>
          <w:tcPr>
            <w:tcW w:w="1624" w:type="dxa"/>
            <w:noWrap/>
            <w:hideMark/>
          </w:tcPr>
          <w:p w14:paraId="38798E98"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BbF</w:t>
            </w:r>
            <w:proofErr w:type="spellEnd"/>
          </w:p>
        </w:tc>
        <w:tc>
          <w:tcPr>
            <w:tcW w:w="1679" w:type="dxa"/>
          </w:tcPr>
          <w:p w14:paraId="2A603DCE"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320–1880</w:t>
            </w:r>
          </w:p>
        </w:tc>
        <w:tc>
          <w:tcPr>
            <w:tcW w:w="779" w:type="dxa"/>
          </w:tcPr>
          <w:p w14:paraId="492FC07B"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22.93</w:t>
            </w:r>
          </w:p>
        </w:tc>
        <w:tc>
          <w:tcPr>
            <w:tcW w:w="1112" w:type="dxa"/>
          </w:tcPr>
          <w:p w14:paraId="47F814D0"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42.62</w:t>
            </w:r>
          </w:p>
        </w:tc>
        <w:tc>
          <w:tcPr>
            <w:tcW w:w="2656" w:type="dxa"/>
          </w:tcPr>
          <w:p w14:paraId="13433925"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14F40228" w14:textId="77777777" w:rsidR="00361AC5" w:rsidRPr="00200528" w:rsidRDefault="00361AC5" w:rsidP="00361AC5">
            <w:pPr>
              <w:jc w:val="both"/>
              <w:rPr>
                <w:rFonts w:asciiTheme="majorBidi" w:hAnsiTheme="majorBidi" w:cstheme="majorBidi"/>
                <w:sz w:val="24"/>
                <w:szCs w:val="24"/>
              </w:rPr>
            </w:pPr>
          </w:p>
        </w:tc>
        <w:tc>
          <w:tcPr>
            <w:tcW w:w="1193" w:type="dxa"/>
          </w:tcPr>
          <w:p w14:paraId="70037778" w14:textId="77777777" w:rsidR="00361AC5" w:rsidRPr="00200528" w:rsidRDefault="00361AC5" w:rsidP="00361AC5">
            <w:pPr>
              <w:jc w:val="both"/>
              <w:rPr>
                <w:rFonts w:asciiTheme="majorBidi" w:hAnsiTheme="majorBidi" w:cstheme="majorBidi"/>
                <w:sz w:val="24"/>
                <w:szCs w:val="24"/>
              </w:rPr>
            </w:pPr>
          </w:p>
        </w:tc>
      </w:tr>
      <w:tr w:rsidR="003C2548" w:rsidRPr="00200528" w14:paraId="38EE2350" w14:textId="77777777" w:rsidTr="005B5F74">
        <w:trPr>
          <w:trHeight w:val="369"/>
        </w:trPr>
        <w:tc>
          <w:tcPr>
            <w:tcW w:w="1624" w:type="dxa"/>
            <w:noWrap/>
            <w:hideMark/>
          </w:tcPr>
          <w:p w14:paraId="56D51DCA"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BkF</w:t>
            </w:r>
            <w:proofErr w:type="spellEnd"/>
          </w:p>
        </w:tc>
        <w:tc>
          <w:tcPr>
            <w:tcW w:w="1679" w:type="dxa"/>
          </w:tcPr>
          <w:p w14:paraId="48E4B688"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280–1620</w:t>
            </w:r>
          </w:p>
        </w:tc>
        <w:tc>
          <w:tcPr>
            <w:tcW w:w="779" w:type="dxa"/>
          </w:tcPr>
          <w:p w14:paraId="093B6BAE"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26.31</w:t>
            </w:r>
          </w:p>
        </w:tc>
        <w:tc>
          <w:tcPr>
            <w:tcW w:w="1112" w:type="dxa"/>
          </w:tcPr>
          <w:p w14:paraId="479EB7BF"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36.85</w:t>
            </w:r>
          </w:p>
        </w:tc>
        <w:tc>
          <w:tcPr>
            <w:tcW w:w="2656" w:type="dxa"/>
          </w:tcPr>
          <w:p w14:paraId="2EFBE371"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105143B7" w14:textId="77777777" w:rsidR="00361AC5" w:rsidRPr="00200528" w:rsidRDefault="00361AC5" w:rsidP="00361AC5">
            <w:pPr>
              <w:jc w:val="both"/>
              <w:rPr>
                <w:rFonts w:asciiTheme="majorBidi" w:hAnsiTheme="majorBidi" w:cstheme="majorBidi"/>
                <w:sz w:val="24"/>
                <w:szCs w:val="24"/>
              </w:rPr>
            </w:pPr>
          </w:p>
        </w:tc>
        <w:tc>
          <w:tcPr>
            <w:tcW w:w="1193" w:type="dxa"/>
          </w:tcPr>
          <w:p w14:paraId="189F78E8" w14:textId="77777777" w:rsidR="00361AC5" w:rsidRPr="00200528" w:rsidRDefault="00361AC5" w:rsidP="00361AC5">
            <w:pPr>
              <w:jc w:val="both"/>
              <w:rPr>
                <w:rFonts w:asciiTheme="majorBidi" w:hAnsiTheme="majorBidi" w:cstheme="majorBidi"/>
                <w:sz w:val="24"/>
                <w:szCs w:val="24"/>
              </w:rPr>
            </w:pPr>
          </w:p>
        </w:tc>
      </w:tr>
      <w:tr w:rsidR="003C2548" w:rsidRPr="00200528" w14:paraId="6836A6BD" w14:textId="77777777" w:rsidTr="005B5F74">
        <w:trPr>
          <w:trHeight w:val="369"/>
        </w:trPr>
        <w:tc>
          <w:tcPr>
            <w:tcW w:w="1624" w:type="dxa"/>
            <w:noWrap/>
            <w:hideMark/>
          </w:tcPr>
          <w:p w14:paraId="22CD9565"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BaP</w:t>
            </w:r>
            <w:proofErr w:type="spellEnd"/>
          </w:p>
        </w:tc>
        <w:tc>
          <w:tcPr>
            <w:tcW w:w="1679" w:type="dxa"/>
          </w:tcPr>
          <w:p w14:paraId="43E91BA8"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430–1600</w:t>
            </w:r>
          </w:p>
        </w:tc>
        <w:tc>
          <w:tcPr>
            <w:tcW w:w="779" w:type="dxa"/>
          </w:tcPr>
          <w:p w14:paraId="60D6DF4F"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28.79</w:t>
            </w:r>
          </w:p>
        </w:tc>
        <w:tc>
          <w:tcPr>
            <w:tcW w:w="1112" w:type="dxa"/>
          </w:tcPr>
          <w:p w14:paraId="2E41CD64"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52.47</w:t>
            </w:r>
          </w:p>
        </w:tc>
        <w:tc>
          <w:tcPr>
            <w:tcW w:w="2656" w:type="dxa"/>
          </w:tcPr>
          <w:p w14:paraId="2D713A30"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6BD21A80" w14:textId="77777777" w:rsidR="00361AC5" w:rsidRPr="00200528" w:rsidRDefault="00361AC5" w:rsidP="00361AC5">
            <w:pPr>
              <w:jc w:val="both"/>
              <w:rPr>
                <w:rFonts w:asciiTheme="majorBidi" w:hAnsiTheme="majorBidi" w:cstheme="majorBidi"/>
                <w:sz w:val="24"/>
                <w:szCs w:val="24"/>
              </w:rPr>
            </w:pPr>
          </w:p>
        </w:tc>
        <w:tc>
          <w:tcPr>
            <w:tcW w:w="1193" w:type="dxa"/>
          </w:tcPr>
          <w:p w14:paraId="764FA33F" w14:textId="77777777" w:rsidR="00361AC5" w:rsidRPr="00200528" w:rsidRDefault="00361AC5" w:rsidP="00361AC5">
            <w:pPr>
              <w:jc w:val="both"/>
              <w:rPr>
                <w:rFonts w:asciiTheme="majorBidi" w:hAnsiTheme="majorBidi" w:cstheme="majorBidi"/>
                <w:sz w:val="24"/>
                <w:szCs w:val="24"/>
              </w:rPr>
            </w:pPr>
          </w:p>
        </w:tc>
      </w:tr>
      <w:tr w:rsidR="003C2548" w:rsidRPr="00200528" w14:paraId="520ADCD8" w14:textId="77777777" w:rsidTr="005B5F74">
        <w:trPr>
          <w:trHeight w:val="369"/>
        </w:trPr>
        <w:tc>
          <w:tcPr>
            <w:tcW w:w="1624" w:type="dxa"/>
            <w:noWrap/>
            <w:hideMark/>
          </w:tcPr>
          <w:p w14:paraId="13A78E6F"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DBA</w:t>
            </w:r>
          </w:p>
        </w:tc>
        <w:tc>
          <w:tcPr>
            <w:tcW w:w="1679" w:type="dxa"/>
          </w:tcPr>
          <w:p w14:paraId="1E0FEFC6"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63.4–260</w:t>
            </w:r>
          </w:p>
        </w:tc>
        <w:tc>
          <w:tcPr>
            <w:tcW w:w="779" w:type="dxa"/>
          </w:tcPr>
          <w:p w14:paraId="646E424A"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14.97</w:t>
            </w:r>
          </w:p>
        </w:tc>
        <w:tc>
          <w:tcPr>
            <w:tcW w:w="1112" w:type="dxa"/>
          </w:tcPr>
          <w:p w14:paraId="74F1F608"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42.42</w:t>
            </w:r>
          </w:p>
        </w:tc>
        <w:tc>
          <w:tcPr>
            <w:tcW w:w="2656" w:type="dxa"/>
          </w:tcPr>
          <w:p w14:paraId="0178995B"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0A9FE2B2" w14:textId="77777777" w:rsidR="00361AC5" w:rsidRPr="00200528" w:rsidRDefault="00361AC5" w:rsidP="00361AC5">
            <w:pPr>
              <w:jc w:val="both"/>
              <w:rPr>
                <w:rFonts w:asciiTheme="majorBidi" w:hAnsiTheme="majorBidi" w:cstheme="majorBidi"/>
                <w:sz w:val="24"/>
                <w:szCs w:val="24"/>
              </w:rPr>
            </w:pPr>
          </w:p>
        </w:tc>
        <w:tc>
          <w:tcPr>
            <w:tcW w:w="1193" w:type="dxa"/>
          </w:tcPr>
          <w:p w14:paraId="32C887B4" w14:textId="77777777" w:rsidR="00361AC5" w:rsidRPr="00200528" w:rsidRDefault="00361AC5" w:rsidP="00361AC5">
            <w:pPr>
              <w:jc w:val="both"/>
              <w:rPr>
                <w:rFonts w:asciiTheme="majorBidi" w:hAnsiTheme="majorBidi" w:cstheme="majorBidi"/>
                <w:sz w:val="24"/>
                <w:szCs w:val="24"/>
              </w:rPr>
            </w:pPr>
          </w:p>
        </w:tc>
      </w:tr>
      <w:tr w:rsidR="003C2548" w:rsidRPr="00200528" w14:paraId="19A45432" w14:textId="77777777" w:rsidTr="005B5F74">
        <w:trPr>
          <w:trHeight w:val="369"/>
        </w:trPr>
        <w:tc>
          <w:tcPr>
            <w:tcW w:w="1624" w:type="dxa"/>
            <w:noWrap/>
            <w:hideMark/>
          </w:tcPr>
          <w:p w14:paraId="05C72180" w14:textId="77777777" w:rsidR="00361AC5" w:rsidRPr="00200528" w:rsidRDefault="00361AC5" w:rsidP="00361AC5">
            <w:pPr>
              <w:jc w:val="both"/>
              <w:rPr>
                <w:rFonts w:asciiTheme="majorBidi" w:hAnsiTheme="majorBidi" w:cstheme="majorBidi"/>
                <w:sz w:val="24"/>
                <w:szCs w:val="24"/>
              </w:rPr>
            </w:pPr>
            <w:proofErr w:type="spellStart"/>
            <w:r w:rsidRPr="00200528">
              <w:rPr>
                <w:rFonts w:asciiTheme="majorBidi" w:hAnsiTheme="majorBidi" w:cstheme="majorBidi"/>
                <w:sz w:val="24"/>
                <w:szCs w:val="24"/>
              </w:rPr>
              <w:t>BghiP</w:t>
            </w:r>
            <w:proofErr w:type="spellEnd"/>
          </w:p>
        </w:tc>
        <w:tc>
          <w:tcPr>
            <w:tcW w:w="1679" w:type="dxa"/>
          </w:tcPr>
          <w:p w14:paraId="435CF12F"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430–1600</w:t>
            </w:r>
          </w:p>
        </w:tc>
        <w:tc>
          <w:tcPr>
            <w:tcW w:w="779" w:type="dxa"/>
          </w:tcPr>
          <w:p w14:paraId="5F9D6F10"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13.33</w:t>
            </w:r>
          </w:p>
        </w:tc>
        <w:tc>
          <w:tcPr>
            <w:tcW w:w="1112" w:type="dxa"/>
          </w:tcPr>
          <w:p w14:paraId="35BAB498"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33.81</w:t>
            </w:r>
          </w:p>
        </w:tc>
        <w:tc>
          <w:tcPr>
            <w:tcW w:w="2656" w:type="dxa"/>
          </w:tcPr>
          <w:p w14:paraId="56AF07C1"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Pr>
          <w:p w14:paraId="13C95D78" w14:textId="77777777" w:rsidR="00361AC5" w:rsidRPr="00200528" w:rsidRDefault="00361AC5" w:rsidP="00361AC5">
            <w:pPr>
              <w:jc w:val="both"/>
              <w:rPr>
                <w:rFonts w:asciiTheme="majorBidi" w:hAnsiTheme="majorBidi" w:cstheme="majorBidi"/>
                <w:sz w:val="24"/>
                <w:szCs w:val="24"/>
              </w:rPr>
            </w:pPr>
          </w:p>
        </w:tc>
        <w:tc>
          <w:tcPr>
            <w:tcW w:w="1193" w:type="dxa"/>
          </w:tcPr>
          <w:p w14:paraId="2F137CB7" w14:textId="77777777" w:rsidR="00361AC5" w:rsidRPr="00200528" w:rsidRDefault="00361AC5" w:rsidP="00361AC5">
            <w:pPr>
              <w:jc w:val="both"/>
              <w:rPr>
                <w:rFonts w:asciiTheme="majorBidi" w:hAnsiTheme="majorBidi" w:cstheme="majorBidi"/>
                <w:sz w:val="24"/>
                <w:szCs w:val="24"/>
              </w:rPr>
            </w:pPr>
          </w:p>
        </w:tc>
      </w:tr>
      <w:tr w:rsidR="00A36BCD" w:rsidRPr="00200528" w14:paraId="0FB294D6" w14:textId="77777777" w:rsidTr="005B5F74">
        <w:trPr>
          <w:trHeight w:val="369"/>
        </w:trPr>
        <w:tc>
          <w:tcPr>
            <w:tcW w:w="1624" w:type="dxa"/>
            <w:tcBorders>
              <w:bottom w:val="single" w:sz="4" w:space="0" w:color="auto"/>
            </w:tcBorders>
            <w:noWrap/>
            <w:hideMark/>
          </w:tcPr>
          <w:p w14:paraId="503EC23A"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IND</w:t>
            </w:r>
          </w:p>
        </w:tc>
        <w:tc>
          <w:tcPr>
            <w:tcW w:w="1679" w:type="dxa"/>
            <w:tcBorders>
              <w:bottom w:val="single" w:sz="4" w:space="0" w:color="auto"/>
            </w:tcBorders>
          </w:tcPr>
          <w:p w14:paraId="12AE1087" w14:textId="77777777" w:rsidR="00361AC5" w:rsidRPr="00200528" w:rsidRDefault="00361AC5" w:rsidP="00361AC5">
            <w:pPr>
              <w:jc w:val="both"/>
              <w:rPr>
                <w:rFonts w:asciiTheme="majorBidi" w:hAnsiTheme="majorBidi" w:cstheme="majorBidi"/>
                <w:sz w:val="24"/>
                <w:szCs w:val="24"/>
              </w:rPr>
            </w:pPr>
            <w:r w:rsidRPr="00200528">
              <w:rPr>
                <w:rFonts w:asciiTheme="majorBidi" w:hAnsiTheme="majorBidi" w:cstheme="majorBidi"/>
                <w:sz w:val="24"/>
                <w:szCs w:val="24"/>
              </w:rPr>
              <w:t>240-</w:t>
            </w:r>
          </w:p>
        </w:tc>
        <w:tc>
          <w:tcPr>
            <w:tcW w:w="779" w:type="dxa"/>
            <w:tcBorders>
              <w:bottom w:val="single" w:sz="4" w:space="0" w:color="auto"/>
            </w:tcBorders>
          </w:tcPr>
          <w:p w14:paraId="3ABCBC46"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17.00</w:t>
            </w:r>
          </w:p>
        </w:tc>
        <w:tc>
          <w:tcPr>
            <w:tcW w:w="1112" w:type="dxa"/>
            <w:tcBorders>
              <w:bottom w:val="single" w:sz="4" w:space="0" w:color="auto"/>
            </w:tcBorders>
          </w:tcPr>
          <w:p w14:paraId="758F89DD" w14:textId="77777777" w:rsidR="00361AC5" w:rsidRPr="00200528" w:rsidRDefault="00361AC5" w:rsidP="00361AC5">
            <w:pPr>
              <w:rPr>
                <w:rFonts w:asciiTheme="majorBidi" w:hAnsiTheme="majorBidi" w:cstheme="majorBidi"/>
                <w:sz w:val="24"/>
                <w:szCs w:val="24"/>
              </w:rPr>
            </w:pPr>
            <w:r w:rsidRPr="00200528">
              <w:rPr>
                <w:rFonts w:asciiTheme="majorBidi" w:hAnsiTheme="majorBidi" w:cstheme="majorBidi"/>
                <w:sz w:val="24"/>
                <w:szCs w:val="24"/>
              </w:rPr>
              <w:t>29.38</w:t>
            </w:r>
          </w:p>
        </w:tc>
        <w:tc>
          <w:tcPr>
            <w:tcW w:w="2656" w:type="dxa"/>
            <w:tcBorders>
              <w:bottom w:val="single" w:sz="4" w:space="0" w:color="auto"/>
            </w:tcBorders>
          </w:tcPr>
          <w:p w14:paraId="1EA8EB95" w14:textId="77777777" w:rsidR="00361AC5" w:rsidRPr="00200528" w:rsidRDefault="009B62CE" w:rsidP="00361AC5">
            <w:pPr>
              <w:jc w:val="both"/>
              <w:rPr>
                <w:rFonts w:asciiTheme="majorBidi" w:hAnsiTheme="majorBidi" w:cstheme="majorBidi"/>
                <w:sz w:val="24"/>
                <w:szCs w:val="24"/>
              </w:rPr>
            </w:pPr>
            <w:r w:rsidRPr="00200528">
              <w:rPr>
                <w:rFonts w:ascii="Segoe UI Symbol" w:hAnsi="Segoe UI Symbol" w:cs="Segoe UI Symbol"/>
                <w:sz w:val="24"/>
                <w:szCs w:val="24"/>
              </w:rPr>
              <w:t>✓</w:t>
            </w:r>
          </w:p>
        </w:tc>
        <w:tc>
          <w:tcPr>
            <w:tcW w:w="1712" w:type="dxa"/>
            <w:tcBorders>
              <w:bottom w:val="single" w:sz="4" w:space="0" w:color="auto"/>
            </w:tcBorders>
          </w:tcPr>
          <w:p w14:paraId="51627630" w14:textId="77777777" w:rsidR="00361AC5" w:rsidRPr="00200528" w:rsidRDefault="00361AC5" w:rsidP="00361AC5">
            <w:pPr>
              <w:jc w:val="both"/>
              <w:rPr>
                <w:rFonts w:asciiTheme="majorBidi" w:hAnsiTheme="majorBidi" w:cstheme="majorBidi"/>
                <w:sz w:val="24"/>
                <w:szCs w:val="24"/>
              </w:rPr>
            </w:pPr>
          </w:p>
        </w:tc>
        <w:tc>
          <w:tcPr>
            <w:tcW w:w="1193" w:type="dxa"/>
            <w:tcBorders>
              <w:bottom w:val="single" w:sz="4" w:space="0" w:color="auto"/>
            </w:tcBorders>
          </w:tcPr>
          <w:p w14:paraId="495CFF15" w14:textId="77777777" w:rsidR="00361AC5" w:rsidRPr="00200528" w:rsidRDefault="00361AC5" w:rsidP="00361AC5">
            <w:pPr>
              <w:jc w:val="both"/>
              <w:rPr>
                <w:rFonts w:asciiTheme="majorBidi" w:hAnsiTheme="majorBidi" w:cstheme="majorBidi"/>
                <w:sz w:val="24"/>
                <w:szCs w:val="24"/>
              </w:rPr>
            </w:pPr>
          </w:p>
        </w:tc>
      </w:tr>
    </w:tbl>
    <w:p w14:paraId="51047ECD" w14:textId="77777777" w:rsidR="00224AC5" w:rsidRPr="00200528" w:rsidRDefault="00224AC5" w:rsidP="00224AC5">
      <w:pPr>
        <w:spacing w:line="240" w:lineRule="auto"/>
        <w:jc w:val="both"/>
        <w:rPr>
          <w:rFonts w:asciiTheme="majorBidi" w:hAnsiTheme="majorBidi" w:cstheme="majorBidi"/>
          <w:b/>
          <w:bCs/>
          <w:sz w:val="24"/>
          <w:szCs w:val="24"/>
        </w:rPr>
      </w:pPr>
    </w:p>
    <w:p w14:paraId="34816CFE" w14:textId="77777777" w:rsidR="00224AC5" w:rsidRPr="00200528" w:rsidRDefault="00224AC5" w:rsidP="00224AC5">
      <w:pPr>
        <w:spacing w:line="240" w:lineRule="auto"/>
        <w:jc w:val="both"/>
        <w:rPr>
          <w:rFonts w:asciiTheme="majorBidi" w:hAnsiTheme="majorBidi" w:cstheme="majorBidi"/>
          <w:sz w:val="24"/>
          <w:szCs w:val="24"/>
        </w:rPr>
      </w:pPr>
    </w:p>
    <w:p w14:paraId="643F230A" w14:textId="77777777" w:rsidR="00486478" w:rsidRPr="00200528" w:rsidRDefault="00486478">
      <w:pPr>
        <w:rPr>
          <w:rFonts w:asciiTheme="majorBidi" w:hAnsiTheme="majorBidi" w:cstheme="majorBidi"/>
          <w:sz w:val="24"/>
          <w:szCs w:val="24"/>
        </w:rPr>
      </w:pPr>
    </w:p>
    <w:p w14:paraId="65301D82" w14:textId="77777777" w:rsidR="007A4923" w:rsidRPr="00200528" w:rsidRDefault="007A4923">
      <w:pPr>
        <w:rPr>
          <w:rFonts w:asciiTheme="majorBidi" w:hAnsiTheme="majorBidi" w:cstheme="majorBidi"/>
          <w:sz w:val="24"/>
          <w:szCs w:val="24"/>
        </w:rPr>
      </w:pPr>
    </w:p>
    <w:p w14:paraId="01E8ED21" w14:textId="77777777" w:rsidR="002B0EC3" w:rsidRPr="00200528" w:rsidRDefault="002B0EC3">
      <w:pPr>
        <w:rPr>
          <w:rFonts w:asciiTheme="majorBidi" w:hAnsiTheme="majorBidi" w:cstheme="majorBidi"/>
          <w:sz w:val="24"/>
          <w:szCs w:val="24"/>
        </w:rPr>
      </w:pPr>
    </w:p>
    <w:p w14:paraId="5A95993F" w14:textId="0A2100F5" w:rsidR="002B0EC3" w:rsidRPr="00200528" w:rsidRDefault="002B0EC3">
      <w:pPr>
        <w:rPr>
          <w:rFonts w:asciiTheme="majorBidi" w:hAnsiTheme="majorBidi" w:cstheme="majorBidi"/>
          <w:sz w:val="24"/>
          <w:szCs w:val="24"/>
        </w:rPr>
      </w:pPr>
    </w:p>
    <w:p w14:paraId="2F2E5F64" w14:textId="6F7B0314" w:rsidR="00574166" w:rsidRPr="00200528" w:rsidRDefault="00574166">
      <w:pPr>
        <w:rPr>
          <w:rFonts w:asciiTheme="majorBidi" w:hAnsiTheme="majorBidi" w:cstheme="majorBidi"/>
          <w:sz w:val="24"/>
          <w:szCs w:val="24"/>
        </w:rPr>
      </w:pPr>
    </w:p>
    <w:p w14:paraId="5D32156B" w14:textId="4E4304A8" w:rsidR="00574166" w:rsidRPr="00200528" w:rsidRDefault="00574166">
      <w:pPr>
        <w:rPr>
          <w:rFonts w:asciiTheme="majorBidi" w:hAnsiTheme="majorBidi" w:cstheme="majorBidi"/>
          <w:sz w:val="24"/>
          <w:szCs w:val="24"/>
        </w:rPr>
      </w:pPr>
    </w:p>
    <w:p w14:paraId="7C1677A5" w14:textId="2D7A7C4B" w:rsidR="00574166" w:rsidRPr="00200528" w:rsidRDefault="00574166">
      <w:pPr>
        <w:rPr>
          <w:rFonts w:asciiTheme="majorBidi" w:hAnsiTheme="majorBidi" w:cstheme="majorBidi"/>
          <w:sz w:val="24"/>
          <w:szCs w:val="24"/>
        </w:rPr>
      </w:pPr>
    </w:p>
    <w:p w14:paraId="4EFF1D9D" w14:textId="5F0C9ABA" w:rsidR="00574166" w:rsidRPr="00200528" w:rsidRDefault="00574166">
      <w:pPr>
        <w:rPr>
          <w:rFonts w:asciiTheme="majorBidi" w:hAnsiTheme="majorBidi" w:cstheme="majorBidi"/>
          <w:sz w:val="24"/>
          <w:szCs w:val="24"/>
        </w:rPr>
      </w:pPr>
    </w:p>
    <w:p w14:paraId="3824E9B1" w14:textId="79F3972E" w:rsidR="002B0EC3" w:rsidRPr="00200528" w:rsidRDefault="002B0EC3" w:rsidP="002B0EC3">
      <w:pPr>
        <w:spacing w:line="480" w:lineRule="auto"/>
        <w:rPr>
          <w:rFonts w:asciiTheme="majorBidi" w:hAnsiTheme="majorBidi" w:cstheme="majorBidi"/>
          <w:sz w:val="24"/>
          <w:szCs w:val="24"/>
        </w:rPr>
      </w:pPr>
    </w:p>
    <w:tbl>
      <w:tblPr>
        <w:tblStyle w:val="TableGrid"/>
        <w:tblW w:w="108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4"/>
        <w:gridCol w:w="2863"/>
        <w:gridCol w:w="1431"/>
        <w:gridCol w:w="1145"/>
        <w:gridCol w:w="1145"/>
        <w:gridCol w:w="430"/>
        <w:gridCol w:w="1863"/>
      </w:tblGrid>
      <w:tr w:rsidR="00795AC7" w:rsidRPr="00200528" w14:paraId="6FBD841C" w14:textId="77777777" w:rsidTr="00846DC0">
        <w:trPr>
          <w:trHeight w:val="610"/>
          <w:jc w:val="center"/>
        </w:trPr>
        <w:tc>
          <w:tcPr>
            <w:tcW w:w="10881" w:type="dxa"/>
            <w:gridSpan w:val="7"/>
            <w:tcBorders>
              <w:bottom w:val="single" w:sz="4" w:space="0" w:color="auto"/>
            </w:tcBorders>
          </w:tcPr>
          <w:p w14:paraId="683C6362" w14:textId="6DCD3A0F" w:rsidR="00795AC7" w:rsidRPr="00200528" w:rsidRDefault="00795AC7"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sz w:val="24"/>
                <w:szCs w:val="24"/>
              </w:rPr>
              <w:lastRenderedPageBreak/>
              <w:t xml:space="preserve"> </w:t>
            </w:r>
            <w:r w:rsidRPr="00200528">
              <w:rPr>
                <w:rFonts w:asciiTheme="majorBidi" w:hAnsiTheme="majorBidi" w:cstheme="majorBidi"/>
                <w:b/>
                <w:bCs/>
                <w:sz w:val="24"/>
                <w:szCs w:val="24"/>
              </w:rPr>
              <w:t>Table S6</w:t>
            </w:r>
            <w:r w:rsidRPr="00200528">
              <w:rPr>
                <w:rFonts w:asciiTheme="majorBidi" w:hAnsiTheme="majorBidi" w:cstheme="majorBidi"/>
                <w:sz w:val="24"/>
                <w:szCs w:val="24"/>
              </w:rPr>
              <w:t xml:space="preserve">: Parameters descriptions used for ILCR model  </w:t>
            </w:r>
          </w:p>
        </w:tc>
      </w:tr>
      <w:tr w:rsidR="002B0EC3" w:rsidRPr="00200528" w14:paraId="0CB3DA62" w14:textId="77777777" w:rsidTr="005B5F74">
        <w:trPr>
          <w:trHeight w:val="610"/>
          <w:jc w:val="center"/>
        </w:trPr>
        <w:tc>
          <w:tcPr>
            <w:tcW w:w="2004" w:type="dxa"/>
            <w:tcBorders>
              <w:top w:val="single" w:sz="4" w:space="0" w:color="auto"/>
              <w:bottom w:val="single" w:sz="4" w:space="0" w:color="auto"/>
            </w:tcBorders>
          </w:tcPr>
          <w:p w14:paraId="7B26030A"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 xml:space="preserve">Parameter </w:t>
            </w:r>
          </w:p>
        </w:tc>
        <w:tc>
          <w:tcPr>
            <w:tcW w:w="2863" w:type="dxa"/>
            <w:tcBorders>
              <w:top w:val="single" w:sz="4" w:space="0" w:color="auto"/>
              <w:bottom w:val="single" w:sz="4" w:space="0" w:color="auto"/>
            </w:tcBorders>
          </w:tcPr>
          <w:p w14:paraId="7C4F8B5E" w14:textId="77777777" w:rsidR="002B0EC3" w:rsidRPr="00200528" w:rsidRDefault="002B0EC3" w:rsidP="004D4701">
            <w:pPr>
              <w:spacing w:line="480" w:lineRule="auto"/>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 xml:space="preserve">Description </w:t>
            </w:r>
          </w:p>
        </w:tc>
        <w:tc>
          <w:tcPr>
            <w:tcW w:w="1431" w:type="dxa"/>
            <w:tcBorders>
              <w:top w:val="single" w:sz="4" w:space="0" w:color="auto"/>
              <w:bottom w:val="single" w:sz="4" w:space="0" w:color="auto"/>
            </w:tcBorders>
          </w:tcPr>
          <w:p w14:paraId="12A2955B"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 xml:space="preserve">Unit </w:t>
            </w:r>
          </w:p>
        </w:tc>
        <w:tc>
          <w:tcPr>
            <w:tcW w:w="1145" w:type="dxa"/>
            <w:tcBorders>
              <w:top w:val="single" w:sz="4" w:space="0" w:color="auto"/>
              <w:bottom w:val="single" w:sz="4" w:space="0" w:color="auto"/>
            </w:tcBorders>
          </w:tcPr>
          <w:p w14:paraId="02486F72"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Adults</w:t>
            </w:r>
          </w:p>
        </w:tc>
        <w:tc>
          <w:tcPr>
            <w:tcW w:w="1575" w:type="dxa"/>
            <w:gridSpan w:val="2"/>
            <w:tcBorders>
              <w:top w:val="single" w:sz="4" w:space="0" w:color="auto"/>
              <w:bottom w:val="single" w:sz="4" w:space="0" w:color="auto"/>
            </w:tcBorders>
          </w:tcPr>
          <w:p w14:paraId="2FE82269"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Children</w:t>
            </w:r>
          </w:p>
        </w:tc>
        <w:tc>
          <w:tcPr>
            <w:tcW w:w="1860" w:type="dxa"/>
            <w:tcBorders>
              <w:top w:val="single" w:sz="4" w:space="0" w:color="auto"/>
              <w:bottom w:val="single" w:sz="4" w:space="0" w:color="auto"/>
            </w:tcBorders>
          </w:tcPr>
          <w:p w14:paraId="777CE03F"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References</w:t>
            </w:r>
          </w:p>
        </w:tc>
      </w:tr>
      <w:tr w:rsidR="002B0EC3" w:rsidRPr="00200528" w14:paraId="07636727" w14:textId="77777777" w:rsidTr="005B5F74">
        <w:trPr>
          <w:trHeight w:val="396"/>
          <w:jc w:val="center"/>
        </w:trPr>
        <w:tc>
          <w:tcPr>
            <w:tcW w:w="2004" w:type="dxa"/>
            <w:tcBorders>
              <w:top w:val="single" w:sz="4" w:space="0" w:color="auto"/>
            </w:tcBorders>
          </w:tcPr>
          <w:p w14:paraId="6ACDA110"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ABS</w:t>
            </w:r>
          </w:p>
        </w:tc>
        <w:tc>
          <w:tcPr>
            <w:tcW w:w="2863" w:type="dxa"/>
            <w:tcBorders>
              <w:top w:val="single" w:sz="4" w:space="0" w:color="auto"/>
            </w:tcBorders>
          </w:tcPr>
          <w:p w14:paraId="6DA8DD3E"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Dermal-Absorption-Factor</w:t>
            </w:r>
          </w:p>
        </w:tc>
        <w:tc>
          <w:tcPr>
            <w:tcW w:w="1431" w:type="dxa"/>
            <w:tcBorders>
              <w:top w:val="single" w:sz="4" w:space="0" w:color="auto"/>
            </w:tcBorders>
          </w:tcPr>
          <w:p w14:paraId="023C8C3D"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rPr>
              <w:t>unitless</w:t>
            </w:r>
          </w:p>
        </w:tc>
        <w:tc>
          <w:tcPr>
            <w:tcW w:w="1145" w:type="dxa"/>
            <w:tcBorders>
              <w:top w:val="single" w:sz="4" w:space="0" w:color="auto"/>
            </w:tcBorders>
          </w:tcPr>
          <w:p w14:paraId="67DCA53F"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0.13</w:t>
            </w:r>
          </w:p>
        </w:tc>
        <w:tc>
          <w:tcPr>
            <w:tcW w:w="1145" w:type="dxa"/>
            <w:tcBorders>
              <w:top w:val="single" w:sz="4" w:space="0" w:color="auto"/>
            </w:tcBorders>
          </w:tcPr>
          <w:p w14:paraId="16BC5EB9"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0.13</w:t>
            </w:r>
          </w:p>
        </w:tc>
        <w:tc>
          <w:tcPr>
            <w:tcW w:w="2290" w:type="dxa"/>
            <w:gridSpan w:val="2"/>
            <w:tcBorders>
              <w:top w:val="single" w:sz="4" w:space="0" w:color="auto"/>
            </w:tcBorders>
          </w:tcPr>
          <w:p w14:paraId="538A9AD9"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2011)</w:t>
            </w:r>
          </w:p>
        </w:tc>
      </w:tr>
      <w:tr w:rsidR="002B0EC3" w:rsidRPr="00200528" w14:paraId="61A2CE48" w14:textId="77777777" w:rsidTr="005B5F74">
        <w:trPr>
          <w:trHeight w:val="516"/>
          <w:jc w:val="center"/>
        </w:trPr>
        <w:tc>
          <w:tcPr>
            <w:tcW w:w="2004" w:type="dxa"/>
          </w:tcPr>
          <w:p w14:paraId="0B79015D"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AF</w:t>
            </w:r>
          </w:p>
        </w:tc>
        <w:tc>
          <w:tcPr>
            <w:tcW w:w="2863" w:type="dxa"/>
          </w:tcPr>
          <w:p w14:paraId="3C35F71F" w14:textId="77777777" w:rsidR="002B0EC3" w:rsidRPr="00200528" w:rsidRDefault="002B0EC3" w:rsidP="004D4701">
            <w:pPr>
              <w:autoSpaceDE w:val="0"/>
              <w:autoSpaceDN w:val="0"/>
              <w:adjustRightInd w:val="0"/>
              <w:spacing w:line="480" w:lineRule="auto"/>
              <w:rPr>
                <w:rFonts w:asciiTheme="majorBidi" w:hAnsiTheme="majorBidi" w:cstheme="majorBidi"/>
                <w:sz w:val="24"/>
                <w:szCs w:val="24"/>
              </w:rPr>
            </w:pPr>
            <w:r w:rsidRPr="00200528">
              <w:rPr>
                <w:rFonts w:asciiTheme="majorBidi" w:hAnsiTheme="majorBidi" w:cstheme="majorBidi"/>
                <w:sz w:val="24"/>
                <w:szCs w:val="24"/>
              </w:rPr>
              <w:t>Dermal-Adherence-Factor</w:t>
            </w:r>
          </w:p>
        </w:tc>
        <w:tc>
          <w:tcPr>
            <w:tcW w:w="1431" w:type="dxa"/>
          </w:tcPr>
          <w:p w14:paraId="7D562BC9"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mg/cm</w:t>
            </w:r>
            <w:r w:rsidRPr="00200528">
              <w:rPr>
                <w:rFonts w:asciiTheme="majorBidi" w:hAnsiTheme="majorBidi" w:cstheme="majorBidi"/>
                <w:sz w:val="24"/>
                <w:szCs w:val="24"/>
                <w:vertAlign w:val="superscript"/>
              </w:rPr>
              <w:t>2</w:t>
            </w:r>
          </w:p>
        </w:tc>
        <w:tc>
          <w:tcPr>
            <w:tcW w:w="1145" w:type="dxa"/>
          </w:tcPr>
          <w:p w14:paraId="6DDAC1D1"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0.07</w:t>
            </w:r>
          </w:p>
        </w:tc>
        <w:tc>
          <w:tcPr>
            <w:tcW w:w="1145" w:type="dxa"/>
          </w:tcPr>
          <w:p w14:paraId="7C4A5C3E"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0.2</w:t>
            </w:r>
          </w:p>
        </w:tc>
        <w:tc>
          <w:tcPr>
            <w:tcW w:w="2290" w:type="dxa"/>
            <w:gridSpan w:val="2"/>
          </w:tcPr>
          <w:p w14:paraId="4BC1B753"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2011)</w:t>
            </w:r>
          </w:p>
        </w:tc>
      </w:tr>
      <w:tr w:rsidR="002B0EC3" w:rsidRPr="00200528" w14:paraId="1FB23A73" w14:textId="77777777" w:rsidTr="005B5F74">
        <w:trPr>
          <w:trHeight w:val="1220"/>
          <w:jc w:val="center"/>
        </w:trPr>
        <w:tc>
          <w:tcPr>
            <w:tcW w:w="2004" w:type="dxa"/>
          </w:tcPr>
          <w:p w14:paraId="3DD085E9"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AT</w:t>
            </w:r>
          </w:p>
        </w:tc>
        <w:tc>
          <w:tcPr>
            <w:tcW w:w="2863" w:type="dxa"/>
          </w:tcPr>
          <w:p w14:paraId="03AE08C0" w14:textId="77777777" w:rsidR="002B0EC3" w:rsidRPr="00200528" w:rsidRDefault="002B0EC3" w:rsidP="004D4701">
            <w:pPr>
              <w:spacing w:line="480" w:lineRule="auto"/>
              <w:rPr>
                <w:rFonts w:asciiTheme="majorBidi" w:hAnsiTheme="majorBidi" w:cstheme="majorBidi"/>
                <w:sz w:val="24"/>
                <w:szCs w:val="24"/>
              </w:rPr>
            </w:pPr>
            <w:r w:rsidRPr="00200528">
              <w:rPr>
                <w:rFonts w:asciiTheme="majorBidi" w:hAnsiTheme="majorBidi" w:cstheme="majorBidi"/>
                <w:sz w:val="24"/>
                <w:szCs w:val="24"/>
              </w:rPr>
              <w:t xml:space="preserve">Average-Time </w:t>
            </w:r>
            <w:r w:rsidRPr="00200528">
              <w:rPr>
                <w:rFonts w:asciiTheme="majorBidi" w:hAnsiTheme="majorBidi" w:cstheme="majorBidi"/>
                <w:color w:val="000000"/>
                <w:sz w:val="24"/>
                <w:szCs w:val="24"/>
              </w:rPr>
              <w:t>(70years_365 days/year)</w:t>
            </w:r>
          </w:p>
        </w:tc>
        <w:tc>
          <w:tcPr>
            <w:tcW w:w="1431" w:type="dxa"/>
          </w:tcPr>
          <w:p w14:paraId="46925DB4"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Days</w:t>
            </w:r>
          </w:p>
        </w:tc>
        <w:tc>
          <w:tcPr>
            <w:tcW w:w="1145" w:type="dxa"/>
          </w:tcPr>
          <w:p w14:paraId="7821A5D1"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25,550</w:t>
            </w:r>
          </w:p>
        </w:tc>
        <w:tc>
          <w:tcPr>
            <w:tcW w:w="1145" w:type="dxa"/>
          </w:tcPr>
          <w:p w14:paraId="3DE3448D"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25,550</w:t>
            </w:r>
          </w:p>
        </w:tc>
        <w:tc>
          <w:tcPr>
            <w:tcW w:w="2290" w:type="dxa"/>
            <w:gridSpan w:val="2"/>
          </w:tcPr>
          <w:p w14:paraId="52C9B85A" w14:textId="77777777" w:rsidR="002B0EC3" w:rsidRPr="00200528" w:rsidRDefault="002B0EC3" w:rsidP="004D4701">
            <w:pPr>
              <w:autoSpaceDE w:val="0"/>
              <w:autoSpaceDN w:val="0"/>
              <w:adjustRightInd w:val="0"/>
              <w:spacing w:line="480" w:lineRule="auto"/>
              <w:rPr>
                <w:rFonts w:asciiTheme="majorBidi" w:hAnsiTheme="majorBidi" w:cstheme="majorBidi"/>
                <w:sz w:val="24"/>
                <w:szCs w:val="24"/>
              </w:rPr>
            </w:pPr>
            <w:r w:rsidRPr="00200528">
              <w:rPr>
                <w:rFonts w:asciiTheme="majorBidi" w:hAnsiTheme="majorBidi" w:cstheme="majorBidi"/>
                <w:sz w:val="24"/>
                <w:szCs w:val="24"/>
              </w:rPr>
              <w:t>(Soltani et al., 2015)</w:t>
            </w:r>
          </w:p>
        </w:tc>
      </w:tr>
      <w:tr w:rsidR="002B0EC3" w:rsidRPr="00200528" w14:paraId="20B3805A" w14:textId="77777777" w:rsidTr="005B5F74">
        <w:trPr>
          <w:trHeight w:val="610"/>
          <w:jc w:val="center"/>
        </w:trPr>
        <w:tc>
          <w:tcPr>
            <w:tcW w:w="2004" w:type="dxa"/>
          </w:tcPr>
          <w:p w14:paraId="13791AE2"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BW</w:t>
            </w:r>
          </w:p>
        </w:tc>
        <w:tc>
          <w:tcPr>
            <w:tcW w:w="2863" w:type="dxa"/>
          </w:tcPr>
          <w:p w14:paraId="2809000F"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Body-Weight</w:t>
            </w:r>
          </w:p>
        </w:tc>
        <w:tc>
          <w:tcPr>
            <w:tcW w:w="1431" w:type="dxa"/>
          </w:tcPr>
          <w:p w14:paraId="7C53FC83"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Kg</w:t>
            </w:r>
          </w:p>
        </w:tc>
        <w:tc>
          <w:tcPr>
            <w:tcW w:w="1145" w:type="dxa"/>
          </w:tcPr>
          <w:p w14:paraId="3D0B2F37"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70</w:t>
            </w:r>
          </w:p>
        </w:tc>
        <w:tc>
          <w:tcPr>
            <w:tcW w:w="1145" w:type="dxa"/>
          </w:tcPr>
          <w:p w14:paraId="711F341C"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15</w:t>
            </w:r>
          </w:p>
        </w:tc>
        <w:tc>
          <w:tcPr>
            <w:tcW w:w="2290" w:type="dxa"/>
            <w:gridSpan w:val="2"/>
          </w:tcPr>
          <w:p w14:paraId="551EFBEC"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0525BBE8" w14:textId="77777777" w:rsidTr="005B5F74">
        <w:trPr>
          <w:trHeight w:val="610"/>
          <w:jc w:val="center"/>
        </w:trPr>
        <w:tc>
          <w:tcPr>
            <w:tcW w:w="2004" w:type="dxa"/>
          </w:tcPr>
          <w:p w14:paraId="214FBA97"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ED</w:t>
            </w:r>
          </w:p>
        </w:tc>
        <w:tc>
          <w:tcPr>
            <w:tcW w:w="2863" w:type="dxa"/>
          </w:tcPr>
          <w:p w14:paraId="0AB5E7AF"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Exposure-Duration</w:t>
            </w:r>
          </w:p>
        </w:tc>
        <w:tc>
          <w:tcPr>
            <w:tcW w:w="1431" w:type="dxa"/>
          </w:tcPr>
          <w:p w14:paraId="7F85DA38"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Years</w:t>
            </w:r>
          </w:p>
        </w:tc>
        <w:tc>
          <w:tcPr>
            <w:tcW w:w="1145" w:type="dxa"/>
          </w:tcPr>
          <w:p w14:paraId="4D1198A5"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20</w:t>
            </w:r>
          </w:p>
        </w:tc>
        <w:tc>
          <w:tcPr>
            <w:tcW w:w="1145" w:type="dxa"/>
          </w:tcPr>
          <w:p w14:paraId="3719C6FC"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6</w:t>
            </w:r>
          </w:p>
        </w:tc>
        <w:tc>
          <w:tcPr>
            <w:tcW w:w="2290" w:type="dxa"/>
            <w:gridSpan w:val="2"/>
          </w:tcPr>
          <w:p w14:paraId="72F3919A"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7C04D105" w14:textId="77777777" w:rsidTr="005B5F74">
        <w:trPr>
          <w:trHeight w:val="610"/>
          <w:jc w:val="center"/>
        </w:trPr>
        <w:tc>
          <w:tcPr>
            <w:tcW w:w="2004" w:type="dxa"/>
          </w:tcPr>
          <w:p w14:paraId="13A6699B"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EF</w:t>
            </w:r>
          </w:p>
        </w:tc>
        <w:tc>
          <w:tcPr>
            <w:tcW w:w="2863" w:type="dxa"/>
          </w:tcPr>
          <w:p w14:paraId="722E2D3B"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Exposure-Frequency</w:t>
            </w:r>
          </w:p>
        </w:tc>
        <w:tc>
          <w:tcPr>
            <w:tcW w:w="1431" w:type="dxa"/>
          </w:tcPr>
          <w:p w14:paraId="708A2D09"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rPr>
              <w:t>days/year</w:t>
            </w:r>
          </w:p>
        </w:tc>
        <w:tc>
          <w:tcPr>
            <w:tcW w:w="1145" w:type="dxa"/>
          </w:tcPr>
          <w:p w14:paraId="7FEEB52A"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350</w:t>
            </w:r>
          </w:p>
        </w:tc>
        <w:tc>
          <w:tcPr>
            <w:tcW w:w="1145" w:type="dxa"/>
          </w:tcPr>
          <w:p w14:paraId="03A9190D"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350</w:t>
            </w:r>
          </w:p>
        </w:tc>
        <w:tc>
          <w:tcPr>
            <w:tcW w:w="2290" w:type="dxa"/>
            <w:gridSpan w:val="2"/>
          </w:tcPr>
          <w:p w14:paraId="0932C6E4"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67A2D2DD" w14:textId="77777777" w:rsidTr="005B5F74">
        <w:trPr>
          <w:trHeight w:val="610"/>
          <w:jc w:val="center"/>
        </w:trPr>
        <w:tc>
          <w:tcPr>
            <w:tcW w:w="2004" w:type="dxa"/>
          </w:tcPr>
          <w:p w14:paraId="5FD3B5DC"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IR ingestion</w:t>
            </w:r>
          </w:p>
        </w:tc>
        <w:tc>
          <w:tcPr>
            <w:tcW w:w="2863" w:type="dxa"/>
          </w:tcPr>
          <w:p w14:paraId="57F49B4D"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 xml:space="preserve">Ingestion-Rate </w:t>
            </w:r>
          </w:p>
        </w:tc>
        <w:tc>
          <w:tcPr>
            <w:tcW w:w="1431" w:type="dxa"/>
          </w:tcPr>
          <w:p w14:paraId="5DF6C5C4"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rPr>
              <w:t>mg/day</w:t>
            </w:r>
          </w:p>
        </w:tc>
        <w:tc>
          <w:tcPr>
            <w:tcW w:w="1145" w:type="dxa"/>
          </w:tcPr>
          <w:p w14:paraId="5F0DE683"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100</w:t>
            </w:r>
          </w:p>
        </w:tc>
        <w:tc>
          <w:tcPr>
            <w:tcW w:w="1145" w:type="dxa"/>
          </w:tcPr>
          <w:p w14:paraId="33512886"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200</w:t>
            </w:r>
          </w:p>
        </w:tc>
        <w:tc>
          <w:tcPr>
            <w:tcW w:w="2290" w:type="dxa"/>
            <w:gridSpan w:val="2"/>
          </w:tcPr>
          <w:p w14:paraId="4B8C7CF6"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2011)</w:t>
            </w:r>
          </w:p>
        </w:tc>
      </w:tr>
      <w:tr w:rsidR="002B0EC3" w:rsidRPr="00200528" w14:paraId="0115676D" w14:textId="77777777" w:rsidTr="005B5F74">
        <w:trPr>
          <w:trHeight w:val="610"/>
          <w:jc w:val="center"/>
        </w:trPr>
        <w:tc>
          <w:tcPr>
            <w:tcW w:w="2004" w:type="dxa"/>
          </w:tcPr>
          <w:p w14:paraId="6C805EE5"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IR inhalation</w:t>
            </w:r>
          </w:p>
        </w:tc>
        <w:tc>
          <w:tcPr>
            <w:tcW w:w="2863" w:type="dxa"/>
          </w:tcPr>
          <w:p w14:paraId="13C565A4" w14:textId="77777777" w:rsidR="002B0EC3" w:rsidRPr="00200528" w:rsidRDefault="002B0EC3" w:rsidP="004D4701">
            <w:pPr>
              <w:autoSpaceDE w:val="0"/>
              <w:autoSpaceDN w:val="0"/>
              <w:adjustRightInd w:val="0"/>
              <w:spacing w:line="480" w:lineRule="auto"/>
              <w:rPr>
                <w:rFonts w:asciiTheme="majorBidi" w:hAnsiTheme="majorBidi" w:cstheme="majorBidi"/>
                <w:sz w:val="24"/>
                <w:szCs w:val="24"/>
              </w:rPr>
            </w:pPr>
            <w:r w:rsidRPr="00200528">
              <w:rPr>
                <w:rFonts w:asciiTheme="majorBidi" w:hAnsiTheme="majorBidi" w:cstheme="majorBidi"/>
                <w:sz w:val="24"/>
                <w:szCs w:val="24"/>
              </w:rPr>
              <w:t>Inhalation-Rate</w:t>
            </w:r>
          </w:p>
        </w:tc>
        <w:tc>
          <w:tcPr>
            <w:tcW w:w="1431" w:type="dxa"/>
          </w:tcPr>
          <w:p w14:paraId="16D8EE2B"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rPr>
              <w:t xml:space="preserve"> m</w:t>
            </w:r>
            <w:r w:rsidRPr="00200528">
              <w:rPr>
                <w:rFonts w:asciiTheme="majorBidi" w:hAnsiTheme="majorBidi" w:cstheme="majorBidi"/>
                <w:sz w:val="24"/>
                <w:szCs w:val="24"/>
                <w:vertAlign w:val="superscript"/>
              </w:rPr>
              <w:t>3</w:t>
            </w:r>
            <w:r w:rsidRPr="00200528">
              <w:rPr>
                <w:rFonts w:asciiTheme="majorBidi" w:hAnsiTheme="majorBidi" w:cstheme="majorBidi"/>
                <w:sz w:val="24"/>
                <w:szCs w:val="24"/>
              </w:rPr>
              <w:t>/day</w:t>
            </w:r>
          </w:p>
        </w:tc>
        <w:tc>
          <w:tcPr>
            <w:tcW w:w="1145" w:type="dxa"/>
          </w:tcPr>
          <w:p w14:paraId="1B3593D5"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20</w:t>
            </w:r>
          </w:p>
        </w:tc>
        <w:tc>
          <w:tcPr>
            <w:tcW w:w="1145" w:type="dxa"/>
          </w:tcPr>
          <w:p w14:paraId="71750C4C"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10</w:t>
            </w:r>
          </w:p>
        </w:tc>
        <w:tc>
          <w:tcPr>
            <w:tcW w:w="2290" w:type="dxa"/>
            <w:gridSpan w:val="2"/>
          </w:tcPr>
          <w:p w14:paraId="3265A91C"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(Soltani et al., 2015)</w:t>
            </w:r>
          </w:p>
        </w:tc>
      </w:tr>
      <w:tr w:rsidR="002B0EC3" w:rsidRPr="00200528" w14:paraId="3B06E489" w14:textId="77777777" w:rsidTr="005B5F74">
        <w:trPr>
          <w:trHeight w:val="610"/>
          <w:jc w:val="center"/>
        </w:trPr>
        <w:tc>
          <w:tcPr>
            <w:tcW w:w="2004" w:type="dxa"/>
          </w:tcPr>
          <w:p w14:paraId="2D2D6251"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PEF</w:t>
            </w:r>
          </w:p>
        </w:tc>
        <w:tc>
          <w:tcPr>
            <w:tcW w:w="2863" w:type="dxa"/>
          </w:tcPr>
          <w:p w14:paraId="41218D3A" w14:textId="77777777" w:rsidR="002B0EC3" w:rsidRPr="00200528" w:rsidRDefault="002B0EC3" w:rsidP="004D4701">
            <w:pPr>
              <w:autoSpaceDE w:val="0"/>
              <w:autoSpaceDN w:val="0"/>
              <w:adjustRightInd w:val="0"/>
              <w:spacing w:line="480" w:lineRule="auto"/>
              <w:rPr>
                <w:rFonts w:asciiTheme="majorBidi" w:hAnsiTheme="majorBidi" w:cstheme="majorBidi"/>
                <w:sz w:val="24"/>
                <w:szCs w:val="24"/>
              </w:rPr>
            </w:pPr>
            <w:r w:rsidRPr="00200528">
              <w:rPr>
                <w:rFonts w:asciiTheme="majorBidi" w:hAnsiTheme="majorBidi" w:cstheme="majorBidi"/>
                <w:sz w:val="24"/>
                <w:szCs w:val="24"/>
              </w:rPr>
              <w:t xml:space="preserve">Particular-Emission-Factor </w:t>
            </w:r>
          </w:p>
        </w:tc>
        <w:tc>
          <w:tcPr>
            <w:tcW w:w="1431" w:type="dxa"/>
          </w:tcPr>
          <w:p w14:paraId="3F33BA35"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m</w:t>
            </w:r>
            <w:r w:rsidRPr="00200528">
              <w:rPr>
                <w:rFonts w:asciiTheme="majorBidi" w:hAnsiTheme="majorBidi" w:cstheme="majorBidi"/>
                <w:sz w:val="24"/>
                <w:szCs w:val="24"/>
                <w:vertAlign w:val="superscript"/>
                <w:lang w:bidi="ar-IQ"/>
              </w:rPr>
              <w:t>3</w:t>
            </w:r>
            <w:r w:rsidRPr="00200528">
              <w:rPr>
                <w:rFonts w:asciiTheme="majorBidi" w:hAnsiTheme="majorBidi" w:cstheme="majorBidi"/>
                <w:sz w:val="24"/>
                <w:szCs w:val="24"/>
                <w:lang w:bidi="ar-IQ"/>
              </w:rPr>
              <w:t>/kg</w:t>
            </w:r>
          </w:p>
        </w:tc>
        <w:tc>
          <w:tcPr>
            <w:tcW w:w="1145" w:type="dxa"/>
          </w:tcPr>
          <w:p w14:paraId="3E7B5407"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1.36×10</w:t>
            </w:r>
            <w:r w:rsidRPr="00200528">
              <w:rPr>
                <w:rFonts w:asciiTheme="majorBidi" w:hAnsiTheme="majorBidi" w:cstheme="majorBidi"/>
                <w:sz w:val="24"/>
                <w:szCs w:val="24"/>
                <w:vertAlign w:val="superscript"/>
                <w:lang w:bidi="ar-IQ"/>
              </w:rPr>
              <w:t>9</w:t>
            </w:r>
          </w:p>
        </w:tc>
        <w:tc>
          <w:tcPr>
            <w:tcW w:w="1145" w:type="dxa"/>
          </w:tcPr>
          <w:p w14:paraId="1C53630B"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1.36×10</w:t>
            </w:r>
            <w:r w:rsidRPr="00200528">
              <w:rPr>
                <w:rFonts w:asciiTheme="majorBidi" w:hAnsiTheme="majorBidi" w:cstheme="majorBidi"/>
                <w:sz w:val="24"/>
                <w:szCs w:val="24"/>
                <w:vertAlign w:val="superscript"/>
                <w:lang w:bidi="ar-IQ"/>
              </w:rPr>
              <w:t>9</w:t>
            </w:r>
          </w:p>
        </w:tc>
        <w:tc>
          <w:tcPr>
            <w:tcW w:w="2290" w:type="dxa"/>
            <w:gridSpan w:val="2"/>
          </w:tcPr>
          <w:p w14:paraId="460B4FF3"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7D9AEFAD" w14:textId="77777777" w:rsidTr="005B5F74">
        <w:trPr>
          <w:trHeight w:val="1220"/>
          <w:jc w:val="center"/>
        </w:trPr>
        <w:tc>
          <w:tcPr>
            <w:tcW w:w="2004" w:type="dxa"/>
          </w:tcPr>
          <w:p w14:paraId="127A2BA5" w14:textId="77777777" w:rsidR="002B0EC3" w:rsidRPr="00200528" w:rsidRDefault="002B0EC3" w:rsidP="004D4701">
            <w:pPr>
              <w:spacing w:line="480" w:lineRule="auto"/>
              <w:jc w:val="both"/>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SA</w:t>
            </w:r>
          </w:p>
        </w:tc>
        <w:tc>
          <w:tcPr>
            <w:tcW w:w="2863" w:type="dxa"/>
          </w:tcPr>
          <w:p w14:paraId="73E9248B" w14:textId="77777777" w:rsidR="002B0EC3" w:rsidRPr="00200528" w:rsidRDefault="002B0EC3" w:rsidP="004D4701">
            <w:pPr>
              <w:spacing w:line="480" w:lineRule="auto"/>
              <w:rPr>
                <w:rFonts w:asciiTheme="majorBidi" w:hAnsiTheme="majorBidi" w:cstheme="majorBidi"/>
                <w:sz w:val="24"/>
                <w:szCs w:val="24"/>
                <w:lang w:bidi="ar-IQ"/>
              </w:rPr>
            </w:pPr>
            <w:r w:rsidRPr="00200528">
              <w:rPr>
                <w:rFonts w:asciiTheme="majorBidi" w:hAnsiTheme="majorBidi" w:cstheme="majorBidi"/>
                <w:sz w:val="24"/>
                <w:szCs w:val="24"/>
              </w:rPr>
              <w:t>Dermal-Surface-Area-Exposure</w:t>
            </w:r>
          </w:p>
        </w:tc>
        <w:tc>
          <w:tcPr>
            <w:tcW w:w="1431" w:type="dxa"/>
          </w:tcPr>
          <w:p w14:paraId="522BCCE6"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cm</w:t>
            </w:r>
            <w:r w:rsidRPr="00200528">
              <w:rPr>
                <w:rFonts w:asciiTheme="majorBidi" w:hAnsiTheme="majorBidi" w:cstheme="majorBidi"/>
                <w:sz w:val="24"/>
                <w:szCs w:val="24"/>
                <w:vertAlign w:val="superscript"/>
                <w:lang w:bidi="ar-IQ"/>
              </w:rPr>
              <w:t>2</w:t>
            </w:r>
          </w:p>
        </w:tc>
        <w:tc>
          <w:tcPr>
            <w:tcW w:w="1145" w:type="dxa"/>
          </w:tcPr>
          <w:p w14:paraId="75607CAD"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5700</w:t>
            </w:r>
          </w:p>
        </w:tc>
        <w:tc>
          <w:tcPr>
            <w:tcW w:w="1145" w:type="dxa"/>
          </w:tcPr>
          <w:p w14:paraId="119BF2FC" w14:textId="77777777" w:rsidR="002B0EC3" w:rsidRPr="00200528" w:rsidRDefault="002B0EC3" w:rsidP="004D4701">
            <w:pPr>
              <w:spacing w:line="480" w:lineRule="auto"/>
              <w:jc w:val="both"/>
              <w:rPr>
                <w:rFonts w:asciiTheme="majorBidi" w:hAnsiTheme="majorBidi" w:cstheme="majorBidi"/>
                <w:sz w:val="24"/>
                <w:szCs w:val="24"/>
                <w:lang w:bidi="ar-IQ"/>
              </w:rPr>
            </w:pPr>
            <w:r w:rsidRPr="00200528">
              <w:rPr>
                <w:rFonts w:asciiTheme="majorBidi" w:hAnsiTheme="majorBidi" w:cstheme="majorBidi"/>
                <w:sz w:val="24"/>
                <w:szCs w:val="24"/>
                <w:lang w:bidi="ar-IQ"/>
              </w:rPr>
              <w:t>2800</w:t>
            </w:r>
          </w:p>
        </w:tc>
        <w:tc>
          <w:tcPr>
            <w:tcW w:w="2290" w:type="dxa"/>
            <w:gridSpan w:val="2"/>
          </w:tcPr>
          <w:p w14:paraId="26C56406"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r w:rsidRPr="00200528">
              <w:rPr>
                <w:rFonts w:asciiTheme="majorBidi" w:hAnsiTheme="majorBidi" w:cstheme="majorBidi"/>
                <w:sz w:val="24"/>
                <w:szCs w:val="24"/>
              </w:rPr>
              <w:t>(US EPA, 2014)</w:t>
            </w:r>
          </w:p>
        </w:tc>
      </w:tr>
      <w:tr w:rsidR="002B0EC3" w:rsidRPr="00200528" w14:paraId="54534DC7" w14:textId="77777777" w:rsidTr="005B5F74">
        <w:trPr>
          <w:trHeight w:val="610"/>
          <w:jc w:val="center"/>
        </w:trPr>
        <w:tc>
          <w:tcPr>
            <w:tcW w:w="2004" w:type="dxa"/>
            <w:tcBorders>
              <w:bottom w:val="single" w:sz="4" w:space="0" w:color="auto"/>
            </w:tcBorders>
          </w:tcPr>
          <w:p w14:paraId="3BE9B436" w14:textId="77777777" w:rsidR="002B0EC3" w:rsidRPr="00200528" w:rsidRDefault="002B0EC3" w:rsidP="004D4701">
            <w:pPr>
              <w:spacing w:line="480" w:lineRule="auto"/>
              <w:jc w:val="both"/>
              <w:rPr>
                <w:rFonts w:asciiTheme="majorBidi" w:hAnsiTheme="majorBidi" w:cstheme="majorBidi"/>
                <w:sz w:val="24"/>
                <w:szCs w:val="24"/>
                <w:lang w:bidi="ar-IQ"/>
              </w:rPr>
            </w:pPr>
          </w:p>
        </w:tc>
        <w:tc>
          <w:tcPr>
            <w:tcW w:w="2863" w:type="dxa"/>
            <w:tcBorders>
              <w:bottom w:val="single" w:sz="4" w:space="0" w:color="auto"/>
            </w:tcBorders>
          </w:tcPr>
          <w:p w14:paraId="0FB358E8" w14:textId="77777777" w:rsidR="002B0EC3" w:rsidRPr="00200528" w:rsidRDefault="002B0EC3" w:rsidP="004D4701">
            <w:pPr>
              <w:spacing w:line="480" w:lineRule="auto"/>
              <w:rPr>
                <w:rFonts w:asciiTheme="majorBidi" w:hAnsiTheme="majorBidi" w:cstheme="majorBidi"/>
                <w:sz w:val="24"/>
                <w:szCs w:val="24"/>
              </w:rPr>
            </w:pPr>
          </w:p>
        </w:tc>
        <w:tc>
          <w:tcPr>
            <w:tcW w:w="1431" w:type="dxa"/>
            <w:tcBorders>
              <w:bottom w:val="single" w:sz="4" w:space="0" w:color="auto"/>
            </w:tcBorders>
          </w:tcPr>
          <w:p w14:paraId="6E667539" w14:textId="77777777" w:rsidR="002B0EC3" w:rsidRPr="00200528" w:rsidRDefault="002B0EC3" w:rsidP="004D4701">
            <w:pPr>
              <w:spacing w:line="480" w:lineRule="auto"/>
              <w:jc w:val="both"/>
              <w:rPr>
                <w:rFonts w:asciiTheme="majorBidi" w:hAnsiTheme="majorBidi" w:cstheme="majorBidi"/>
                <w:sz w:val="24"/>
                <w:szCs w:val="24"/>
                <w:lang w:bidi="ar-IQ"/>
              </w:rPr>
            </w:pPr>
          </w:p>
        </w:tc>
        <w:tc>
          <w:tcPr>
            <w:tcW w:w="1145" w:type="dxa"/>
            <w:tcBorders>
              <w:bottom w:val="single" w:sz="4" w:space="0" w:color="auto"/>
            </w:tcBorders>
          </w:tcPr>
          <w:p w14:paraId="6BAC0DB5" w14:textId="77777777" w:rsidR="002B0EC3" w:rsidRPr="00200528" w:rsidRDefault="002B0EC3" w:rsidP="004D4701">
            <w:pPr>
              <w:spacing w:line="480" w:lineRule="auto"/>
              <w:jc w:val="both"/>
              <w:rPr>
                <w:rFonts w:asciiTheme="majorBidi" w:hAnsiTheme="majorBidi" w:cstheme="majorBidi"/>
                <w:sz w:val="24"/>
                <w:szCs w:val="24"/>
                <w:lang w:bidi="ar-IQ"/>
              </w:rPr>
            </w:pPr>
          </w:p>
        </w:tc>
        <w:tc>
          <w:tcPr>
            <w:tcW w:w="1145" w:type="dxa"/>
            <w:tcBorders>
              <w:bottom w:val="single" w:sz="4" w:space="0" w:color="auto"/>
            </w:tcBorders>
          </w:tcPr>
          <w:p w14:paraId="4296B84A" w14:textId="77777777" w:rsidR="002B0EC3" w:rsidRPr="00200528" w:rsidRDefault="002B0EC3" w:rsidP="004D4701">
            <w:pPr>
              <w:spacing w:line="480" w:lineRule="auto"/>
              <w:jc w:val="both"/>
              <w:rPr>
                <w:rFonts w:asciiTheme="majorBidi" w:hAnsiTheme="majorBidi" w:cstheme="majorBidi"/>
                <w:sz w:val="24"/>
                <w:szCs w:val="24"/>
                <w:lang w:bidi="ar-IQ"/>
              </w:rPr>
            </w:pPr>
          </w:p>
        </w:tc>
        <w:tc>
          <w:tcPr>
            <w:tcW w:w="2290" w:type="dxa"/>
            <w:gridSpan w:val="2"/>
            <w:tcBorders>
              <w:bottom w:val="single" w:sz="4" w:space="0" w:color="auto"/>
            </w:tcBorders>
          </w:tcPr>
          <w:p w14:paraId="2B28B923" w14:textId="77777777" w:rsidR="002B0EC3" w:rsidRPr="00200528" w:rsidRDefault="002B0EC3" w:rsidP="004D4701">
            <w:pPr>
              <w:autoSpaceDE w:val="0"/>
              <w:autoSpaceDN w:val="0"/>
              <w:adjustRightInd w:val="0"/>
              <w:spacing w:line="480" w:lineRule="auto"/>
              <w:jc w:val="both"/>
              <w:rPr>
                <w:rFonts w:asciiTheme="majorBidi" w:hAnsiTheme="majorBidi" w:cstheme="majorBidi"/>
                <w:sz w:val="24"/>
                <w:szCs w:val="24"/>
              </w:rPr>
            </w:pPr>
          </w:p>
        </w:tc>
      </w:tr>
    </w:tbl>
    <w:p w14:paraId="1ADBB1DF" w14:textId="4D7B3546" w:rsidR="002B0EC3" w:rsidRPr="00200528" w:rsidRDefault="002B0EC3" w:rsidP="002B0EC3">
      <w:pPr>
        <w:spacing w:line="480" w:lineRule="auto"/>
        <w:rPr>
          <w:rFonts w:asciiTheme="majorBidi" w:hAnsiTheme="majorBidi" w:cstheme="majorBidi"/>
          <w:b/>
          <w:bCs/>
          <w:sz w:val="24"/>
          <w:szCs w:val="24"/>
          <w:lang w:bidi="ar-IQ"/>
        </w:rPr>
      </w:pPr>
    </w:p>
    <w:p w14:paraId="0AB79C9E" w14:textId="6BC34264" w:rsidR="00574166" w:rsidRPr="00200528" w:rsidRDefault="00574166" w:rsidP="002B0EC3">
      <w:pPr>
        <w:spacing w:line="480" w:lineRule="auto"/>
        <w:rPr>
          <w:rFonts w:asciiTheme="majorBidi" w:hAnsiTheme="majorBidi" w:cstheme="majorBidi"/>
          <w:b/>
          <w:bCs/>
          <w:sz w:val="24"/>
          <w:szCs w:val="24"/>
          <w:lang w:bidi="ar-IQ"/>
        </w:rPr>
      </w:pPr>
    </w:p>
    <w:p w14:paraId="3CD6DC4E" w14:textId="10703948" w:rsidR="00574166" w:rsidRPr="00200528" w:rsidRDefault="00574166" w:rsidP="002B0EC3">
      <w:pPr>
        <w:spacing w:line="480" w:lineRule="auto"/>
        <w:rPr>
          <w:rFonts w:asciiTheme="majorBidi" w:hAnsiTheme="majorBidi" w:cstheme="majorBidi"/>
          <w:b/>
          <w:bCs/>
          <w:sz w:val="24"/>
          <w:szCs w:val="24"/>
          <w:lang w:bidi="ar-IQ"/>
        </w:rPr>
      </w:pPr>
    </w:p>
    <w:p w14:paraId="463F6124" w14:textId="7D01619C" w:rsidR="00574166" w:rsidRPr="00200528" w:rsidRDefault="00574166" w:rsidP="002B0EC3">
      <w:pPr>
        <w:spacing w:line="480" w:lineRule="auto"/>
        <w:rPr>
          <w:rFonts w:asciiTheme="majorBidi" w:hAnsiTheme="majorBidi" w:cstheme="majorBidi"/>
          <w:b/>
          <w:bCs/>
          <w:sz w:val="24"/>
          <w:szCs w:val="24"/>
          <w:lang w:bidi="ar-IQ"/>
        </w:rPr>
      </w:pPr>
    </w:p>
    <w:p w14:paraId="390AA67E" w14:textId="77777777" w:rsidR="00F1365F" w:rsidRPr="00200528" w:rsidRDefault="00F1365F" w:rsidP="002B0EC3">
      <w:pPr>
        <w:spacing w:line="480" w:lineRule="auto"/>
        <w:rPr>
          <w:rFonts w:asciiTheme="majorBidi" w:hAnsiTheme="majorBidi" w:cstheme="majorBidi"/>
          <w:b/>
          <w:bCs/>
          <w:sz w:val="24"/>
          <w:szCs w:val="24"/>
          <w:lang w:bidi="ar-IQ"/>
        </w:rPr>
      </w:pPr>
    </w:p>
    <w:p w14:paraId="7E359D98" w14:textId="77777777" w:rsidR="005B5F74" w:rsidRPr="00200528" w:rsidRDefault="005B5F74" w:rsidP="002B0EC3">
      <w:pPr>
        <w:spacing w:line="480" w:lineRule="auto"/>
        <w:rPr>
          <w:rFonts w:asciiTheme="majorBidi" w:hAnsiTheme="majorBidi" w:cstheme="majorBidi"/>
          <w:b/>
          <w:bCs/>
          <w:sz w:val="24"/>
          <w:szCs w:val="24"/>
          <w:lang w:bidi="ar-IQ"/>
        </w:rPr>
      </w:pPr>
    </w:p>
    <w:p w14:paraId="5967B555" w14:textId="4702F269" w:rsidR="005F7FE7" w:rsidRPr="00200528" w:rsidRDefault="002B0EC3" w:rsidP="005F7FE7">
      <w:pPr>
        <w:spacing w:line="480" w:lineRule="auto"/>
        <w:rPr>
          <w:rFonts w:asciiTheme="majorBidi" w:hAnsiTheme="majorBidi" w:cstheme="majorBidi"/>
          <w:b/>
          <w:bCs/>
          <w:sz w:val="24"/>
          <w:szCs w:val="24"/>
          <w:lang w:bidi="ar-IQ"/>
        </w:rPr>
      </w:pPr>
      <w:r w:rsidRPr="00200528">
        <w:rPr>
          <w:rFonts w:asciiTheme="majorBidi" w:hAnsiTheme="majorBidi" w:cstheme="majorBidi"/>
          <w:b/>
          <w:bCs/>
          <w:sz w:val="24"/>
          <w:szCs w:val="24"/>
          <w:lang w:bidi="ar-IQ"/>
        </w:rPr>
        <w:lastRenderedPageBreak/>
        <w:t>References</w:t>
      </w:r>
    </w:p>
    <w:p w14:paraId="7AA46042" w14:textId="77777777" w:rsidR="005F7FE7" w:rsidRPr="00200528" w:rsidRDefault="005F7FE7" w:rsidP="007A6393">
      <w:pPr>
        <w:tabs>
          <w:tab w:val="left" w:pos="6390"/>
        </w:tabs>
        <w:spacing w:line="360" w:lineRule="auto"/>
        <w:jc w:val="both"/>
        <w:rPr>
          <w:rFonts w:asciiTheme="majorBidi" w:hAnsiTheme="majorBidi" w:cstheme="majorBidi"/>
          <w:color w:val="222222"/>
          <w:sz w:val="24"/>
          <w:szCs w:val="24"/>
          <w:shd w:val="clear" w:color="auto" w:fill="FFFFFF"/>
        </w:rPr>
      </w:pPr>
      <w:r w:rsidRPr="00200528">
        <w:rPr>
          <w:rFonts w:asciiTheme="majorBidi" w:hAnsiTheme="majorBidi" w:cstheme="majorBidi"/>
          <w:b/>
          <w:bCs/>
          <w:color w:val="222222"/>
          <w:sz w:val="24"/>
          <w:szCs w:val="24"/>
          <w:shd w:val="clear" w:color="auto" w:fill="FFFFFF"/>
        </w:rPr>
        <w:t>Adeniji</w:t>
      </w:r>
      <w:r w:rsidRPr="00200528">
        <w:rPr>
          <w:rFonts w:asciiTheme="majorBidi" w:hAnsiTheme="majorBidi" w:cstheme="majorBidi"/>
          <w:color w:val="222222"/>
          <w:sz w:val="24"/>
          <w:szCs w:val="24"/>
          <w:shd w:val="clear" w:color="auto" w:fill="FFFFFF"/>
        </w:rPr>
        <w:t>, A.O., Okoh, O.O. and Okoh, A.I., 2019. Levels of polycyclic aromatic hydrocarbons in the water and sediment of Buffalo River Estuary, South Africa and their health risk assessment. </w:t>
      </w:r>
      <w:r w:rsidRPr="00200528">
        <w:rPr>
          <w:rFonts w:asciiTheme="majorBidi" w:hAnsiTheme="majorBidi" w:cstheme="majorBidi"/>
          <w:i/>
          <w:iCs/>
          <w:color w:val="222222"/>
          <w:sz w:val="24"/>
          <w:szCs w:val="24"/>
          <w:shd w:val="clear" w:color="auto" w:fill="FFFFFF"/>
        </w:rPr>
        <w:t>Archives of environmental contamination and toxicology</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76</w:t>
      </w:r>
      <w:r w:rsidRPr="00200528">
        <w:rPr>
          <w:rFonts w:asciiTheme="majorBidi" w:hAnsiTheme="majorBidi" w:cstheme="majorBidi"/>
          <w:color w:val="222222"/>
          <w:sz w:val="24"/>
          <w:szCs w:val="24"/>
          <w:shd w:val="clear" w:color="auto" w:fill="FFFFFF"/>
        </w:rPr>
        <w:t>, pp.657-669.</w:t>
      </w:r>
    </w:p>
    <w:p w14:paraId="1EB5E441" w14:textId="77777777" w:rsidR="005F7FE7" w:rsidRPr="00200528" w:rsidRDefault="005F7FE7" w:rsidP="00604A27">
      <w:pPr>
        <w:spacing w:line="360" w:lineRule="auto"/>
        <w:jc w:val="both"/>
        <w:rPr>
          <w:rFonts w:asciiTheme="majorBidi" w:hAnsiTheme="majorBidi" w:cstheme="majorBidi"/>
          <w:color w:val="222222"/>
          <w:sz w:val="24"/>
          <w:szCs w:val="24"/>
          <w:shd w:val="clear" w:color="auto" w:fill="FFFFFF"/>
        </w:rPr>
      </w:pPr>
      <w:r w:rsidRPr="00200528">
        <w:rPr>
          <w:rFonts w:asciiTheme="majorBidi" w:hAnsiTheme="majorBidi" w:cstheme="majorBidi"/>
          <w:b/>
          <w:bCs/>
          <w:color w:val="222222"/>
          <w:sz w:val="24"/>
          <w:szCs w:val="24"/>
          <w:shd w:val="clear" w:color="auto" w:fill="FFFFFF"/>
        </w:rPr>
        <w:t>Baran</w:t>
      </w:r>
      <w:r w:rsidRPr="00200528">
        <w:rPr>
          <w:rFonts w:asciiTheme="majorBidi" w:hAnsiTheme="majorBidi" w:cstheme="majorBidi"/>
          <w:color w:val="222222"/>
          <w:sz w:val="24"/>
          <w:szCs w:val="24"/>
          <w:shd w:val="clear" w:color="auto" w:fill="FFFFFF"/>
        </w:rPr>
        <w:t>, A., Klimkowicz-</w:t>
      </w:r>
      <w:proofErr w:type="spellStart"/>
      <w:r w:rsidRPr="00200528">
        <w:rPr>
          <w:rFonts w:asciiTheme="majorBidi" w:hAnsiTheme="majorBidi" w:cstheme="majorBidi"/>
          <w:color w:val="222222"/>
          <w:sz w:val="24"/>
          <w:szCs w:val="24"/>
          <w:shd w:val="clear" w:color="auto" w:fill="FFFFFF"/>
        </w:rPr>
        <w:t>Pawlas</w:t>
      </w:r>
      <w:proofErr w:type="spellEnd"/>
      <w:r w:rsidRPr="00200528">
        <w:rPr>
          <w:rFonts w:asciiTheme="majorBidi" w:hAnsiTheme="majorBidi" w:cstheme="majorBidi"/>
          <w:color w:val="222222"/>
          <w:sz w:val="24"/>
          <w:szCs w:val="24"/>
          <w:shd w:val="clear" w:color="auto" w:fill="FFFFFF"/>
        </w:rPr>
        <w:t xml:space="preserve">, A., </w:t>
      </w:r>
      <w:proofErr w:type="spellStart"/>
      <w:r w:rsidRPr="00200528">
        <w:rPr>
          <w:rFonts w:asciiTheme="majorBidi" w:hAnsiTheme="majorBidi" w:cstheme="majorBidi"/>
          <w:color w:val="222222"/>
          <w:sz w:val="24"/>
          <w:szCs w:val="24"/>
          <w:shd w:val="clear" w:color="auto" w:fill="FFFFFF"/>
        </w:rPr>
        <w:t>Ukalska-Jaruga</w:t>
      </w:r>
      <w:proofErr w:type="spellEnd"/>
      <w:r w:rsidRPr="00200528">
        <w:rPr>
          <w:rFonts w:asciiTheme="majorBidi" w:hAnsiTheme="majorBidi" w:cstheme="majorBidi"/>
          <w:color w:val="222222"/>
          <w:sz w:val="24"/>
          <w:szCs w:val="24"/>
          <w:shd w:val="clear" w:color="auto" w:fill="FFFFFF"/>
        </w:rPr>
        <w:t>, A., Mierzwa-</w:t>
      </w:r>
      <w:proofErr w:type="spellStart"/>
      <w:r w:rsidRPr="00200528">
        <w:rPr>
          <w:rFonts w:asciiTheme="majorBidi" w:hAnsiTheme="majorBidi" w:cstheme="majorBidi"/>
          <w:color w:val="222222"/>
          <w:sz w:val="24"/>
          <w:szCs w:val="24"/>
          <w:shd w:val="clear" w:color="auto" w:fill="FFFFFF"/>
        </w:rPr>
        <w:t>Hersztek</w:t>
      </w:r>
      <w:proofErr w:type="spellEnd"/>
      <w:r w:rsidRPr="00200528">
        <w:rPr>
          <w:rFonts w:asciiTheme="majorBidi" w:hAnsiTheme="majorBidi" w:cstheme="majorBidi"/>
          <w:color w:val="222222"/>
          <w:sz w:val="24"/>
          <w:szCs w:val="24"/>
          <w:shd w:val="clear" w:color="auto" w:fill="FFFFFF"/>
        </w:rPr>
        <w:t xml:space="preserve">, M., Gondek, K., </w:t>
      </w:r>
      <w:proofErr w:type="spellStart"/>
      <w:r w:rsidRPr="00200528">
        <w:rPr>
          <w:rFonts w:asciiTheme="majorBidi" w:hAnsiTheme="majorBidi" w:cstheme="majorBidi"/>
          <w:color w:val="222222"/>
          <w:sz w:val="24"/>
          <w:szCs w:val="24"/>
          <w:shd w:val="clear" w:color="auto" w:fill="FFFFFF"/>
        </w:rPr>
        <w:t>Szara-Bąk</w:t>
      </w:r>
      <w:proofErr w:type="spellEnd"/>
      <w:r w:rsidRPr="00200528">
        <w:rPr>
          <w:rFonts w:asciiTheme="majorBidi" w:hAnsiTheme="majorBidi" w:cstheme="majorBidi"/>
          <w:color w:val="222222"/>
          <w:sz w:val="24"/>
          <w:szCs w:val="24"/>
          <w:shd w:val="clear" w:color="auto" w:fill="FFFFFF"/>
        </w:rPr>
        <w:t xml:space="preserve">, M., Tarnawski, M. and </w:t>
      </w:r>
      <w:proofErr w:type="spellStart"/>
      <w:r w:rsidRPr="00200528">
        <w:rPr>
          <w:rFonts w:asciiTheme="majorBidi" w:hAnsiTheme="majorBidi" w:cstheme="majorBidi"/>
          <w:color w:val="222222"/>
          <w:sz w:val="24"/>
          <w:szCs w:val="24"/>
          <w:shd w:val="clear" w:color="auto" w:fill="FFFFFF"/>
        </w:rPr>
        <w:t>Spałek</w:t>
      </w:r>
      <w:proofErr w:type="spellEnd"/>
      <w:r w:rsidRPr="00200528">
        <w:rPr>
          <w:rFonts w:asciiTheme="majorBidi" w:hAnsiTheme="majorBidi" w:cstheme="majorBidi"/>
          <w:color w:val="222222"/>
          <w:sz w:val="24"/>
          <w:szCs w:val="24"/>
          <w:shd w:val="clear" w:color="auto" w:fill="FFFFFF"/>
        </w:rPr>
        <w:t>, I., 2021. Distribution of polycyclic aromatic hydrocarbons (PAHs) in the bottom sediments of a dam reservoir, their interaction with organic matter and risk to benthic fauna. </w:t>
      </w:r>
      <w:r w:rsidRPr="00200528">
        <w:rPr>
          <w:rFonts w:asciiTheme="majorBidi" w:hAnsiTheme="majorBidi" w:cstheme="majorBidi"/>
          <w:i/>
          <w:iCs/>
          <w:color w:val="222222"/>
          <w:sz w:val="24"/>
          <w:szCs w:val="24"/>
          <w:shd w:val="clear" w:color="auto" w:fill="FFFFFF"/>
        </w:rPr>
        <w:t>Journal of Soils and Sediments</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21</w:t>
      </w:r>
      <w:r w:rsidRPr="00200528">
        <w:rPr>
          <w:rFonts w:asciiTheme="majorBidi" w:hAnsiTheme="majorBidi" w:cstheme="majorBidi"/>
          <w:color w:val="222222"/>
          <w:sz w:val="24"/>
          <w:szCs w:val="24"/>
          <w:shd w:val="clear" w:color="auto" w:fill="FFFFFF"/>
        </w:rPr>
        <w:t>(6), pp.2418-2431.</w:t>
      </w:r>
    </w:p>
    <w:p w14:paraId="4302459D" w14:textId="77777777" w:rsidR="005F7FE7" w:rsidRPr="00200528" w:rsidRDefault="005F7FE7" w:rsidP="00636951">
      <w:pPr>
        <w:spacing w:line="360" w:lineRule="auto"/>
        <w:jc w:val="both"/>
        <w:rPr>
          <w:rFonts w:asciiTheme="majorBidi" w:hAnsiTheme="majorBidi" w:cstheme="majorBidi"/>
          <w:color w:val="222222"/>
          <w:sz w:val="24"/>
          <w:szCs w:val="24"/>
          <w:shd w:val="clear" w:color="auto" w:fill="FFFFFF"/>
        </w:rPr>
      </w:pPr>
      <w:r w:rsidRPr="00200528">
        <w:rPr>
          <w:rFonts w:asciiTheme="majorBidi" w:hAnsiTheme="majorBidi" w:cstheme="majorBidi"/>
          <w:b/>
          <w:bCs/>
          <w:color w:val="222222"/>
          <w:sz w:val="24"/>
          <w:szCs w:val="24"/>
          <w:shd w:val="clear" w:color="auto" w:fill="FFFFFF"/>
        </w:rPr>
        <w:t>Barhoumi</w:t>
      </w:r>
      <w:r w:rsidRPr="00200528">
        <w:rPr>
          <w:rFonts w:asciiTheme="majorBidi" w:hAnsiTheme="majorBidi" w:cstheme="majorBidi"/>
          <w:color w:val="222222"/>
          <w:sz w:val="24"/>
          <w:szCs w:val="24"/>
          <w:shd w:val="clear" w:color="auto" w:fill="FFFFFF"/>
        </w:rPr>
        <w:t xml:space="preserve">, B., </w:t>
      </w:r>
      <w:proofErr w:type="spellStart"/>
      <w:r w:rsidRPr="00200528">
        <w:rPr>
          <w:rFonts w:asciiTheme="majorBidi" w:hAnsiTheme="majorBidi" w:cstheme="majorBidi"/>
          <w:color w:val="222222"/>
          <w:sz w:val="24"/>
          <w:szCs w:val="24"/>
          <w:shd w:val="clear" w:color="auto" w:fill="FFFFFF"/>
        </w:rPr>
        <w:t>Beldean</w:t>
      </w:r>
      <w:proofErr w:type="spellEnd"/>
      <w:r w:rsidRPr="00200528">
        <w:rPr>
          <w:rFonts w:asciiTheme="majorBidi" w:hAnsiTheme="majorBidi" w:cstheme="majorBidi"/>
          <w:color w:val="222222"/>
          <w:sz w:val="24"/>
          <w:szCs w:val="24"/>
          <w:shd w:val="clear" w:color="auto" w:fill="FFFFFF"/>
        </w:rPr>
        <w:t>-Galea, M.S., Al-</w:t>
      </w:r>
      <w:proofErr w:type="spellStart"/>
      <w:r w:rsidRPr="00200528">
        <w:rPr>
          <w:rFonts w:asciiTheme="majorBidi" w:hAnsiTheme="majorBidi" w:cstheme="majorBidi"/>
          <w:color w:val="222222"/>
          <w:sz w:val="24"/>
          <w:szCs w:val="24"/>
          <w:shd w:val="clear" w:color="auto" w:fill="FFFFFF"/>
        </w:rPr>
        <w:t>Rawabdeh</w:t>
      </w:r>
      <w:proofErr w:type="spellEnd"/>
      <w:r w:rsidRPr="00200528">
        <w:rPr>
          <w:rFonts w:asciiTheme="majorBidi" w:hAnsiTheme="majorBidi" w:cstheme="majorBidi"/>
          <w:color w:val="222222"/>
          <w:sz w:val="24"/>
          <w:szCs w:val="24"/>
          <w:shd w:val="clear" w:color="auto" w:fill="FFFFFF"/>
        </w:rPr>
        <w:t xml:space="preserve">, A.M., Roba, C., </w:t>
      </w:r>
      <w:proofErr w:type="spellStart"/>
      <w:r w:rsidRPr="00200528">
        <w:rPr>
          <w:rFonts w:asciiTheme="majorBidi" w:hAnsiTheme="majorBidi" w:cstheme="majorBidi"/>
          <w:color w:val="222222"/>
          <w:sz w:val="24"/>
          <w:szCs w:val="24"/>
          <w:shd w:val="clear" w:color="auto" w:fill="FFFFFF"/>
        </w:rPr>
        <w:t>Martonos</w:t>
      </w:r>
      <w:proofErr w:type="spellEnd"/>
      <w:r w:rsidRPr="00200528">
        <w:rPr>
          <w:rFonts w:asciiTheme="majorBidi" w:hAnsiTheme="majorBidi" w:cstheme="majorBidi"/>
          <w:color w:val="222222"/>
          <w:sz w:val="24"/>
          <w:szCs w:val="24"/>
          <w:shd w:val="clear" w:color="auto" w:fill="FFFFFF"/>
        </w:rPr>
        <w:t xml:space="preserve">, I.M., </w:t>
      </w:r>
      <w:proofErr w:type="spellStart"/>
      <w:r w:rsidRPr="00200528">
        <w:rPr>
          <w:rFonts w:asciiTheme="majorBidi" w:hAnsiTheme="majorBidi" w:cstheme="majorBidi"/>
          <w:color w:val="222222"/>
          <w:sz w:val="24"/>
          <w:szCs w:val="24"/>
          <w:shd w:val="clear" w:color="auto" w:fill="FFFFFF"/>
        </w:rPr>
        <w:t>Bălc</w:t>
      </w:r>
      <w:proofErr w:type="spellEnd"/>
      <w:r w:rsidRPr="00200528">
        <w:rPr>
          <w:rFonts w:asciiTheme="majorBidi" w:hAnsiTheme="majorBidi" w:cstheme="majorBidi"/>
          <w:color w:val="222222"/>
          <w:sz w:val="24"/>
          <w:szCs w:val="24"/>
          <w:shd w:val="clear" w:color="auto" w:fill="FFFFFF"/>
        </w:rPr>
        <w:t xml:space="preserve">, R., </w:t>
      </w:r>
      <w:proofErr w:type="spellStart"/>
      <w:r w:rsidRPr="00200528">
        <w:rPr>
          <w:rFonts w:asciiTheme="majorBidi" w:hAnsiTheme="majorBidi" w:cstheme="majorBidi"/>
          <w:color w:val="222222"/>
          <w:sz w:val="24"/>
          <w:szCs w:val="24"/>
          <w:shd w:val="clear" w:color="auto" w:fill="FFFFFF"/>
        </w:rPr>
        <w:t>Kahlaoui</w:t>
      </w:r>
      <w:proofErr w:type="spellEnd"/>
      <w:r w:rsidRPr="00200528">
        <w:rPr>
          <w:rFonts w:asciiTheme="majorBidi" w:hAnsiTheme="majorBidi" w:cstheme="majorBidi"/>
          <w:color w:val="222222"/>
          <w:sz w:val="24"/>
          <w:szCs w:val="24"/>
          <w:shd w:val="clear" w:color="auto" w:fill="FFFFFF"/>
        </w:rPr>
        <w:t xml:space="preserve">, M., Touil, S., </w:t>
      </w:r>
      <w:proofErr w:type="spellStart"/>
      <w:r w:rsidRPr="00200528">
        <w:rPr>
          <w:rFonts w:asciiTheme="majorBidi" w:hAnsiTheme="majorBidi" w:cstheme="majorBidi"/>
          <w:color w:val="222222"/>
          <w:sz w:val="24"/>
          <w:szCs w:val="24"/>
          <w:shd w:val="clear" w:color="auto" w:fill="FFFFFF"/>
        </w:rPr>
        <w:t>Tedetti</w:t>
      </w:r>
      <w:proofErr w:type="spellEnd"/>
      <w:r w:rsidRPr="00200528">
        <w:rPr>
          <w:rFonts w:asciiTheme="majorBidi" w:hAnsiTheme="majorBidi" w:cstheme="majorBidi"/>
          <w:color w:val="222222"/>
          <w:sz w:val="24"/>
          <w:szCs w:val="24"/>
          <w:shd w:val="clear" w:color="auto" w:fill="FFFFFF"/>
        </w:rPr>
        <w:t>, M., Driss, M.R. and Baciu, C., 2019. Occurrence, distribution and ecological risk of trace metals and organic pollutants in surface sediments from a Southeastern European river (</w:t>
      </w:r>
      <w:proofErr w:type="spellStart"/>
      <w:r w:rsidRPr="00200528">
        <w:rPr>
          <w:rFonts w:asciiTheme="majorBidi" w:hAnsiTheme="majorBidi" w:cstheme="majorBidi"/>
          <w:color w:val="222222"/>
          <w:sz w:val="24"/>
          <w:szCs w:val="24"/>
          <w:shd w:val="clear" w:color="auto" w:fill="FFFFFF"/>
        </w:rPr>
        <w:t>Someşu</w:t>
      </w:r>
      <w:proofErr w:type="spellEnd"/>
      <w:r w:rsidRPr="00200528">
        <w:rPr>
          <w:rFonts w:asciiTheme="majorBidi" w:hAnsiTheme="majorBidi" w:cstheme="majorBidi"/>
          <w:color w:val="222222"/>
          <w:sz w:val="24"/>
          <w:szCs w:val="24"/>
          <w:shd w:val="clear" w:color="auto" w:fill="FFFFFF"/>
        </w:rPr>
        <w:t xml:space="preserve"> Mic River, Romania). </w:t>
      </w:r>
      <w:r w:rsidRPr="00200528">
        <w:rPr>
          <w:rFonts w:asciiTheme="majorBidi" w:hAnsiTheme="majorBidi" w:cstheme="majorBidi"/>
          <w:i/>
          <w:iCs/>
          <w:color w:val="222222"/>
          <w:sz w:val="24"/>
          <w:szCs w:val="24"/>
          <w:shd w:val="clear" w:color="auto" w:fill="FFFFFF"/>
        </w:rPr>
        <w:t>Science of the Total Environment</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660</w:t>
      </w:r>
      <w:r w:rsidRPr="00200528">
        <w:rPr>
          <w:rFonts w:asciiTheme="majorBidi" w:hAnsiTheme="majorBidi" w:cstheme="majorBidi"/>
          <w:color w:val="222222"/>
          <w:sz w:val="24"/>
          <w:szCs w:val="24"/>
          <w:shd w:val="clear" w:color="auto" w:fill="FFFFFF"/>
        </w:rPr>
        <w:t>, pp.660-676.</w:t>
      </w:r>
    </w:p>
    <w:p w14:paraId="22B4AC2B" w14:textId="77777777" w:rsidR="005F7FE7" w:rsidRPr="00200528" w:rsidRDefault="005F7FE7" w:rsidP="00BC49EC">
      <w:pPr>
        <w:spacing w:line="360" w:lineRule="auto"/>
        <w:jc w:val="both"/>
        <w:rPr>
          <w:rFonts w:asciiTheme="majorBidi" w:hAnsiTheme="majorBidi" w:cstheme="majorBidi"/>
          <w:color w:val="222222"/>
          <w:sz w:val="24"/>
          <w:szCs w:val="24"/>
          <w:shd w:val="clear" w:color="auto" w:fill="FFFFFF"/>
        </w:rPr>
      </w:pPr>
      <w:r w:rsidRPr="00200528">
        <w:rPr>
          <w:rFonts w:asciiTheme="majorBidi" w:hAnsiTheme="majorBidi" w:cstheme="majorBidi"/>
          <w:b/>
          <w:bCs/>
          <w:color w:val="222222"/>
          <w:sz w:val="24"/>
          <w:szCs w:val="24"/>
          <w:shd w:val="clear" w:color="auto" w:fill="FFFFFF"/>
        </w:rPr>
        <w:t>Montuori</w:t>
      </w:r>
      <w:r w:rsidRPr="00200528">
        <w:rPr>
          <w:rFonts w:asciiTheme="majorBidi" w:hAnsiTheme="majorBidi" w:cstheme="majorBidi"/>
          <w:color w:val="222222"/>
          <w:sz w:val="24"/>
          <w:szCs w:val="24"/>
          <w:shd w:val="clear" w:color="auto" w:fill="FFFFFF"/>
        </w:rPr>
        <w:t xml:space="preserve">, P., </w:t>
      </w:r>
      <w:proofErr w:type="spellStart"/>
      <w:r w:rsidRPr="00200528">
        <w:rPr>
          <w:rFonts w:asciiTheme="majorBidi" w:hAnsiTheme="majorBidi" w:cstheme="majorBidi"/>
          <w:color w:val="222222"/>
          <w:sz w:val="24"/>
          <w:szCs w:val="24"/>
          <w:shd w:val="clear" w:color="auto" w:fill="FFFFFF"/>
        </w:rPr>
        <w:t>Aurino</w:t>
      </w:r>
      <w:proofErr w:type="spellEnd"/>
      <w:r w:rsidRPr="00200528">
        <w:rPr>
          <w:rFonts w:asciiTheme="majorBidi" w:hAnsiTheme="majorBidi" w:cstheme="majorBidi"/>
          <w:color w:val="222222"/>
          <w:sz w:val="24"/>
          <w:szCs w:val="24"/>
          <w:shd w:val="clear" w:color="auto" w:fill="FFFFFF"/>
        </w:rPr>
        <w:t xml:space="preserve">, S., </w:t>
      </w:r>
      <w:proofErr w:type="spellStart"/>
      <w:r w:rsidRPr="00200528">
        <w:rPr>
          <w:rFonts w:asciiTheme="majorBidi" w:hAnsiTheme="majorBidi" w:cstheme="majorBidi"/>
          <w:color w:val="222222"/>
          <w:sz w:val="24"/>
          <w:szCs w:val="24"/>
          <w:shd w:val="clear" w:color="auto" w:fill="FFFFFF"/>
        </w:rPr>
        <w:t>Garzonio</w:t>
      </w:r>
      <w:proofErr w:type="spellEnd"/>
      <w:r w:rsidRPr="00200528">
        <w:rPr>
          <w:rFonts w:asciiTheme="majorBidi" w:hAnsiTheme="majorBidi" w:cstheme="majorBidi"/>
          <w:color w:val="222222"/>
          <w:sz w:val="24"/>
          <w:szCs w:val="24"/>
          <w:shd w:val="clear" w:color="auto" w:fill="FFFFFF"/>
        </w:rPr>
        <w:t xml:space="preserve">, F., </w:t>
      </w:r>
      <w:proofErr w:type="spellStart"/>
      <w:r w:rsidRPr="00200528">
        <w:rPr>
          <w:rFonts w:asciiTheme="majorBidi" w:hAnsiTheme="majorBidi" w:cstheme="majorBidi"/>
          <w:color w:val="222222"/>
          <w:sz w:val="24"/>
          <w:szCs w:val="24"/>
          <w:shd w:val="clear" w:color="auto" w:fill="FFFFFF"/>
        </w:rPr>
        <w:t>Sarnacchiaro</w:t>
      </w:r>
      <w:proofErr w:type="spellEnd"/>
      <w:r w:rsidRPr="00200528">
        <w:rPr>
          <w:rFonts w:asciiTheme="majorBidi" w:hAnsiTheme="majorBidi" w:cstheme="majorBidi"/>
          <w:color w:val="222222"/>
          <w:sz w:val="24"/>
          <w:szCs w:val="24"/>
          <w:shd w:val="clear" w:color="auto" w:fill="FFFFFF"/>
        </w:rPr>
        <w:t>, P., Nardone, A. and Triassi, M., 2016. Distribution, sources and ecological risk assessment of polycyclic aromatic hydrocarbons in water and sediments from Tiber River and estuary, Italy. </w:t>
      </w:r>
      <w:r w:rsidRPr="00200528">
        <w:rPr>
          <w:rFonts w:asciiTheme="majorBidi" w:hAnsiTheme="majorBidi" w:cstheme="majorBidi"/>
          <w:i/>
          <w:iCs/>
          <w:color w:val="222222"/>
          <w:sz w:val="24"/>
          <w:szCs w:val="24"/>
          <w:shd w:val="clear" w:color="auto" w:fill="FFFFFF"/>
        </w:rPr>
        <w:t>Science of the Total Environment</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566</w:t>
      </w:r>
      <w:r w:rsidRPr="00200528">
        <w:rPr>
          <w:rFonts w:asciiTheme="majorBidi" w:hAnsiTheme="majorBidi" w:cstheme="majorBidi"/>
          <w:color w:val="222222"/>
          <w:sz w:val="24"/>
          <w:szCs w:val="24"/>
          <w:shd w:val="clear" w:color="auto" w:fill="FFFFFF"/>
        </w:rPr>
        <w:t>, pp.1254-1267.</w:t>
      </w:r>
    </w:p>
    <w:p w14:paraId="083DBE79" w14:textId="77777777" w:rsidR="005F7FE7" w:rsidRPr="00200528" w:rsidRDefault="005F7FE7" w:rsidP="00B5564C">
      <w:pPr>
        <w:spacing w:line="480" w:lineRule="auto"/>
        <w:jc w:val="both"/>
        <w:rPr>
          <w:rFonts w:asciiTheme="majorBidi" w:hAnsiTheme="majorBidi" w:cstheme="majorBidi"/>
          <w:b/>
          <w:bCs/>
          <w:color w:val="000000" w:themeColor="text1"/>
          <w:sz w:val="24"/>
          <w:szCs w:val="24"/>
        </w:rPr>
      </w:pPr>
      <w:r w:rsidRPr="00200528">
        <w:rPr>
          <w:rFonts w:asciiTheme="majorBidi" w:hAnsiTheme="majorBidi" w:cstheme="majorBidi"/>
          <w:b/>
          <w:bCs/>
          <w:color w:val="000000" w:themeColor="text1"/>
          <w:sz w:val="24"/>
          <w:szCs w:val="24"/>
          <w:shd w:val="clear" w:color="auto" w:fill="FFFFFF"/>
        </w:rPr>
        <w:t>Nisbet</w:t>
      </w:r>
      <w:r w:rsidRPr="00200528">
        <w:rPr>
          <w:rFonts w:asciiTheme="majorBidi" w:hAnsiTheme="majorBidi" w:cstheme="majorBidi"/>
          <w:color w:val="000000" w:themeColor="text1"/>
          <w:sz w:val="24"/>
          <w:szCs w:val="24"/>
          <w:shd w:val="clear" w:color="auto" w:fill="FFFFFF"/>
        </w:rPr>
        <w:t xml:space="preserve">, I.C. and Lagoy, P.K., 1992. </w:t>
      </w:r>
      <w:bookmarkStart w:id="0" w:name="_Hlk109047548"/>
      <w:r w:rsidRPr="00200528">
        <w:rPr>
          <w:rFonts w:asciiTheme="majorBidi" w:hAnsiTheme="majorBidi" w:cstheme="majorBidi"/>
          <w:color w:val="000000" w:themeColor="text1"/>
          <w:sz w:val="24"/>
          <w:szCs w:val="24"/>
          <w:shd w:val="clear" w:color="auto" w:fill="FFFFFF"/>
        </w:rPr>
        <w:t>Toxic equivalency factors (TEFs) for polycyclic aromatic hydrocarbons (PAHs)</w:t>
      </w:r>
      <w:bookmarkEnd w:id="0"/>
      <w:r w:rsidRPr="00200528">
        <w:rPr>
          <w:rFonts w:asciiTheme="majorBidi" w:hAnsiTheme="majorBidi" w:cstheme="majorBidi"/>
          <w:color w:val="000000" w:themeColor="text1"/>
          <w:sz w:val="24"/>
          <w:szCs w:val="24"/>
          <w:shd w:val="clear" w:color="auto" w:fill="FFFFFF"/>
        </w:rPr>
        <w:t>. </w:t>
      </w:r>
      <w:r w:rsidRPr="00200528">
        <w:rPr>
          <w:rFonts w:asciiTheme="majorBidi" w:hAnsiTheme="majorBidi" w:cstheme="majorBidi"/>
          <w:i/>
          <w:iCs/>
          <w:color w:val="000000" w:themeColor="text1"/>
          <w:sz w:val="24"/>
          <w:szCs w:val="24"/>
          <w:shd w:val="clear" w:color="auto" w:fill="FFFFFF"/>
        </w:rPr>
        <w:t>Regulatory toxicology and pharmacology</w:t>
      </w:r>
      <w:r w:rsidRPr="00200528">
        <w:rPr>
          <w:rFonts w:asciiTheme="majorBidi" w:hAnsiTheme="majorBidi" w:cstheme="majorBidi"/>
          <w:color w:val="000000" w:themeColor="text1"/>
          <w:sz w:val="24"/>
          <w:szCs w:val="24"/>
          <w:shd w:val="clear" w:color="auto" w:fill="FFFFFF"/>
        </w:rPr>
        <w:t>, </w:t>
      </w:r>
      <w:r w:rsidRPr="00200528">
        <w:rPr>
          <w:rFonts w:asciiTheme="majorBidi" w:hAnsiTheme="majorBidi" w:cstheme="majorBidi"/>
          <w:i/>
          <w:iCs/>
          <w:color w:val="000000" w:themeColor="text1"/>
          <w:sz w:val="24"/>
          <w:szCs w:val="24"/>
          <w:shd w:val="clear" w:color="auto" w:fill="FFFFFF"/>
        </w:rPr>
        <w:t>16</w:t>
      </w:r>
      <w:r w:rsidRPr="00200528">
        <w:rPr>
          <w:rFonts w:asciiTheme="majorBidi" w:hAnsiTheme="majorBidi" w:cstheme="majorBidi"/>
          <w:color w:val="000000" w:themeColor="text1"/>
          <w:sz w:val="24"/>
          <w:szCs w:val="24"/>
          <w:shd w:val="clear" w:color="auto" w:fill="FFFFFF"/>
        </w:rPr>
        <w:t>(3), pp.290-300.</w:t>
      </w:r>
    </w:p>
    <w:p w14:paraId="43C0DB0F" w14:textId="77777777" w:rsidR="005F7FE7" w:rsidRPr="00200528" w:rsidRDefault="005F7FE7" w:rsidP="002B0EC3">
      <w:pPr>
        <w:spacing w:line="480" w:lineRule="auto"/>
        <w:rPr>
          <w:rFonts w:asciiTheme="majorBidi" w:hAnsiTheme="majorBidi" w:cstheme="majorBidi"/>
          <w:b/>
          <w:bCs/>
          <w:sz w:val="24"/>
          <w:szCs w:val="24"/>
          <w:lang w:bidi="ar-IQ"/>
        </w:rPr>
      </w:pPr>
      <w:r w:rsidRPr="00200528">
        <w:rPr>
          <w:rFonts w:asciiTheme="majorBidi" w:hAnsiTheme="majorBidi" w:cstheme="majorBidi"/>
          <w:b/>
          <w:bCs/>
          <w:sz w:val="24"/>
          <w:szCs w:val="24"/>
          <w:lang w:bidi="ar-IQ"/>
        </w:rPr>
        <w:t xml:space="preserve">Soltani, </w:t>
      </w:r>
      <w:r w:rsidRPr="00200528">
        <w:rPr>
          <w:rFonts w:asciiTheme="majorBidi" w:hAnsiTheme="majorBidi" w:cstheme="majorBidi"/>
          <w:sz w:val="24"/>
          <w:szCs w:val="24"/>
          <w:lang w:bidi="ar-IQ"/>
        </w:rPr>
        <w:t xml:space="preserve">N., Keshavarzi, B., Moore, F., </w:t>
      </w:r>
      <w:proofErr w:type="spellStart"/>
      <w:r w:rsidRPr="00200528">
        <w:rPr>
          <w:rFonts w:asciiTheme="majorBidi" w:hAnsiTheme="majorBidi" w:cstheme="majorBidi"/>
          <w:sz w:val="24"/>
          <w:szCs w:val="24"/>
          <w:lang w:bidi="ar-IQ"/>
        </w:rPr>
        <w:t>Tavakol</w:t>
      </w:r>
      <w:proofErr w:type="spellEnd"/>
      <w:r w:rsidRPr="00200528">
        <w:rPr>
          <w:rFonts w:asciiTheme="majorBidi" w:hAnsiTheme="majorBidi" w:cstheme="majorBidi"/>
          <w:sz w:val="24"/>
          <w:szCs w:val="24"/>
          <w:lang w:bidi="ar-IQ"/>
        </w:rPr>
        <w:t xml:space="preserve">, T., </w:t>
      </w:r>
      <w:proofErr w:type="spellStart"/>
      <w:r w:rsidRPr="00200528">
        <w:rPr>
          <w:rFonts w:asciiTheme="majorBidi" w:hAnsiTheme="majorBidi" w:cstheme="majorBidi"/>
          <w:sz w:val="24"/>
          <w:szCs w:val="24"/>
          <w:lang w:bidi="ar-IQ"/>
        </w:rPr>
        <w:t>Lahijanzadeh</w:t>
      </w:r>
      <w:proofErr w:type="spellEnd"/>
      <w:r w:rsidRPr="00200528">
        <w:rPr>
          <w:rFonts w:asciiTheme="majorBidi" w:hAnsiTheme="majorBidi" w:cstheme="majorBidi"/>
          <w:sz w:val="24"/>
          <w:szCs w:val="24"/>
          <w:lang w:bidi="ar-IQ"/>
        </w:rPr>
        <w:t xml:space="preserve">, A.R., </w:t>
      </w:r>
      <w:proofErr w:type="spellStart"/>
      <w:r w:rsidRPr="00200528">
        <w:rPr>
          <w:rFonts w:asciiTheme="majorBidi" w:hAnsiTheme="majorBidi" w:cstheme="majorBidi"/>
          <w:sz w:val="24"/>
          <w:szCs w:val="24"/>
          <w:lang w:bidi="ar-IQ"/>
        </w:rPr>
        <w:t>Jaafarzadeh</w:t>
      </w:r>
      <w:proofErr w:type="spellEnd"/>
      <w:r w:rsidRPr="00200528">
        <w:rPr>
          <w:rFonts w:asciiTheme="majorBidi" w:hAnsiTheme="majorBidi" w:cstheme="majorBidi"/>
          <w:sz w:val="24"/>
          <w:szCs w:val="24"/>
          <w:lang w:bidi="ar-IQ"/>
        </w:rPr>
        <w:t>, N. and Kermani, M., 2015. Ecological and human health hazards of heavy metals and polycyclic aromatic hydrocarbons (PAHs) in road dust of Isfahan metropolis, Iran. Science of the total environment, 505, pp.712-723.</w:t>
      </w:r>
    </w:p>
    <w:p w14:paraId="58A0A3A4" w14:textId="77777777" w:rsidR="005F7FE7" w:rsidRPr="00200528" w:rsidRDefault="005F7FE7" w:rsidP="002B0EC3">
      <w:pPr>
        <w:spacing w:line="480" w:lineRule="auto"/>
        <w:rPr>
          <w:rFonts w:asciiTheme="majorBidi" w:hAnsiTheme="majorBidi" w:cstheme="majorBidi"/>
          <w:sz w:val="24"/>
          <w:szCs w:val="24"/>
          <w:lang w:bidi="ar-IQ"/>
        </w:rPr>
      </w:pPr>
      <w:r w:rsidRPr="00200528">
        <w:rPr>
          <w:rFonts w:asciiTheme="majorBidi" w:hAnsiTheme="majorBidi" w:cstheme="majorBidi"/>
          <w:b/>
          <w:bCs/>
          <w:sz w:val="24"/>
          <w:szCs w:val="24"/>
          <w:lang w:bidi="ar-IQ"/>
        </w:rPr>
        <w:t xml:space="preserve">U.S. </w:t>
      </w:r>
      <w:r w:rsidRPr="00200528">
        <w:rPr>
          <w:rFonts w:asciiTheme="majorBidi" w:hAnsiTheme="majorBidi" w:cstheme="majorBidi"/>
          <w:sz w:val="24"/>
          <w:szCs w:val="24"/>
          <w:lang w:bidi="ar-IQ"/>
        </w:rPr>
        <w:t>Environmental Protection Agency, 2014. Human health evaluation manual, supplemental guidance: update of standard default exposure factors. OSWER Directive 9200 1–120.</w:t>
      </w:r>
    </w:p>
    <w:p w14:paraId="25B2B893" w14:textId="77777777" w:rsidR="005F7FE7" w:rsidRPr="00200528" w:rsidRDefault="005F7FE7" w:rsidP="002B0EC3">
      <w:pPr>
        <w:spacing w:line="480" w:lineRule="auto"/>
        <w:rPr>
          <w:rFonts w:asciiTheme="majorBidi" w:hAnsiTheme="majorBidi" w:cstheme="majorBidi"/>
          <w:b/>
          <w:bCs/>
          <w:sz w:val="24"/>
          <w:szCs w:val="24"/>
          <w:lang w:bidi="ar-IQ"/>
        </w:rPr>
      </w:pPr>
      <w:r w:rsidRPr="00200528">
        <w:rPr>
          <w:rFonts w:asciiTheme="majorBidi" w:hAnsiTheme="majorBidi" w:cstheme="majorBidi"/>
          <w:b/>
          <w:bCs/>
          <w:sz w:val="24"/>
          <w:szCs w:val="24"/>
          <w:lang w:bidi="ar-IQ"/>
        </w:rPr>
        <w:lastRenderedPageBreak/>
        <w:t xml:space="preserve">US EPA, </w:t>
      </w:r>
      <w:r w:rsidRPr="00200528">
        <w:rPr>
          <w:rFonts w:asciiTheme="majorBidi" w:hAnsiTheme="majorBidi" w:cstheme="majorBidi"/>
          <w:sz w:val="24"/>
          <w:szCs w:val="24"/>
          <w:lang w:bidi="ar-IQ"/>
        </w:rPr>
        <w:t>2011. Exposure Factors Handbook. 2011 ed., Final Report. Environmental Protection Agency, Washington, DC EPA/600/R-09/052F.</w:t>
      </w:r>
    </w:p>
    <w:p w14:paraId="5E39EDA3" w14:textId="2B1503AD" w:rsidR="00B37503" w:rsidRDefault="005F7FE7" w:rsidP="00174EB0">
      <w:pPr>
        <w:tabs>
          <w:tab w:val="left" w:pos="6390"/>
        </w:tabs>
        <w:spacing w:line="360" w:lineRule="auto"/>
        <w:jc w:val="both"/>
        <w:rPr>
          <w:rFonts w:asciiTheme="majorBidi" w:hAnsiTheme="majorBidi" w:cstheme="majorBidi"/>
          <w:color w:val="222222"/>
          <w:sz w:val="24"/>
          <w:szCs w:val="24"/>
          <w:shd w:val="clear" w:color="auto" w:fill="FFFFFF"/>
        </w:rPr>
      </w:pPr>
      <w:r w:rsidRPr="00200528">
        <w:rPr>
          <w:rFonts w:asciiTheme="majorBidi" w:hAnsiTheme="majorBidi" w:cstheme="majorBidi"/>
          <w:b/>
          <w:bCs/>
          <w:color w:val="222222"/>
          <w:sz w:val="24"/>
          <w:szCs w:val="24"/>
          <w:shd w:val="clear" w:color="auto" w:fill="FFFFFF"/>
        </w:rPr>
        <w:t>Yang</w:t>
      </w:r>
      <w:r w:rsidRPr="00200528">
        <w:rPr>
          <w:rFonts w:asciiTheme="majorBidi" w:hAnsiTheme="majorBidi" w:cstheme="majorBidi"/>
          <w:color w:val="222222"/>
          <w:sz w:val="24"/>
          <w:szCs w:val="24"/>
          <w:shd w:val="clear" w:color="auto" w:fill="FFFFFF"/>
        </w:rPr>
        <w:t>, Y., Wang, H., Chang, Y., Yan, G., Chu, Z., Zhao, Z., Li, L., Li, Z. and Wu, T., 2020. Distributions, compositions, and ecological risk assessment of polycyclic aromatic hydrocarbons and phthalic acid esters in surface sediment of Songhua river, China. </w:t>
      </w:r>
      <w:r w:rsidRPr="00200528">
        <w:rPr>
          <w:rFonts w:asciiTheme="majorBidi" w:hAnsiTheme="majorBidi" w:cstheme="majorBidi"/>
          <w:i/>
          <w:iCs/>
          <w:color w:val="222222"/>
          <w:sz w:val="24"/>
          <w:szCs w:val="24"/>
          <w:shd w:val="clear" w:color="auto" w:fill="FFFFFF"/>
        </w:rPr>
        <w:t>Marine Pollution Bulletin</w:t>
      </w:r>
      <w:r w:rsidRPr="00200528">
        <w:rPr>
          <w:rFonts w:asciiTheme="majorBidi" w:hAnsiTheme="majorBidi" w:cstheme="majorBidi"/>
          <w:color w:val="222222"/>
          <w:sz w:val="24"/>
          <w:szCs w:val="24"/>
          <w:shd w:val="clear" w:color="auto" w:fill="FFFFFF"/>
        </w:rPr>
        <w:t>, </w:t>
      </w:r>
      <w:r w:rsidRPr="00200528">
        <w:rPr>
          <w:rFonts w:asciiTheme="majorBidi" w:hAnsiTheme="majorBidi" w:cstheme="majorBidi"/>
          <w:i/>
          <w:iCs/>
          <w:color w:val="222222"/>
          <w:sz w:val="24"/>
          <w:szCs w:val="24"/>
          <w:shd w:val="clear" w:color="auto" w:fill="FFFFFF"/>
        </w:rPr>
        <w:t>152</w:t>
      </w:r>
      <w:r w:rsidRPr="00200528">
        <w:rPr>
          <w:rFonts w:asciiTheme="majorBidi" w:hAnsiTheme="majorBidi" w:cstheme="majorBidi"/>
          <w:color w:val="222222"/>
          <w:sz w:val="24"/>
          <w:szCs w:val="24"/>
          <w:shd w:val="clear" w:color="auto" w:fill="FFFFFF"/>
        </w:rPr>
        <w:t>, p.110923.</w:t>
      </w:r>
    </w:p>
    <w:p w14:paraId="4D8B1276" w14:textId="77777777" w:rsidR="00B37503" w:rsidRPr="001A7BF6" w:rsidRDefault="00B37503" w:rsidP="00B37503">
      <w:pPr>
        <w:spacing w:line="480" w:lineRule="auto"/>
        <w:jc w:val="both"/>
        <w:rPr>
          <w:rFonts w:asciiTheme="majorBidi" w:hAnsiTheme="majorBidi" w:cstheme="majorBidi"/>
          <w:color w:val="000000" w:themeColor="text1"/>
          <w:sz w:val="24"/>
          <w:szCs w:val="24"/>
          <w:shd w:val="clear" w:color="auto" w:fill="FFFFFF"/>
        </w:rPr>
      </w:pPr>
      <w:r w:rsidRPr="001A7BF6">
        <w:rPr>
          <w:rFonts w:asciiTheme="majorBidi" w:hAnsiTheme="majorBidi" w:cstheme="majorBidi"/>
          <w:b/>
          <w:bCs/>
          <w:color w:val="000000" w:themeColor="text1"/>
          <w:sz w:val="24"/>
          <w:szCs w:val="24"/>
          <w:shd w:val="clear" w:color="auto" w:fill="FFFFFF"/>
        </w:rPr>
        <w:t>Yunker</w:t>
      </w:r>
      <w:r w:rsidRPr="001A7BF6">
        <w:rPr>
          <w:rFonts w:asciiTheme="majorBidi" w:hAnsiTheme="majorBidi" w:cstheme="majorBidi"/>
          <w:color w:val="000000" w:themeColor="text1"/>
          <w:sz w:val="24"/>
          <w:szCs w:val="24"/>
          <w:shd w:val="clear" w:color="auto" w:fill="FFFFFF"/>
        </w:rPr>
        <w:t xml:space="preserve">, M.B., Macdonald, R.W., </w:t>
      </w:r>
      <w:proofErr w:type="spellStart"/>
      <w:r w:rsidRPr="001A7BF6">
        <w:rPr>
          <w:rFonts w:asciiTheme="majorBidi" w:hAnsiTheme="majorBidi" w:cstheme="majorBidi"/>
          <w:color w:val="000000" w:themeColor="text1"/>
          <w:sz w:val="24"/>
          <w:szCs w:val="24"/>
          <w:shd w:val="clear" w:color="auto" w:fill="FFFFFF"/>
        </w:rPr>
        <w:t>Vingarzan</w:t>
      </w:r>
      <w:proofErr w:type="spellEnd"/>
      <w:r w:rsidRPr="001A7BF6">
        <w:rPr>
          <w:rFonts w:asciiTheme="majorBidi" w:hAnsiTheme="majorBidi" w:cstheme="majorBidi"/>
          <w:color w:val="000000" w:themeColor="text1"/>
          <w:sz w:val="24"/>
          <w:szCs w:val="24"/>
          <w:shd w:val="clear" w:color="auto" w:fill="FFFFFF"/>
        </w:rPr>
        <w:t>, R., Mitchell, R.H., Goyette, D. and Sylvestre, S., 2002. PAHs in the Fraser River basin: a critical appraisal of PAH ratios as indicators of PAH source and composition. </w:t>
      </w:r>
      <w:r w:rsidRPr="001A7BF6">
        <w:rPr>
          <w:rFonts w:asciiTheme="majorBidi" w:hAnsiTheme="majorBidi" w:cstheme="majorBidi"/>
          <w:i/>
          <w:iCs/>
          <w:color w:val="000000" w:themeColor="text1"/>
          <w:sz w:val="24"/>
          <w:szCs w:val="24"/>
          <w:shd w:val="clear" w:color="auto" w:fill="FFFFFF"/>
        </w:rPr>
        <w:t>Organic geochemistry</w:t>
      </w:r>
      <w:r w:rsidRPr="001A7BF6">
        <w:rPr>
          <w:rFonts w:asciiTheme="majorBidi" w:hAnsiTheme="majorBidi" w:cstheme="majorBidi"/>
          <w:color w:val="000000" w:themeColor="text1"/>
          <w:sz w:val="24"/>
          <w:szCs w:val="24"/>
          <w:shd w:val="clear" w:color="auto" w:fill="FFFFFF"/>
        </w:rPr>
        <w:t>, </w:t>
      </w:r>
      <w:r w:rsidRPr="001A7BF6">
        <w:rPr>
          <w:rFonts w:asciiTheme="majorBidi" w:hAnsiTheme="majorBidi" w:cstheme="majorBidi"/>
          <w:i/>
          <w:iCs/>
          <w:color w:val="000000" w:themeColor="text1"/>
          <w:sz w:val="24"/>
          <w:szCs w:val="24"/>
          <w:shd w:val="clear" w:color="auto" w:fill="FFFFFF"/>
        </w:rPr>
        <w:t>33</w:t>
      </w:r>
      <w:r w:rsidRPr="001A7BF6">
        <w:rPr>
          <w:rFonts w:asciiTheme="majorBidi" w:hAnsiTheme="majorBidi" w:cstheme="majorBidi"/>
          <w:color w:val="000000" w:themeColor="text1"/>
          <w:sz w:val="24"/>
          <w:szCs w:val="24"/>
          <w:shd w:val="clear" w:color="auto" w:fill="FFFFFF"/>
        </w:rPr>
        <w:t>(4), pp.489-515.</w:t>
      </w:r>
    </w:p>
    <w:p w14:paraId="6BDAAE4C" w14:textId="77777777" w:rsidR="00B37503" w:rsidRPr="00200528" w:rsidRDefault="00B37503" w:rsidP="00512C18">
      <w:pPr>
        <w:tabs>
          <w:tab w:val="left" w:pos="6390"/>
        </w:tabs>
        <w:spacing w:line="360" w:lineRule="auto"/>
        <w:jc w:val="both"/>
        <w:rPr>
          <w:rFonts w:asciiTheme="majorBidi" w:hAnsiTheme="majorBidi" w:cstheme="majorBidi"/>
          <w:color w:val="222222"/>
          <w:sz w:val="24"/>
          <w:szCs w:val="24"/>
          <w:shd w:val="clear" w:color="auto" w:fill="FFFFFF"/>
        </w:rPr>
      </w:pPr>
    </w:p>
    <w:p w14:paraId="23B9C939" w14:textId="77777777" w:rsidR="001564CA" w:rsidRPr="00200528" w:rsidRDefault="001564CA" w:rsidP="00604A27">
      <w:pPr>
        <w:spacing w:line="360" w:lineRule="auto"/>
        <w:jc w:val="both"/>
        <w:rPr>
          <w:rFonts w:asciiTheme="majorBidi" w:hAnsiTheme="majorBidi" w:cstheme="majorBidi"/>
          <w:color w:val="222222"/>
          <w:sz w:val="24"/>
          <w:szCs w:val="24"/>
          <w:shd w:val="clear" w:color="auto" w:fill="FFFFFF"/>
        </w:rPr>
      </w:pPr>
    </w:p>
    <w:p w14:paraId="29695AA3" w14:textId="77777777" w:rsidR="00604A27" w:rsidRPr="00200528" w:rsidRDefault="00604A27" w:rsidP="002B0EC3">
      <w:pPr>
        <w:spacing w:line="480" w:lineRule="auto"/>
        <w:rPr>
          <w:rFonts w:asciiTheme="majorBidi" w:hAnsiTheme="majorBidi" w:cstheme="majorBidi"/>
          <w:b/>
          <w:bCs/>
          <w:sz w:val="24"/>
          <w:szCs w:val="24"/>
          <w:rtl/>
          <w:lang w:bidi="ar-IQ"/>
        </w:rPr>
      </w:pPr>
    </w:p>
    <w:p w14:paraId="49C6EB44" w14:textId="77777777" w:rsidR="002B0EC3" w:rsidRPr="00200528" w:rsidRDefault="002B0EC3">
      <w:pPr>
        <w:rPr>
          <w:rFonts w:asciiTheme="majorBidi" w:hAnsiTheme="majorBidi" w:cstheme="majorBidi"/>
          <w:sz w:val="24"/>
          <w:szCs w:val="24"/>
        </w:rPr>
      </w:pPr>
    </w:p>
    <w:sectPr w:rsidR="002B0EC3" w:rsidRPr="00200528" w:rsidSect="005741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439F6" w14:textId="77777777" w:rsidR="003A0315" w:rsidRDefault="003A0315" w:rsidP="00DD200B">
      <w:pPr>
        <w:spacing w:after="0" w:line="240" w:lineRule="auto"/>
      </w:pPr>
      <w:r>
        <w:separator/>
      </w:r>
    </w:p>
  </w:endnote>
  <w:endnote w:type="continuationSeparator" w:id="0">
    <w:p w14:paraId="5FBEB74F" w14:textId="77777777" w:rsidR="003A0315" w:rsidRDefault="003A0315" w:rsidP="00DD2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794925"/>
      <w:docPartObj>
        <w:docPartGallery w:val="Page Numbers (Bottom of Page)"/>
        <w:docPartUnique/>
      </w:docPartObj>
    </w:sdtPr>
    <w:sdtEndPr>
      <w:rPr>
        <w:noProof/>
      </w:rPr>
    </w:sdtEndPr>
    <w:sdtContent>
      <w:p w14:paraId="71C04C18" w14:textId="297DE2CD" w:rsidR="00DD200B" w:rsidRDefault="00DD200B">
        <w:pPr>
          <w:pStyle w:val="Footer"/>
          <w:jc w:val="right"/>
        </w:pPr>
        <w:r>
          <w:fldChar w:fldCharType="begin"/>
        </w:r>
        <w:r>
          <w:instrText xml:space="preserve"> PAGE   \* MERGEFORMAT </w:instrText>
        </w:r>
        <w:r>
          <w:fldChar w:fldCharType="separate"/>
        </w:r>
        <w:r w:rsidR="0086718E">
          <w:rPr>
            <w:noProof/>
          </w:rPr>
          <w:t>10</w:t>
        </w:r>
        <w:r>
          <w:rPr>
            <w:noProof/>
          </w:rPr>
          <w:fldChar w:fldCharType="end"/>
        </w:r>
      </w:p>
    </w:sdtContent>
  </w:sdt>
  <w:p w14:paraId="79342F86" w14:textId="77777777" w:rsidR="00DD200B" w:rsidRDefault="00DD2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9AA45" w14:textId="77777777" w:rsidR="003A0315" w:rsidRDefault="003A0315" w:rsidP="00DD200B">
      <w:pPr>
        <w:spacing w:after="0" w:line="240" w:lineRule="auto"/>
      </w:pPr>
      <w:r>
        <w:separator/>
      </w:r>
    </w:p>
  </w:footnote>
  <w:footnote w:type="continuationSeparator" w:id="0">
    <w:p w14:paraId="509B4327" w14:textId="77777777" w:rsidR="003A0315" w:rsidRDefault="003A0315" w:rsidP="00DD2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A3B85"/>
    <w:multiLevelType w:val="multilevel"/>
    <w:tmpl w:val="34E6C1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3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2306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I0MDawNLa0sLAwMbFU0lEKTi0uzszPAykwrgUAP9ym2ywAAAA="/>
  </w:docVars>
  <w:rsids>
    <w:rsidRoot w:val="006E35DA"/>
    <w:rsid w:val="00006D50"/>
    <w:rsid w:val="00023611"/>
    <w:rsid w:val="00023B97"/>
    <w:rsid w:val="00046BDF"/>
    <w:rsid w:val="000A5D59"/>
    <w:rsid w:val="000B5C8A"/>
    <w:rsid w:val="000C5AD0"/>
    <w:rsid w:val="000C7B54"/>
    <w:rsid w:val="000E3298"/>
    <w:rsid w:val="0010796E"/>
    <w:rsid w:val="00122669"/>
    <w:rsid w:val="0013599A"/>
    <w:rsid w:val="00141A83"/>
    <w:rsid w:val="001564CA"/>
    <w:rsid w:val="00174EB0"/>
    <w:rsid w:val="00186DBF"/>
    <w:rsid w:val="001A02C4"/>
    <w:rsid w:val="001B1FC7"/>
    <w:rsid w:val="001C5606"/>
    <w:rsid w:val="001C5D57"/>
    <w:rsid w:val="00200528"/>
    <w:rsid w:val="0020253F"/>
    <w:rsid w:val="00204703"/>
    <w:rsid w:val="002201D8"/>
    <w:rsid w:val="00224AC5"/>
    <w:rsid w:val="002311E7"/>
    <w:rsid w:val="00253249"/>
    <w:rsid w:val="00264AD5"/>
    <w:rsid w:val="002920D8"/>
    <w:rsid w:val="00293210"/>
    <w:rsid w:val="002B0EC3"/>
    <w:rsid w:val="002D2E38"/>
    <w:rsid w:val="002F6931"/>
    <w:rsid w:val="002F6F3C"/>
    <w:rsid w:val="0032093E"/>
    <w:rsid w:val="00350B7E"/>
    <w:rsid w:val="00361AC5"/>
    <w:rsid w:val="00382E63"/>
    <w:rsid w:val="0039432C"/>
    <w:rsid w:val="003A0315"/>
    <w:rsid w:val="003C2548"/>
    <w:rsid w:val="003C3638"/>
    <w:rsid w:val="003E024F"/>
    <w:rsid w:val="003E3157"/>
    <w:rsid w:val="0040077E"/>
    <w:rsid w:val="004040DA"/>
    <w:rsid w:val="004252F2"/>
    <w:rsid w:val="00434DE4"/>
    <w:rsid w:val="00451EE8"/>
    <w:rsid w:val="004544F1"/>
    <w:rsid w:val="00466F58"/>
    <w:rsid w:val="004736C5"/>
    <w:rsid w:val="00486478"/>
    <w:rsid w:val="004A0945"/>
    <w:rsid w:val="004A25DC"/>
    <w:rsid w:val="004B52B4"/>
    <w:rsid w:val="00500C07"/>
    <w:rsid w:val="00512C18"/>
    <w:rsid w:val="00546CD1"/>
    <w:rsid w:val="00557E85"/>
    <w:rsid w:val="00574166"/>
    <w:rsid w:val="005A327C"/>
    <w:rsid w:val="005B5F74"/>
    <w:rsid w:val="005B62C0"/>
    <w:rsid w:val="005C2153"/>
    <w:rsid w:val="005C6387"/>
    <w:rsid w:val="005F7FE7"/>
    <w:rsid w:val="00601C25"/>
    <w:rsid w:val="00604A27"/>
    <w:rsid w:val="006230A8"/>
    <w:rsid w:val="0062727A"/>
    <w:rsid w:val="00627D28"/>
    <w:rsid w:val="00634861"/>
    <w:rsid w:val="00636951"/>
    <w:rsid w:val="00655027"/>
    <w:rsid w:val="006947D8"/>
    <w:rsid w:val="006C14B9"/>
    <w:rsid w:val="006E35DA"/>
    <w:rsid w:val="007227CC"/>
    <w:rsid w:val="0072559E"/>
    <w:rsid w:val="00775E25"/>
    <w:rsid w:val="00795AC7"/>
    <w:rsid w:val="007A4923"/>
    <w:rsid w:val="007A6393"/>
    <w:rsid w:val="008213D5"/>
    <w:rsid w:val="00831507"/>
    <w:rsid w:val="008454A0"/>
    <w:rsid w:val="00846DC0"/>
    <w:rsid w:val="008535F2"/>
    <w:rsid w:val="00854655"/>
    <w:rsid w:val="0086718E"/>
    <w:rsid w:val="00892BF5"/>
    <w:rsid w:val="008A05B9"/>
    <w:rsid w:val="008A5DF5"/>
    <w:rsid w:val="008B1718"/>
    <w:rsid w:val="008D3754"/>
    <w:rsid w:val="008D5D2F"/>
    <w:rsid w:val="008D7DBA"/>
    <w:rsid w:val="009007E3"/>
    <w:rsid w:val="0091720D"/>
    <w:rsid w:val="00932A4C"/>
    <w:rsid w:val="009441CF"/>
    <w:rsid w:val="009512EA"/>
    <w:rsid w:val="009B62CE"/>
    <w:rsid w:val="009C0B3A"/>
    <w:rsid w:val="009D3E57"/>
    <w:rsid w:val="009F07A4"/>
    <w:rsid w:val="009F422B"/>
    <w:rsid w:val="00A16BB3"/>
    <w:rsid w:val="00A2792D"/>
    <w:rsid w:val="00A3407C"/>
    <w:rsid w:val="00A358BA"/>
    <w:rsid w:val="00A36BCD"/>
    <w:rsid w:val="00A70F39"/>
    <w:rsid w:val="00A74949"/>
    <w:rsid w:val="00AB237E"/>
    <w:rsid w:val="00AB4A9A"/>
    <w:rsid w:val="00AE01E3"/>
    <w:rsid w:val="00AE3143"/>
    <w:rsid w:val="00AE74E9"/>
    <w:rsid w:val="00AE7EEE"/>
    <w:rsid w:val="00AF0ED6"/>
    <w:rsid w:val="00AF7FB7"/>
    <w:rsid w:val="00B05965"/>
    <w:rsid w:val="00B33A62"/>
    <w:rsid w:val="00B37503"/>
    <w:rsid w:val="00B43444"/>
    <w:rsid w:val="00B5564C"/>
    <w:rsid w:val="00B96012"/>
    <w:rsid w:val="00BA3EF1"/>
    <w:rsid w:val="00BC49EC"/>
    <w:rsid w:val="00BC76F9"/>
    <w:rsid w:val="00BF5BD0"/>
    <w:rsid w:val="00C00913"/>
    <w:rsid w:val="00C04FD7"/>
    <w:rsid w:val="00C12160"/>
    <w:rsid w:val="00C47AE6"/>
    <w:rsid w:val="00C52F15"/>
    <w:rsid w:val="00C64291"/>
    <w:rsid w:val="00C708F9"/>
    <w:rsid w:val="00C71829"/>
    <w:rsid w:val="00C94074"/>
    <w:rsid w:val="00D14046"/>
    <w:rsid w:val="00D16332"/>
    <w:rsid w:val="00D240C8"/>
    <w:rsid w:val="00D41B5E"/>
    <w:rsid w:val="00D54916"/>
    <w:rsid w:val="00D74770"/>
    <w:rsid w:val="00D81DE4"/>
    <w:rsid w:val="00D85F9E"/>
    <w:rsid w:val="00D97003"/>
    <w:rsid w:val="00DD200B"/>
    <w:rsid w:val="00DD4F3A"/>
    <w:rsid w:val="00DE77A1"/>
    <w:rsid w:val="00E162E3"/>
    <w:rsid w:val="00E454B0"/>
    <w:rsid w:val="00E61B65"/>
    <w:rsid w:val="00E71648"/>
    <w:rsid w:val="00EB0843"/>
    <w:rsid w:val="00ED297D"/>
    <w:rsid w:val="00EE693E"/>
    <w:rsid w:val="00F1365F"/>
    <w:rsid w:val="00F60D70"/>
    <w:rsid w:val="00F74974"/>
    <w:rsid w:val="00F9222D"/>
    <w:rsid w:val="00FA0FF2"/>
    <w:rsid w:val="00FB59ED"/>
    <w:rsid w:val="00FD457F"/>
    <w:rsid w:val="00FF72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9EE5"/>
  <w15:chartTrackingRefBased/>
  <w15:docId w15:val="{EE79500B-A44A-4A1C-B675-7D2F58823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5DA"/>
  </w:style>
  <w:style w:type="paragraph" w:styleId="Heading2">
    <w:name w:val="heading 2"/>
    <w:basedOn w:val="Normal"/>
    <w:next w:val="Normal"/>
    <w:link w:val="Heading2Char"/>
    <w:uiPriority w:val="9"/>
    <w:unhideWhenUsed/>
    <w:qFormat/>
    <w:rsid w:val="0039432C"/>
    <w:pPr>
      <w:keepNext/>
      <w:keepLines/>
      <w:spacing w:before="40" w:after="0"/>
      <w:outlineLvl w:val="1"/>
    </w:pPr>
    <w:rPr>
      <w:rFonts w:asciiTheme="majorHAnsi" w:eastAsiaTheme="majorEastAsia" w:hAnsiTheme="majorHAnsi" w:cstheme="majorBidi"/>
      <w:color w:val="2E74B5" w:themeColor="accent1" w:themeShade="BF"/>
      <w:kern w:val="2"/>
      <w:sz w:val="26"/>
      <w:szCs w:val="26"/>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5DA"/>
    <w:rPr>
      <w:color w:val="0563C1" w:themeColor="hyperlink"/>
      <w:u w:val="single"/>
    </w:rPr>
  </w:style>
  <w:style w:type="table" w:styleId="TableGrid">
    <w:name w:val="Table Grid"/>
    <w:basedOn w:val="TableNormal"/>
    <w:uiPriority w:val="39"/>
    <w:rsid w:val="00486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6478"/>
    <w:pPr>
      <w:spacing w:after="200" w:line="276" w:lineRule="auto"/>
      <w:ind w:left="720"/>
      <w:contextualSpacing/>
    </w:pPr>
    <w:rPr>
      <w:rFonts w:ascii="Calibri" w:eastAsia="Calibri" w:hAnsi="Calibri" w:cs="Times New Roman"/>
      <w:lang w:val="en-GB"/>
    </w:rPr>
  </w:style>
  <w:style w:type="paragraph" w:styleId="Header">
    <w:name w:val="header"/>
    <w:basedOn w:val="Normal"/>
    <w:link w:val="HeaderChar"/>
    <w:uiPriority w:val="99"/>
    <w:unhideWhenUsed/>
    <w:rsid w:val="00DD20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00B"/>
  </w:style>
  <w:style w:type="paragraph" w:styleId="Footer">
    <w:name w:val="footer"/>
    <w:basedOn w:val="Normal"/>
    <w:link w:val="FooterChar"/>
    <w:uiPriority w:val="99"/>
    <w:unhideWhenUsed/>
    <w:rsid w:val="00DD20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00B"/>
  </w:style>
  <w:style w:type="table" w:styleId="PlainTable2">
    <w:name w:val="Plain Table 2"/>
    <w:basedOn w:val="TableNormal"/>
    <w:uiPriority w:val="42"/>
    <w:rsid w:val="00224A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FD45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39432C"/>
    <w:rPr>
      <w:rFonts w:asciiTheme="majorHAnsi" w:eastAsiaTheme="majorEastAsia" w:hAnsiTheme="majorHAnsi" w:cstheme="majorBidi"/>
      <w:color w:val="2E74B5" w:themeColor="accent1" w:themeShade="BF"/>
      <w:kern w:val="2"/>
      <w:sz w:val="26"/>
      <w:szCs w:val="26"/>
      <w14:ligatures w14:val="standardContextual"/>
    </w:rPr>
  </w:style>
  <w:style w:type="paragraph" w:styleId="BalloonText">
    <w:name w:val="Balloon Text"/>
    <w:basedOn w:val="Normal"/>
    <w:link w:val="BalloonTextChar"/>
    <w:uiPriority w:val="99"/>
    <w:semiHidden/>
    <w:unhideWhenUsed/>
    <w:rsid w:val="00434D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DE4"/>
    <w:rPr>
      <w:rFonts w:ascii="Segoe UI" w:hAnsi="Segoe UI" w:cs="Segoe UI"/>
      <w:sz w:val="18"/>
      <w:szCs w:val="18"/>
    </w:rPr>
  </w:style>
  <w:style w:type="character" w:styleId="CommentReference">
    <w:name w:val="annotation reference"/>
    <w:basedOn w:val="DefaultParagraphFont"/>
    <w:uiPriority w:val="99"/>
    <w:semiHidden/>
    <w:unhideWhenUsed/>
    <w:rsid w:val="00434DE4"/>
    <w:rPr>
      <w:sz w:val="16"/>
      <w:szCs w:val="16"/>
    </w:rPr>
  </w:style>
  <w:style w:type="paragraph" w:styleId="CommentText">
    <w:name w:val="annotation text"/>
    <w:basedOn w:val="Normal"/>
    <w:link w:val="CommentTextChar"/>
    <w:uiPriority w:val="99"/>
    <w:semiHidden/>
    <w:unhideWhenUsed/>
    <w:rsid w:val="00434DE4"/>
    <w:pPr>
      <w:spacing w:line="240" w:lineRule="auto"/>
    </w:pPr>
    <w:rPr>
      <w:sz w:val="20"/>
      <w:szCs w:val="20"/>
    </w:rPr>
  </w:style>
  <w:style w:type="character" w:customStyle="1" w:styleId="CommentTextChar">
    <w:name w:val="Comment Text Char"/>
    <w:basedOn w:val="DefaultParagraphFont"/>
    <w:link w:val="CommentText"/>
    <w:uiPriority w:val="99"/>
    <w:semiHidden/>
    <w:rsid w:val="00434DE4"/>
    <w:rPr>
      <w:sz w:val="20"/>
      <w:szCs w:val="20"/>
    </w:rPr>
  </w:style>
  <w:style w:type="paragraph" w:styleId="CommentSubject">
    <w:name w:val="annotation subject"/>
    <w:basedOn w:val="CommentText"/>
    <w:next w:val="CommentText"/>
    <w:link w:val="CommentSubjectChar"/>
    <w:uiPriority w:val="99"/>
    <w:semiHidden/>
    <w:unhideWhenUsed/>
    <w:rsid w:val="00434DE4"/>
    <w:rPr>
      <w:b/>
      <w:bCs/>
    </w:rPr>
  </w:style>
  <w:style w:type="character" w:customStyle="1" w:styleId="CommentSubjectChar">
    <w:name w:val="Comment Subject Char"/>
    <w:basedOn w:val="CommentTextChar"/>
    <w:link w:val="CommentSubject"/>
    <w:uiPriority w:val="99"/>
    <w:semiHidden/>
    <w:rsid w:val="00434DE4"/>
    <w:rPr>
      <w:b/>
      <w:bCs/>
      <w:sz w:val="20"/>
      <w:szCs w:val="20"/>
    </w:rPr>
  </w:style>
  <w:style w:type="character" w:styleId="UnresolvedMention">
    <w:name w:val="Unresolved Mention"/>
    <w:basedOn w:val="DefaultParagraphFont"/>
    <w:uiPriority w:val="99"/>
    <w:semiHidden/>
    <w:unhideWhenUsed/>
    <w:rsid w:val="00B43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F75D1-ED0E-4884-96FA-97410DC6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181</Pages>
  <Words>15861</Words>
  <Characters>90410</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Grmasha Ruqayah Ali Naser</dc:creator>
  <cp:keywords/>
  <dc:description/>
  <cp:lastModifiedBy>awad1973mohammed@gmail.com</cp:lastModifiedBy>
  <cp:revision>20</cp:revision>
  <dcterms:created xsi:type="dcterms:W3CDTF">2023-03-09T08:05:00Z</dcterms:created>
  <dcterms:modified xsi:type="dcterms:W3CDTF">2023-04-10T10:51:00Z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add17e1a5a9343985cde442128b70308708dd77fe37cf5649616cc7ae4bbd832</vt:lpwstr>
  </property>
</Properties>
</file>