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FC4004" w14:textId="77777777" w:rsidR="00F04DBF" w:rsidRPr="00F04DBF" w:rsidRDefault="00F04DBF" w:rsidP="00F04DBF">
      <w:pPr>
        <w:spacing w:after="0" w:line="360" w:lineRule="auto"/>
        <w:jc w:val="center"/>
        <w:rPr>
          <w:rFonts w:cs="Times New Roman"/>
          <w:b/>
          <w:sz w:val="28"/>
          <w:szCs w:val="28"/>
        </w:rPr>
      </w:pPr>
      <w:r w:rsidRPr="00F04DBF">
        <w:rPr>
          <w:rFonts w:cs="Times New Roman"/>
          <w:b/>
          <w:sz w:val="28"/>
          <w:szCs w:val="28"/>
        </w:rPr>
        <w:t xml:space="preserve">The receptor for advanced glycation end products is involved in </w:t>
      </w:r>
      <w:r w:rsidRPr="00F04DBF">
        <w:rPr>
          <w:rFonts w:cs="Times New Roman"/>
          <w:b/>
          <w:i/>
          <w:iCs/>
          <w:sz w:val="28"/>
          <w:szCs w:val="28"/>
        </w:rPr>
        <w:t xml:space="preserve">Campylobacter </w:t>
      </w:r>
      <w:proofErr w:type="spellStart"/>
      <w:r w:rsidRPr="00F04DBF">
        <w:rPr>
          <w:rFonts w:cs="Times New Roman"/>
          <w:b/>
          <w:i/>
          <w:iCs/>
          <w:sz w:val="28"/>
          <w:szCs w:val="28"/>
        </w:rPr>
        <w:t>jejuni</w:t>
      </w:r>
      <w:proofErr w:type="spellEnd"/>
      <w:r w:rsidRPr="00F04DBF">
        <w:rPr>
          <w:rFonts w:cs="Times New Roman"/>
          <w:b/>
          <w:sz w:val="28"/>
          <w:szCs w:val="28"/>
        </w:rPr>
        <w:t xml:space="preserve"> cytolethal distending toxin intracellular trafficking</w:t>
      </w:r>
    </w:p>
    <w:p w14:paraId="237E3263" w14:textId="77777777" w:rsidR="00F04DBF" w:rsidRDefault="00F04DBF" w:rsidP="00AD1B54">
      <w:pPr>
        <w:rPr>
          <w:b/>
          <w:bCs/>
          <w:sz w:val="28"/>
          <w:szCs w:val="24"/>
        </w:rPr>
      </w:pPr>
    </w:p>
    <w:p w14:paraId="68E24C1F" w14:textId="46064AC4" w:rsidR="00F04DBF" w:rsidRPr="00AD1B54" w:rsidRDefault="00F04DBF" w:rsidP="00AD1B54">
      <w:pPr>
        <w:jc w:val="center"/>
        <w:rPr>
          <w:b/>
          <w:bCs/>
        </w:rPr>
      </w:pPr>
      <w:r w:rsidRPr="00F04DBF">
        <w:rPr>
          <w:rFonts w:hint="eastAsia"/>
          <w:b/>
          <w:bCs/>
          <w:sz w:val="28"/>
          <w:szCs w:val="24"/>
        </w:rPr>
        <w:t>S</w:t>
      </w:r>
      <w:r w:rsidRPr="00F04DBF">
        <w:rPr>
          <w:b/>
          <w:bCs/>
          <w:sz w:val="28"/>
          <w:szCs w:val="24"/>
        </w:rPr>
        <w:t>upplemental materials</w:t>
      </w:r>
    </w:p>
    <w:p w14:paraId="4C8F1E66" w14:textId="77777777" w:rsidR="00F04DBF" w:rsidRDefault="00F04DBF" w:rsidP="00F04DBF">
      <w:pPr>
        <w:spacing w:after="0" w:line="480" w:lineRule="auto"/>
        <w:jc w:val="center"/>
      </w:pPr>
      <w:r>
        <w:rPr>
          <w:noProof/>
        </w:rPr>
        <w:drawing>
          <wp:inline distT="0" distB="0" distL="0" distR="0" wp14:anchorId="68BC2527" wp14:editId="43F97D94">
            <wp:extent cx="4639586" cy="5445506"/>
            <wp:effectExtent l="0" t="0" r="0" b="3175"/>
            <wp:docPr id="26" name="圖片 26" descr="一張含有 日曆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圖片 26" descr="一張含有 日曆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038" cy="54542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85ECEC" w14:textId="77777777" w:rsidR="00F04DBF" w:rsidRDefault="00F04DBF" w:rsidP="00F04DBF">
      <w:pPr>
        <w:spacing w:after="0" w:line="276" w:lineRule="auto"/>
        <w:jc w:val="both"/>
        <w:rPr>
          <w:b/>
          <w:bCs/>
        </w:rPr>
      </w:pPr>
      <w:bookmarkStart w:id="0" w:name="_Toc79569753"/>
    </w:p>
    <w:p w14:paraId="298E006E" w14:textId="11C3D9D0" w:rsidR="00F04DBF" w:rsidRDefault="00F04DBF" w:rsidP="00F04DBF">
      <w:pPr>
        <w:spacing w:after="0" w:line="276" w:lineRule="auto"/>
        <w:jc w:val="both"/>
      </w:pPr>
      <w:r w:rsidRPr="00481754">
        <w:rPr>
          <w:b/>
          <w:bCs/>
        </w:rPr>
        <w:t xml:space="preserve">Figure </w:t>
      </w:r>
      <w:r>
        <w:rPr>
          <w:b/>
          <w:bCs/>
        </w:rPr>
        <w:t>S</w:t>
      </w:r>
      <w:r w:rsidR="00AD1B54">
        <w:rPr>
          <w:b/>
          <w:bCs/>
        </w:rPr>
        <w:t>1</w:t>
      </w:r>
      <w:r w:rsidRPr="00481754">
        <w:rPr>
          <w:b/>
          <w:bCs/>
        </w:rPr>
        <w:t xml:space="preserve">. </w:t>
      </w:r>
      <w:bookmarkStart w:id="1" w:name="_Hlk95987472"/>
      <w:r>
        <w:rPr>
          <w:rFonts w:hint="eastAsia"/>
          <w:b/>
          <w:bCs/>
        </w:rPr>
        <w:t>R</w:t>
      </w:r>
      <w:r w:rsidRPr="00481754">
        <w:rPr>
          <w:b/>
          <w:bCs/>
        </w:rPr>
        <w:t xml:space="preserve">ecombinant CDT </w:t>
      </w:r>
      <w:r>
        <w:rPr>
          <w:rFonts w:hint="eastAsia"/>
          <w:b/>
          <w:bCs/>
        </w:rPr>
        <w:t>i</w:t>
      </w:r>
      <w:r>
        <w:rPr>
          <w:b/>
          <w:bCs/>
        </w:rPr>
        <w:t>nduces</w:t>
      </w:r>
      <w:r w:rsidRPr="00481754">
        <w:rPr>
          <w:b/>
          <w:bCs/>
        </w:rPr>
        <w:t xml:space="preserve"> cell cycle arrest</w:t>
      </w:r>
      <w:bookmarkEnd w:id="1"/>
      <w:r w:rsidRPr="00481754">
        <w:rPr>
          <w:b/>
          <w:bCs/>
        </w:rPr>
        <w:t>.</w:t>
      </w:r>
      <w:r w:rsidRPr="00481754">
        <w:t xml:space="preserve"> (A) </w:t>
      </w:r>
      <w:bookmarkStart w:id="2" w:name="_Hlk95987068"/>
      <w:r w:rsidRPr="00481754">
        <w:t>AGS cells were treated with</w:t>
      </w:r>
      <w:r w:rsidRPr="00481754">
        <w:rPr>
          <w:rFonts w:hint="eastAsia"/>
        </w:rPr>
        <w:t xml:space="preserve"> </w:t>
      </w:r>
      <w:r w:rsidRPr="00481754">
        <w:t xml:space="preserve">recombinant CDT holotoxin </w:t>
      </w:r>
      <w:r>
        <w:t>(</w:t>
      </w:r>
      <w:r w:rsidRPr="00481754">
        <w:t xml:space="preserve">100 </w:t>
      </w:r>
      <w:proofErr w:type="spellStart"/>
      <w:r w:rsidRPr="00481754">
        <w:t>nM</w:t>
      </w:r>
      <w:proofErr w:type="spellEnd"/>
      <w:r>
        <w:t>)</w:t>
      </w:r>
      <w:r w:rsidRPr="00481754">
        <w:t xml:space="preserve"> for 0, 24, 48, and 72 h, respectively. The percentage of cell population in each stage was analyzed by</w:t>
      </w:r>
      <w:r w:rsidRPr="00481754">
        <w:rPr>
          <w:rFonts w:hint="eastAsia"/>
        </w:rPr>
        <w:t xml:space="preserve"> </w:t>
      </w:r>
      <w:r w:rsidRPr="00481754">
        <w:t>flow</w:t>
      </w:r>
      <w:r>
        <w:t xml:space="preserve"> </w:t>
      </w:r>
      <w:r w:rsidRPr="00481754">
        <w:t>cytometry.</w:t>
      </w:r>
      <w:bookmarkEnd w:id="2"/>
      <w:r w:rsidRPr="00481754">
        <w:t xml:space="preserve"> Morphology of cell distention was visualized by light microscopy. Scale bars, 100 </w:t>
      </w:r>
      <w:proofErr w:type="spellStart"/>
      <w:r w:rsidRPr="00481754">
        <w:t>μm</w:t>
      </w:r>
      <w:proofErr w:type="spellEnd"/>
      <w:r w:rsidRPr="00481754">
        <w:t xml:space="preserve">. (B) The percentage of cells </w:t>
      </w:r>
      <w:r>
        <w:t>at</w:t>
      </w:r>
      <w:r w:rsidRPr="00481754">
        <w:t xml:space="preserve"> G2/M was calculated and plotted. </w:t>
      </w:r>
      <w:r w:rsidRPr="00967CD2">
        <w:rPr>
          <w:rFonts w:hint="eastAsia"/>
        </w:rPr>
        <w:t>St</w:t>
      </w:r>
      <w:r w:rsidRPr="00967CD2">
        <w:t xml:space="preserve">atistical analysis was processed by </w:t>
      </w:r>
      <w:r w:rsidRPr="00481754">
        <w:t>Student’s</w:t>
      </w:r>
      <w:r w:rsidRPr="00574C6D">
        <w:t xml:space="preserve"> </w:t>
      </w:r>
      <w:r w:rsidRPr="00574C6D">
        <w:rPr>
          <w:i/>
          <w:iCs/>
        </w:rPr>
        <w:t>t</w:t>
      </w:r>
      <w:r w:rsidRPr="00574C6D">
        <w:t xml:space="preserve">-test. *, </w:t>
      </w:r>
      <w:r w:rsidRPr="00574C6D">
        <w:rPr>
          <w:i/>
          <w:iCs/>
        </w:rPr>
        <w:t xml:space="preserve">P </w:t>
      </w:r>
      <w:r w:rsidRPr="00574C6D">
        <w:t>&lt; 0.0</w:t>
      </w:r>
      <w:r w:rsidRPr="00574C6D">
        <w:rPr>
          <w:rFonts w:hint="eastAsia"/>
        </w:rPr>
        <w:t>5</w:t>
      </w:r>
      <w:r w:rsidRPr="00574C6D">
        <w:t xml:space="preserve"> w</w:t>
      </w:r>
      <w:r w:rsidRPr="00967CD2">
        <w:t>as considered statistical</w:t>
      </w:r>
      <w:r>
        <w:t>ly</w:t>
      </w:r>
      <w:r w:rsidRPr="00967CD2">
        <w:t xml:space="preserve"> significan</w:t>
      </w:r>
      <w:r>
        <w:t>t</w:t>
      </w:r>
      <w:r w:rsidRPr="00967CD2">
        <w:t xml:space="preserve"> upon compared to </w:t>
      </w:r>
      <w:r>
        <w:t>mock-treated</w:t>
      </w:r>
      <w:r w:rsidRPr="00967CD2">
        <w:t xml:space="preserve"> group. </w:t>
      </w:r>
      <w:bookmarkEnd w:id="0"/>
    </w:p>
    <w:p w14:paraId="47B3397A" w14:textId="77777777" w:rsidR="00F04DBF" w:rsidRDefault="00F04DBF" w:rsidP="00F04DBF">
      <w:pPr>
        <w:spacing w:after="0" w:line="480" w:lineRule="auto"/>
        <w:jc w:val="both"/>
      </w:pPr>
      <w:r>
        <w:br w:type="page"/>
      </w:r>
    </w:p>
    <w:p w14:paraId="41B0DC08" w14:textId="77777777" w:rsidR="00F04DBF" w:rsidRDefault="00F04DBF" w:rsidP="00F04DBF">
      <w:pPr>
        <w:spacing w:after="0" w:line="480" w:lineRule="auto"/>
        <w:jc w:val="center"/>
      </w:pPr>
      <w:r>
        <w:rPr>
          <w:noProof/>
        </w:rPr>
        <w:lastRenderedPageBreak/>
        <w:drawing>
          <wp:inline distT="0" distB="0" distL="0" distR="0" wp14:anchorId="797B2549" wp14:editId="0E682172">
            <wp:extent cx="4643562" cy="5535439"/>
            <wp:effectExtent l="0" t="0" r="5080" b="0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863" cy="5558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CC7DAB" w14:textId="77777777" w:rsidR="00F04DBF" w:rsidRDefault="00F04DBF" w:rsidP="00F04DBF">
      <w:pPr>
        <w:spacing w:after="0" w:line="276" w:lineRule="auto"/>
        <w:jc w:val="both"/>
        <w:rPr>
          <w:b/>
          <w:bCs/>
        </w:rPr>
      </w:pPr>
      <w:bookmarkStart w:id="3" w:name="_Hlk95987598"/>
    </w:p>
    <w:p w14:paraId="38F5E929" w14:textId="6D71BC8B" w:rsidR="00F04DBF" w:rsidRPr="00D94F51" w:rsidRDefault="00F04DBF" w:rsidP="00F04DBF">
      <w:pPr>
        <w:spacing w:after="0" w:line="276" w:lineRule="auto"/>
        <w:jc w:val="both"/>
      </w:pPr>
      <w:r w:rsidRPr="00967CD2">
        <w:rPr>
          <w:b/>
          <w:bCs/>
        </w:rPr>
        <w:t xml:space="preserve">Figure </w:t>
      </w:r>
      <w:r>
        <w:rPr>
          <w:b/>
          <w:bCs/>
        </w:rPr>
        <w:t>S</w:t>
      </w:r>
      <w:r w:rsidR="00AD1B54">
        <w:rPr>
          <w:b/>
          <w:bCs/>
        </w:rPr>
        <w:t>2</w:t>
      </w:r>
      <w:bookmarkStart w:id="4" w:name="_GoBack"/>
      <w:bookmarkEnd w:id="4"/>
      <w:r w:rsidRPr="00967CD2">
        <w:rPr>
          <w:b/>
          <w:bCs/>
        </w:rPr>
        <w:t xml:space="preserve">. </w:t>
      </w:r>
      <w:r w:rsidRPr="00967CD2">
        <w:rPr>
          <w:b/>
          <w:bCs/>
          <w:i/>
        </w:rPr>
        <w:t>AGER</w:t>
      </w:r>
      <w:r>
        <w:rPr>
          <w:b/>
          <w:bCs/>
        </w:rPr>
        <w:t>-knockout</w:t>
      </w:r>
      <w:bookmarkEnd w:id="3"/>
      <w:r>
        <w:rPr>
          <w:b/>
          <w:bCs/>
        </w:rPr>
        <w:t xml:space="preserve"> </w:t>
      </w:r>
      <w:r w:rsidRPr="00F04DBF">
        <w:rPr>
          <w:b/>
          <w:bCs/>
          <w:color w:val="000000" w:themeColor="text1"/>
        </w:rPr>
        <w:t xml:space="preserve">using </w:t>
      </w:r>
      <w:r w:rsidRPr="00F04DBF">
        <w:rPr>
          <w:rFonts w:eastAsia="新細明體" w:cs="Times New Roman"/>
          <w:b/>
          <w:bCs/>
          <w:color w:val="000000" w:themeColor="text1"/>
          <w:szCs w:val="24"/>
        </w:rPr>
        <w:t>CRISPR/Cas9 system</w:t>
      </w:r>
      <w:r w:rsidRPr="00F04DBF">
        <w:rPr>
          <w:rFonts w:cs="Times New Roman"/>
          <w:b/>
          <w:bCs/>
          <w:color w:val="000000" w:themeColor="text1"/>
          <w:szCs w:val="24"/>
        </w:rPr>
        <w:t>.</w:t>
      </w:r>
      <w:r w:rsidRPr="00967CD2">
        <w:rPr>
          <w:b/>
          <w:bCs/>
        </w:rPr>
        <w:t xml:space="preserve"> </w:t>
      </w:r>
      <w:r w:rsidRPr="00967CD2">
        <w:rPr>
          <w:rFonts w:hint="eastAsia"/>
        </w:rPr>
        <w:t>(</w:t>
      </w:r>
      <w:r w:rsidRPr="00967CD2">
        <w:t xml:space="preserve">A) The target sites of sgRNAs were showed in </w:t>
      </w:r>
      <w:r w:rsidRPr="00967CD2">
        <w:rPr>
          <w:rFonts w:hint="eastAsia"/>
        </w:rPr>
        <w:t>t</w:t>
      </w:r>
      <w:r w:rsidRPr="00967CD2">
        <w:t xml:space="preserve">he RAGE. (B) CRISPR-control (CRISPR-C) and </w:t>
      </w:r>
      <w:r w:rsidRPr="00967CD2">
        <w:rPr>
          <w:i/>
        </w:rPr>
        <w:t>AGER</w:t>
      </w:r>
      <w:r w:rsidRPr="00967CD2">
        <w:t>-knockout (RAGE-KO)</w:t>
      </w:r>
      <w:r w:rsidRPr="00967CD2">
        <w:rPr>
          <w:rFonts w:hint="eastAsia"/>
        </w:rPr>
        <w:t xml:space="preserve"> </w:t>
      </w:r>
      <w:r w:rsidRPr="00967CD2">
        <w:t xml:space="preserve">cells </w:t>
      </w:r>
      <w:r w:rsidRPr="00967CD2">
        <w:rPr>
          <w:rFonts w:hint="eastAsia"/>
        </w:rPr>
        <w:t>w</w:t>
      </w:r>
      <w:r w:rsidRPr="00967CD2">
        <w:t xml:space="preserve">ere sequenced and analyzed by </w:t>
      </w:r>
      <w:proofErr w:type="spellStart"/>
      <w:r w:rsidRPr="00967CD2">
        <w:t>Benchling</w:t>
      </w:r>
      <w:proofErr w:type="spellEnd"/>
      <w:r w:rsidRPr="00967CD2">
        <w:t xml:space="preserve"> as described in the Methods section. (C) RAGE was depleted by using CRISPR-Cas9 system in AGS cells. The expression levels of RAGE and GAPDH were analyzed by western blot</w:t>
      </w:r>
      <w:r>
        <w:t>ting</w:t>
      </w:r>
      <w:r w:rsidRPr="00967CD2">
        <w:t xml:space="preserve">. The </w:t>
      </w:r>
      <w:r>
        <w:t>relative fold change</w:t>
      </w:r>
      <w:r w:rsidRPr="00967CD2">
        <w:t xml:space="preserve"> of RAGE/GAPDH</w:t>
      </w:r>
      <w:r>
        <w:t xml:space="preserve"> expression</w:t>
      </w:r>
      <w:r w:rsidRPr="00967CD2">
        <w:t xml:space="preserve"> was calculated and plotted. </w:t>
      </w:r>
      <w:r w:rsidRPr="00967CD2">
        <w:rPr>
          <w:rFonts w:hint="eastAsia"/>
        </w:rPr>
        <w:t>St</w:t>
      </w:r>
      <w:r w:rsidRPr="00967CD2">
        <w:t xml:space="preserve">atistical analysis was </w:t>
      </w:r>
      <w:r>
        <w:t>performed</w:t>
      </w:r>
      <w:r w:rsidRPr="00967CD2">
        <w:t xml:space="preserve"> by </w:t>
      </w:r>
      <w:r>
        <w:t xml:space="preserve">Student’s </w:t>
      </w:r>
      <w:r>
        <w:rPr>
          <w:i/>
        </w:rPr>
        <w:t>t</w:t>
      </w:r>
      <w:r>
        <w:t>-test</w:t>
      </w:r>
      <w:r w:rsidRPr="00574C6D">
        <w:t xml:space="preserve">. *, </w:t>
      </w:r>
      <w:r w:rsidRPr="00574C6D">
        <w:rPr>
          <w:i/>
          <w:iCs/>
        </w:rPr>
        <w:t xml:space="preserve">P </w:t>
      </w:r>
      <w:r w:rsidRPr="00574C6D">
        <w:t>&lt; 0.05 w</w:t>
      </w:r>
      <w:r w:rsidRPr="00574C6D">
        <w:rPr>
          <w:rFonts w:hint="eastAsia"/>
        </w:rPr>
        <w:t>a</w:t>
      </w:r>
      <w:r w:rsidRPr="00574C6D">
        <w:t>s consi</w:t>
      </w:r>
      <w:r w:rsidRPr="00967CD2">
        <w:t>dered statistical</w:t>
      </w:r>
      <w:r>
        <w:t>ly</w:t>
      </w:r>
      <w:r w:rsidRPr="00967CD2">
        <w:t xml:space="preserve"> significan</w:t>
      </w:r>
      <w:r>
        <w:t>t</w:t>
      </w:r>
      <w:r w:rsidRPr="00967CD2">
        <w:t xml:space="preserve"> upon compared to the control group.</w:t>
      </w:r>
    </w:p>
    <w:p w14:paraId="309B763F" w14:textId="77777777" w:rsidR="00F04DBF" w:rsidRPr="00F04DBF" w:rsidRDefault="00F04DBF"/>
    <w:sectPr w:rsidR="00F04DBF" w:rsidRPr="00F04DBF" w:rsidSect="00F04DB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DBF"/>
    <w:rsid w:val="00351842"/>
    <w:rsid w:val="006B0F05"/>
    <w:rsid w:val="008F1DEF"/>
    <w:rsid w:val="00AD1B54"/>
    <w:rsid w:val="00B21E42"/>
    <w:rsid w:val="00F04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50EFA"/>
  <w15:chartTrackingRefBased/>
  <w15:docId w15:val="{CB0D2454-0364-449D-B9CC-B55A7ED87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4DBF"/>
    <w:pPr>
      <w:spacing w:after="160" w:line="259" w:lineRule="auto"/>
    </w:pPr>
    <w:rPr>
      <w:rFonts w:ascii="Times New Roman" w:hAnsi="Times New Roman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Chih-Ho Lai</dc:creator>
  <cp:keywords/>
  <dc:description/>
  <cp:lastModifiedBy>怡如 賴</cp:lastModifiedBy>
  <cp:revision>2</cp:revision>
  <dcterms:created xsi:type="dcterms:W3CDTF">2023-03-14T12:05:00Z</dcterms:created>
  <dcterms:modified xsi:type="dcterms:W3CDTF">2023-03-31T05:42:00Z</dcterms:modified>
</cp:coreProperties>
</file>