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1FE0" w14:textId="77777777" w:rsidR="000E5B84" w:rsidRPr="000E5B84" w:rsidRDefault="000E5B84" w:rsidP="000E5B84">
      <w:pPr>
        <w:spacing w:line="480" w:lineRule="auto"/>
        <w:jc w:val="center"/>
        <w:rPr>
          <w:b/>
        </w:rPr>
      </w:pPr>
      <w:r w:rsidRPr="000E5B84">
        <w:rPr>
          <w:b/>
        </w:rPr>
        <w:t>Supplementary Material</w:t>
      </w:r>
    </w:p>
    <w:p w14:paraId="6B06E13D" w14:textId="77777777" w:rsidR="000E5B84" w:rsidRPr="000E5B84" w:rsidRDefault="000E5B84" w:rsidP="000E5B84">
      <w:pPr>
        <w:spacing w:line="480" w:lineRule="auto"/>
        <w:jc w:val="center"/>
        <w:rPr>
          <w:bCs/>
        </w:rPr>
      </w:pPr>
    </w:p>
    <w:p w14:paraId="32305617" w14:textId="77777777" w:rsidR="000E5B84" w:rsidRPr="000E5B84" w:rsidRDefault="000E5B84" w:rsidP="000E5B84">
      <w:pPr>
        <w:spacing w:line="480" w:lineRule="auto"/>
        <w:jc w:val="center"/>
        <w:rPr>
          <w:bCs/>
        </w:rPr>
      </w:pPr>
    </w:p>
    <w:p w14:paraId="6564A037" w14:textId="01FBC139" w:rsidR="000E5B84" w:rsidRPr="000E5B84" w:rsidRDefault="000E5B84" w:rsidP="000E5B84">
      <w:pPr>
        <w:spacing w:line="480" w:lineRule="auto"/>
        <w:jc w:val="center"/>
        <w:rPr>
          <w:bCs/>
        </w:rPr>
      </w:pPr>
      <w:r w:rsidRPr="000E5B84">
        <w:rPr>
          <w:bCs/>
        </w:rPr>
        <w:t>Electrodermal and central measures of the phasic orienting reflex (OR)</w:t>
      </w:r>
    </w:p>
    <w:p w14:paraId="6063454E" w14:textId="77777777" w:rsidR="000E5B84" w:rsidRPr="000E5B84" w:rsidRDefault="000E5B84" w:rsidP="000E5B84">
      <w:pPr>
        <w:spacing w:line="480" w:lineRule="auto"/>
        <w:jc w:val="center"/>
        <w:rPr>
          <w:bCs/>
        </w:rPr>
      </w:pPr>
      <w:r w:rsidRPr="000E5B84">
        <w:rPr>
          <w:bCs/>
        </w:rPr>
        <w:t>Robert J. Barry</w:t>
      </w:r>
      <w:r w:rsidRPr="000E5B84">
        <w:rPr>
          <w:bCs/>
          <w:vertAlign w:val="superscript"/>
        </w:rPr>
        <w:t>1</w:t>
      </w:r>
      <w:r w:rsidRPr="000E5B84">
        <w:rPr>
          <w:bCs/>
        </w:rPr>
        <w:t>*, Genevieve Z. Steiner-Lim</w:t>
      </w:r>
      <w:r w:rsidRPr="000E5B84">
        <w:rPr>
          <w:bCs/>
          <w:vertAlign w:val="superscript"/>
        </w:rPr>
        <w:t>2</w:t>
      </w:r>
      <w:r w:rsidRPr="000E5B84">
        <w:rPr>
          <w:bCs/>
        </w:rPr>
        <w:t>, Adele E. Cave</w:t>
      </w:r>
      <w:r w:rsidRPr="000E5B84">
        <w:rPr>
          <w:bCs/>
          <w:vertAlign w:val="superscript"/>
        </w:rPr>
        <w:t>1</w:t>
      </w:r>
      <w:r w:rsidRPr="000E5B84">
        <w:rPr>
          <w:bCs/>
        </w:rPr>
        <w:t>, Frances M. De Blasio</w:t>
      </w:r>
      <w:r w:rsidRPr="000E5B84">
        <w:rPr>
          <w:bCs/>
          <w:vertAlign w:val="superscript"/>
        </w:rPr>
        <w:t>1</w:t>
      </w:r>
      <w:r w:rsidRPr="000E5B84">
        <w:rPr>
          <w:bCs/>
        </w:rPr>
        <w:t>, Brett MacDonald</w:t>
      </w:r>
      <w:r w:rsidRPr="000E5B84">
        <w:rPr>
          <w:bCs/>
          <w:vertAlign w:val="superscript"/>
        </w:rPr>
        <w:t>1</w:t>
      </w:r>
    </w:p>
    <w:p w14:paraId="5B66ADAE" w14:textId="77777777" w:rsidR="000E5B84" w:rsidRPr="000E5B84" w:rsidRDefault="000E5B84" w:rsidP="000E5B84">
      <w:pPr>
        <w:spacing w:line="480" w:lineRule="auto"/>
        <w:rPr>
          <w:bCs/>
        </w:rPr>
      </w:pPr>
    </w:p>
    <w:p w14:paraId="0D21DF14" w14:textId="77777777" w:rsidR="000E5B84" w:rsidRPr="000E5B84" w:rsidRDefault="000E5B84" w:rsidP="000E5B84">
      <w:pPr>
        <w:spacing w:line="480" w:lineRule="auto"/>
        <w:rPr>
          <w:bCs/>
        </w:rPr>
      </w:pPr>
    </w:p>
    <w:p w14:paraId="6777C733" w14:textId="77777777" w:rsidR="000E5B84" w:rsidRPr="000E5B84" w:rsidRDefault="000E5B84" w:rsidP="000E5B84">
      <w:pPr>
        <w:spacing w:line="480" w:lineRule="auto"/>
        <w:jc w:val="center"/>
        <w:rPr>
          <w:bCs/>
        </w:rPr>
      </w:pPr>
      <w:r w:rsidRPr="000E5B84">
        <w:rPr>
          <w:bCs/>
          <w:vertAlign w:val="superscript"/>
        </w:rPr>
        <w:t>1</w:t>
      </w:r>
      <w:r w:rsidRPr="000E5B84">
        <w:rPr>
          <w:bCs/>
        </w:rPr>
        <w:t>Brain &amp; Behaviour Research Institute and School of Psychology, University of Wollongong, Wollongong, Australia</w:t>
      </w:r>
    </w:p>
    <w:p w14:paraId="7921CD8F" w14:textId="77777777" w:rsidR="000E5B84" w:rsidRPr="000E5B84" w:rsidRDefault="000E5B84" w:rsidP="000E5B84">
      <w:pPr>
        <w:spacing w:line="480" w:lineRule="auto"/>
        <w:jc w:val="center"/>
        <w:rPr>
          <w:bCs/>
        </w:rPr>
      </w:pPr>
      <w:r w:rsidRPr="000E5B84">
        <w:rPr>
          <w:bCs/>
          <w:vertAlign w:val="superscript"/>
        </w:rPr>
        <w:t>2</w:t>
      </w:r>
      <w:r w:rsidRPr="000E5B84">
        <w:rPr>
          <w:bCs/>
        </w:rPr>
        <w:t>NICM Health Research Institute, Western Sydney University, Penrith, Australia</w:t>
      </w:r>
    </w:p>
    <w:p w14:paraId="20D7E595" w14:textId="77777777" w:rsidR="000E5B84" w:rsidRPr="000E5B84" w:rsidRDefault="000E5B84" w:rsidP="000E5B84">
      <w:pPr>
        <w:spacing w:line="480" w:lineRule="auto"/>
        <w:jc w:val="center"/>
        <w:rPr>
          <w:bCs/>
        </w:rPr>
      </w:pPr>
    </w:p>
    <w:p w14:paraId="6EC7FF23" w14:textId="77777777" w:rsidR="00235BE5" w:rsidRDefault="00235BE5" w:rsidP="000E5B84">
      <w:pPr>
        <w:rPr>
          <w:bCs/>
        </w:rPr>
      </w:pPr>
    </w:p>
    <w:p w14:paraId="059FF08A" w14:textId="77777777" w:rsidR="00235BE5" w:rsidRDefault="00235BE5" w:rsidP="000E5B84">
      <w:pPr>
        <w:rPr>
          <w:bCs/>
        </w:rPr>
      </w:pPr>
    </w:p>
    <w:p w14:paraId="7BC0E492" w14:textId="77777777" w:rsidR="00235BE5" w:rsidRDefault="00235BE5" w:rsidP="000E5B84">
      <w:pPr>
        <w:rPr>
          <w:bCs/>
        </w:rPr>
      </w:pPr>
    </w:p>
    <w:p w14:paraId="5181CD9E" w14:textId="77777777" w:rsidR="00235BE5" w:rsidRDefault="00235BE5" w:rsidP="000E5B84">
      <w:pPr>
        <w:rPr>
          <w:bCs/>
        </w:rPr>
      </w:pPr>
    </w:p>
    <w:p w14:paraId="2D486C10" w14:textId="77777777" w:rsidR="00235BE5" w:rsidRDefault="00235BE5" w:rsidP="000E5B84">
      <w:pPr>
        <w:rPr>
          <w:bCs/>
        </w:rPr>
      </w:pPr>
    </w:p>
    <w:p w14:paraId="4891F628" w14:textId="77777777" w:rsidR="00235BE5" w:rsidRDefault="00235BE5" w:rsidP="000E5B84">
      <w:pPr>
        <w:rPr>
          <w:bCs/>
        </w:rPr>
      </w:pPr>
    </w:p>
    <w:p w14:paraId="0383B477" w14:textId="7A4433D1" w:rsidR="00235BE5" w:rsidRPr="00531118" w:rsidRDefault="00531118" w:rsidP="00531118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Corresponding author at </w:t>
      </w:r>
      <w:r w:rsidRPr="00531118">
        <w:rPr>
          <w:bCs/>
          <w:u w:val="single"/>
        </w:rPr>
        <w:t>rbarry@uow.edu.au</w:t>
      </w:r>
    </w:p>
    <w:p w14:paraId="46F2767A" w14:textId="77777777" w:rsidR="00235BE5" w:rsidRDefault="00235BE5" w:rsidP="000E5B84">
      <w:pPr>
        <w:rPr>
          <w:bCs/>
        </w:rPr>
      </w:pPr>
    </w:p>
    <w:p w14:paraId="56D654F1" w14:textId="77777777" w:rsidR="00235BE5" w:rsidRDefault="00235BE5" w:rsidP="000E5B84">
      <w:pPr>
        <w:rPr>
          <w:bCs/>
        </w:rPr>
      </w:pPr>
    </w:p>
    <w:p w14:paraId="5731B91E" w14:textId="77777777" w:rsidR="00235BE5" w:rsidRDefault="00235BE5" w:rsidP="000E5B84">
      <w:pPr>
        <w:rPr>
          <w:bCs/>
        </w:rPr>
      </w:pPr>
    </w:p>
    <w:p w14:paraId="3A8C2AA3" w14:textId="77777777" w:rsidR="00235BE5" w:rsidRDefault="00235BE5" w:rsidP="000E5B84">
      <w:pPr>
        <w:rPr>
          <w:bCs/>
        </w:rPr>
      </w:pPr>
    </w:p>
    <w:p w14:paraId="488077C7" w14:textId="77777777" w:rsidR="00235BE5" w:rsidRDefault="00235BE5" w:rsidP="000E5B84">
      <w:pPr>
        <w:rPr>
          <w:bCs/>
        </w:rPr>
      </w:pPr>
    </w:p>
    <w:p w14:paraId="5ACD6C4D" w14:textId="77777777" w:rsidR="00235BE5" w:rsidRDefault="00235BE5" w:rsidP="000E5B84">
      <w:pPr>
        <w:rPr>
          <w:bCs/>
        </w:rPr>
      </w:pPr>
    </w:p>
    <w:p w14:paraId="1B9CEAC5" w14:textId="77777777" w:rsidR="00235BE5" w:rsidRDefault="00235BE5" w:rsidP="000E5B84">
      <w:pPr>
        <w:rPr>
          <w:bCs/>
        </w:rPr>
      </w:pPr>
    </w:p>
    <w:p w14:paraId="5BB6DC52" w14:textId="77777777" w:rsidR="00235BE5" w:rsidRDefault="00235BE5" w:rsidP="000E5B84">
      <w:pPr>
        <w:rPr>
          <w:bCs/>
        </w:rPr>
      </w:pPr>
    </w:p>
    <w:p w14:paraId="0752FA0C" w14:textId="77777777" w:rsidR="00235BE5" w:rsidRDefault="00235BE5" w:rsidP="000E5B84">
      <w:pPr>
        <w:rPr>
          <w:bCs/>
        </w:rPr>
      </w:pPr>
    </w:p>
    <w:p w14:paraId="20E35AD2" w14:textId="77777777" w:rsidR="00235BE5" w:rsidRDefault="00235BE5" w:rsidP="000E5B84">
      <w:pPr>
        <w:rPr>
          <w:bCs/>
        </w:rPr>
      </w:pPr>
    </w:p>
    <w:p w14:paraId="14DF71DB" w14:textId="4012952B" w:rsidR="00235BE5" w:rsidRDefault="00235BE5" w:rsidP="000E5B84">
      <w:pPr>
        <w:rPr>
          <w:bCs/>
        </w:rPr>
      </w:pPr>
      <w:r w:rsidRPr="001E3991">
        <w:rPr>
          <w:b/>
          <w:u w:val="single"/>
        </w:rPr>
        <w:t>Exploratory correlations</w:t>
      </w:r>
    </w:p>
    <w:p w14:paraId="68F8097C" w14:textId="77777777" w:rsidR="00235BE5" w:rsidRDefault="00235BE5" w:rsidP="000E5B84">
      <w:pPr>
        <w:rPr>
          <w:bCs/>
        </w:rPr>
      </w:pPr>
    </w:p>
    <w:p w14:paraId="769EB1C0" w14:textId="2584E040" w:rsidR="00214549" w:rsidRDefault="00235BE5" w:rsidP="00235BE5">
      <w:pPr>
        <w:ind w:firstLine="720"/>
        <w:rPr>
          <w:bCs/>
        </w:rPr>
      </w:pPr>
      <w:r>
        <w:rPr>
          <w:bCs/>
        </w:rPr>
        <w:t>Below are the scatterplots for the exploratory analyses between the P300 component amplitudes and the SCR amplitudes over the 12 stimulus presentations in each combination of ISI (Short/Long) and condition (Significant/Indifferent, abbreviated Sig/Ind).</w:t>
      </w:r>
    </w:p>
    <w:p w14:paraId="657661E7" w14:textId="0996D308" w:rsidR="00235BE5" w:rsidRDefault="00235BE5" w:rsidP="00235BE5">
      <w:pPr>
        <w:ind w:firstLine="720"/>
        <w:rPr>
          <w:bCs/>
        </w:rPr>
      </w:pPr>
    </w:p>
    <w:p w14:paraId="7A2A93E6" w14:textId="23F172C2" w:rsidR="00235BE5" w:rsidRDefault="00235BE5" w:rsidP="00235BE5">
      <w:pPr>
        <w:ind w:firstLine="720"/>
        <w:rPr>
          <w:bCs/>
        </w:rPr>
      </w:pPr>
      <w:r>
        <w:rPr>
          <w:bCs/>
        </w:rPr>
        <w:t xml:space="preserve">Each scatterplot indicates component amplitude versus SCR amplitude.  Linear trend lines are indicated.  Because SCR was not normally distributed over trials, the indicated correlations </w:t>
      </w:r>
      <w:r w:rsidR="001E3991">
        <w:rPr>
          <w:bCs/>
        </w:rPr>
        <w:t>(</w:t>
      </w:r>
      <w:r w:rsidR="001E3991" w:rsidRPr="001E3991">
        <w:rPr>
          <w:bCs/>
          <w:i/>
          <w:iCs/>
        </w:rPr>
        <w:t>r</w:t>
      </w:r>
      <w:r w:rsidR="001E3991">
        <w:rPr>
          <w:bCs/>
        </w:rPr>
        <w:t>)</w:t>
      </w:r>
      <w:r>
        <w:rPr>
          <w:bCs/>
        </w:rPr>
        <w:t xml:space="preserve"> are Spearman correlations, as reported in the manuscript.</w:t>
      </w:r>
    </w:p>
    <w:p w14:paraId="00CC31AE" w14:textId="0ED7EBCC" w:rsidR="001E3991" w:rsidRDefault="00C01146" w:rsidP="001E3991">
      <w:pPr>
        <w:jc w:val="center"/>
      </w:pPr>
      <w:r>
        <w:rPr>
          <w:noProof/>
        </w:rPr>
        <w:lastRenderedPageBreak/>
        <w:drawing>
          <wp:inline distT="0" distB="0" distL="0" distR="0" wp14:anchorId="0C7DA2B7" wp14:editId="1482F337">
            <wp:extent cx="3659124" cy="3181318"/>
            <wp:effectExtent l="0" t="0" r="0" b="635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124" cy="31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B2C70" w14:textId="29049756" w:rsidR="001E3991" w:rsidRDefault="001E3991" w:rsidP="001E3991"/>
    <w:p w14:paraId="302E7F22" w14:textId="03AB63CB" w:rsidR="001E3991" w:rsidRDefault="001E3991" w:rsidP="001E3991">
      <w:r>
        <w:t>Supplementary Figure S1. Mean P3a component amplitudes plotted against SCR amplitudes at each trial number for the four ISI/Condition combinations.</w:t>
      </w:r>
    </w:p>
    <w:p w14:paraId="61202189" w14:textId="2EF4DC39" w:rsidR="001E3991" w:rsidRDefault="001E3991" w:rsidP="001E3991"/>
    <w:p w14:paraId="02B13666" w14:textId="3848197C" w:rsidR="001E3991" w:rsidRDefault="001E3991" w:rsidP="001E3991"/>
    <w:p w14:paraId="41068B4E" w14:textId="331B0056" w:rsidR="001E3991" w:rsidRDefault="001E3991" w:rsidP="001E3991"/>
    <w:p w14:paraId="2DE8A448" w14:textId="77777777" w:rsidR="001E3991" w:rsidRDefault="001E3991" w:rsidP="001E3991"/>
    <w:p w14:paraId="057D8A1F" w14:textId="4D0165E4" w:rsidR="001E3991" w:rsidRDefault="00C01146" w:rsidP="001E3991">
      <w:pPr>
        <w:jc w:val="center"/>
      </w:pPr>
      <w:r>
        <w:rPr>
          <w:noProof/>
        </w:rPr>
        <w:drawing>
          <wp:inline distT="0" distB="0" distL="0" distR="0" wp14:anchorId="49AEA9E7" wp14:editId="60098FF2">
            <wp:extent cx="3657600" cy="3181318"/>
            <wp:effectExtent l="0" t="0" r="0" b="635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A1CB3" w14:textId="128BDE44" w:rsidR="001E3991" w:rsidRDefault="001E3991" w:rsidP="001E3991">
      <w:pPr>
        <w:jc w:val="center"/>
      </w:pPr>
    </w:p>
    <w:p w14:paraId="4C2D814E" w14:textId="20BE1C15" w:rsidR="001E3991" w:rsidRDefault="001E3991" w:rsidP="001E3991">
      <w:r>
        <w:t>Supplementary Figure S2. Mean P3b component amplitudes plotted against SCR amplitudes at each trial number for the four ISI/Condition combinations.</w:t>
      </w:r>
    </w:p>
    <w:p w14:paraId="08C6768A" w14:textId="77777777" w:rsidR="001E3991" w:rsidRDefault="001E3991" w:rsidP="001E3991"/>
    <w:p w14:paraId="1ADA8503" w14:textId="50F32B1B" w:rsidR="001E3991" w:rsidRDefault="001E3991">
      <w:pPr>
        <w:spacing w:line="480" w:lineRule="auto"/>
        <w:ind w:firstLine="720"/>
      </w:pPr>
      <w:r>
        <w:br w:type="page"/>
      </w:r>
    </w:p>
    <w:p w14:paraId="1BC9998E" w14:textId="249A8648" w:rsidR="001E3991" w:rsidRDefault="00C01146" w:rsidP="001E3991">
      <w:pPr>
        <w:jc w:val="center"/>
      </w:pPr>
      <w:r>
        <w:rPr>
          <w:noProof/>
        </w:rPr>
        <w:lastRenderedPageBreak/>
        <w:drawing>
          <wp:inline distT="0" distB="0" distL="0" distR="0" wp14:anchorId="571E44CF" wp14:editId="7CA9229E">
            <wp:extent cx="3657600" cy="3181318"/>
            <wp:effectExtent l="0" t="0" r="0" b="635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0AF87" w14:textId="785AA10F" w:rsidR="001E3991" w:rsidRDefault="001E3991" w:rsidP="001E3991"/>
    <w:p w14:paraId="0C3D2785" w14:textId="4B104B82" w:rsidR="001E3991" w:rsidRDefault="001E3991" w:rsidP="001E3991">
      <w:r>
        <w:t>Supplementary Figure S3. Mean nP3 component amplitudes plotted against SCR amplitudes at each trial number for the four ISI/Condition combinations.</w:t>
      </w:r>
    </w:p>
    <w:p w14:paraId="2121E0F3" w14:textId="77777777" w:rsidR="001E3991" w:rsidRDefault="001E3991" w:rsidP="001E3991"/>
    <w:p w14:paraId="47E1C68B" w14:textId="4B2DA393" w:rsidR="001E3991" w:rsidRDefault="001E3991" w:rsidP="001E3991"/>
    <w:p w14:paraId="30E92714" w14:textId="7B8CFA96" w:rsidR="001E3991" w:rsidRDefault="001E3991" w:rsidP="001E3991"/>
    <w:p w14:paraId="6A7641E7" w14:textId="73669165" w:rsidR="001E3991" w:rsidRDefault="00C01146" w:rsidP="001E3991">
      <w:pPr>
        <w:jc w:val="center"/>
      </w:pPr>
      <w:r>
        <w:rPr>
          <w:noProof/>
        </w:rPr>
        <w:drawing>
          <wp:inline distT="0" distB="0" distL="0" distR="0" wp14:anchorId="40E4BD89" wp14:editId="4091AEA8">
            <wp:extent cx="3657600" cy="3182845"/>
            <wp:effectExtent l="0" t="0" r="0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27335" w14:textId="741A747E" w:rsidR="001E3991" w:rsidRDefault="001E3991" w:rsidP="001E3991">
      <w:pPr>
        <w:jc w:val="center"/>
      </w:pPr>
    </w:p>
    <w:p w14:paraId="5DE75794" w14:textId="77777777" w:rsidR="001E3991" w:rsidRDefault="001E3991" w:rsidP="001E3991"/>
    <w:p w14:paraId="42644E70" w14:textId="42D93073" w:rsidR="00036141" w:rsidRDefault="00036141" w:rsidP="00036141">
      <w:r>
        <w:t>Supplementary Figure S4. Mean SW1 component amplitudes plotted against SCR amplitudes at each trial number for the four ISI/Condition combinations.</w:t>
      </w:r>
    </w:p>
    <w:p w14:paraId="1D21ED11" w14:textId="77777777" w:rsidR="00036141" w:rsidRDefault="00036141" w:rsidP="00036141"/>
    <w:p w14:paraId="39905881" w14:textId="77777777" w:rsidR="00036141" w:rsidRDefault="00036141" w:rsidP="00036141">
      <w:pPr>
        <w:spacing w:line="480" w:lineRule="auto"/>
        <w:ind w:firstLine="720"/>
      </w:pPr>
      <w:r>
        <w:br w:type="page"/>
      </w:r>
    </w:p>
    <w:p w14:paraId="35F4077A" w14:textId="0885E858" w:rsidR="001E3991" w:rsidRDefault="00C01146" w:rsidP="00036141">
      <w:pPr>
        <w:jc w:val="center"/>
      </w:pPr>
      <w:r>
        <w:rPr>
          <w:noProof/>
        </w:rPr>
        <w:lastRenderedPageBreak/>
        <w:drawing>
          <wp:inline distT="0" distB="0" distL="0" distR="0" wp14:anchorId="142F28D3" wp14:editId="0499F299">
            <wp:extent cx="3657600" cy="3182845"/>
            <wp:effectExtent l="0" t="0" r="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CD6A" w14:textId="4BD74E13" w:rsidR="00036141" w:rsidRDefault="00036141" w:rsidP="00036141">
      <w:pPr>
        <w:jc w:val="center"/>
      </w:pPr>
    </w:p>
    <w:p w14:paraId="2A23FDB1" w14:textId="3DCEEDFF" w:rsidR="00036141" w:rsidRDefault="00036141" w:rsidP="00036141">
      <w:r>
        <w:t>Supplementary Figure S5. Mean SW2 component amplitudes plotted against SCR amplitudes at each trial number for the four ISI/Condition combinations.</w:t>
      </w:r>
    </w:p>
    <w:sectPr w:rsidR="0003614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159F" w14:textId="77777777" w:rsidR="001E3991" w:rsidRDefault="001E3991" w:rsidP="001E3991">
      <w:r>
        <w:separator/>
      </w:r>
    </w:p>
  </w:endnote>
  <w:endnote w:type="continuationSeparator" w:id="0">
    <w:p w14:paraId="5DEB8046" w14:textId="77777777" w:rsidR="001E3991" w:rsidRDefault="001E3991" w:rsidP="001E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02D6" w14:textId="77777777" w:rsidR="001E3991" w:rsidRDefault="001E3991" w:rsidP="001E3991">
      <w:r>
        <w:separator/>
      </w:r>
    </w:p>
  </w:footnote>
  <w:footnote w:type="continuationSeparator" w:id="0">
    <w:p w14:paraId="4D72C311" w14:textId="77777777" w:rsidR="001E3991" w:rsidRDefault="001E3991" w:rsidP="001E3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2212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54B5E2" w14:textId="6C05E9BC" w:rsidR="001E3991" w:rsidRDefault="001E39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B5E48"/>
    <w:multiLevelType w:val="hybridMultilevel"/>
    <w:tmpl w:val="DE724AA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2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0B"/>
    <w:rsid w:val="00036141"/>
    <w:rsid w:val="000E5B84"/>
    <w:rsid w:val="001E3991"/>
    <w:rsid w:val="00235BE5"/>
    <w:rsid w:val="003361E3"/>
    <w:rsid w:val="0039240B"/>
    <w:rsid w:val="00461222"/>
    <w:rsid w:val="004714E8"/>
    <w:rsid w:val="004D0FF4"/>
    <w:rsid w:val="00531118"/>
    <w:rsid w:val="006C6F31"/>
    <w:rsid w:val="007D1661"/>
    <w:rsid w:val="00C01146"/>
    <w:rsid w:val="00DF4532"/>
    <w:rsid w:val="00FB7396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4E738"/>
  <w15:chartTrackingRefBased/>
  <w15:docId w15:val="{0D8DD0B8-E3A2-444A-8664-B08C13FA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563C1" w:themeColor="hyperlink"/>
        <w:sz w:val="24"/>
        <w:szCs w:val="24"/>
        <w:u w:val="single"/>
        <w:lang w:val="en-GB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B84"/>
    <w:pPr>
      <w:spacing w:line="240" w:lineRule="auto"/>
      <w:ind w:firstLine="0"/>
    </w:pPr>
    <w:rPr>
      <w:rFonts w:eastAsia="Times New Roman"/>
      <w:color w:val="auto"/>
      <w:u w:val="none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9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991"/>
    <w:rPr>
      <w:rFonts w:eastAsia="Times New Roman"/>
      <w:color w:val="auto"/>
      <w:u w:val="none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1E39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991"/>
    <w:rPr>
      <w:rFonts w:eastAsia="Times New Roman"/>
      <w:color w:val="auto"/>
      <w:u w:val="none"/>
      <w:lang w:val="en-AU" w:eastAsia="en-AU"/>
    </w:rPr>
  </w:style>
  <w:style w:type="paragraph" w:styleId="ListParagraph">
    <w:name w:val="List Paragraph"/>
    <w:basedOn w:val="Normal"/>
    <w:uiPriority w:val="34"/>
    <w:qFormat/>
    <w:rsid w:val="0053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4</cp:revision>
  <dcterms:created xsi:type="dcterms:W3CDTF">2023-03-03T04:22:00Z</dcterms:created>
  <dcterms:modified xsi:type="dcterms:W3CDTF">2023-03-30T06:57:00Z</dcterms:modified>
</cp:coreProperties>
</file>