
<file path=[Content_Types].xml><?xml version="1.0" encoding="utf-8"?>
<Types xmlns="http://schemas.openxmlformats.org/package/2006/content-types">
  <Default Extension="png" ContentType="image/png"/>
  <Default Extension="tiff" ContentType="image/tif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jc w:val="center"/>
        <w:rPr>
          <w:rFonts w:ascii="Times New Roman" w:hAnsi="Times New Roman" w:cs="Times New Roman"/>
          <w:b/>
          <w:sz w:val="32"/>
          <w:szCs w:val="24"/>
        </w:rPr>
      </w:pPr>
      <w:bookmarkStart w:id="0" w:name="OLE_LINK301"/>
      <w:bookmarkStart w:id="1" w:name="OLE_LINK302"/>
      <w:bookmarkStart w:id="27" w:name="_GoBack"/>
      <w:bookmarkEnd w:id="27"/>
      <w:r>
        <w:rPr>
          <w:rFonts w:hint="eastAsia" w:ascii="Times New Roman" w:hAnsi="Times New Roman" w:cs="Times New Roman"/>
          <w:b/>
          <w:bCs/>
          <w:sz w:val="32"/>
          <w:szCs w:val="32"/>
        </w:rPr>
        <w:t>E</w:t>
      </w:r>
      <w:r>
        <w:rPr>
          <w:rFonts w:ascii="Times New Roman" w:hAnsi="Times New Roman" w:cs="Times New Roman"/>
          <w:b/>
          <w:bCs/>
          <w:sz w:val="32"/>
          <w:szCs w:val="32"/>
        </w:rPr>
        <w:t xml:space="preserve">xpression profile and </w:t>
      </w:r>
      <w:bookmarkStart w:id="2" w:name="OLE_LINK87"/>
      <w:bookmarkStart w:id="3" w:name="OLE_LINK88"/>
      <w:r>
        <w:rPr>
          <w:rFonts w:ascii="Times New Roman" w:hAnsi="Times New Roman" w:cs="Times New Roman"/>
          <w:b/>
          <w:bCs/>
          <w:sz w:val="32"/>
          <w:szCs w:val="32"/>
        </w:rPr>
        <w:t xml:space="preserve">prognostic </w:t>
      </w:r>
      <w:bookmarkEnd w:id="2"/>
      <w:bookmarkEnd w:id="3"/>
      <w:r>
        <w:rPr>
          <w:rFonts w:ascii="Times New Roman" w:hAnsi="Times New Roman" w:cs="Times New Roman"/>
          <w:b/>
          <w:bCs/>
          <w:sz w:val="32"/>
          <w:szCs w:val="32"/>
        </w:rPr>
        <w:t>value of</w:t>
      </w:r>
      <w:bookmarkStart w:id="4" w:name="OLE_LINK259"/>
      <w:bookmarkStart w:id="5" w:name="OLE_LINK260"/>
      <w:r>
        <w:rPr>
          <w:rFonts w:ascii="Times New Roman" w:hAnsi="Times New Roman" w:cs="Times New Roman"/>
          <w:b/>
          <w:bCs/>
          <w:sz w:val="32"/>
          <w:szCs w:val="32"/>
        </w:rPr>
        <w:t xml:space="preserve"> </w:t>
      </w:r>
      <w:bookmarkStart w:id="6" w:name="OLE_LINK6"/>
      <w:r>
        <w:rPr>
          <w:rFonts w:hint="eastAsia" w:ascii="Times New Roman" w:hAnsi="Times New Roman" w:cs="Times New Roman"/>
          <w:b/>
          <w:bCs/>
          <w:sz w:val="32"/>
          <w:szCs w:val="32"/>
        </w:rPr>
        <w:t xml:space="preserve">the </w:t>
      </w:r>
      <w:r>
        <w:rPr>
          <w:rFonts w:ascii="Times New Roman" w:hAnsi="Times New Roman" w:cs="Times New Roman"/>
          <w:b/>
          <w:bCs/>
          <w:sz w:val="32"/>
          <w:szCs w:val="32"/>
        </w:rPr>
        <w:t>circadian clock</w:t>
      </w:r>
      <w:bookmarkEnd w:id="6"/>
      <w:r>
        <w:rPr>
          <w:rFonts w:hint="eastAsia" w:ascii="Times New Roman" w:hAnsi="Times New Roman" w:cs="Times New Roman"/>
          <w:b/>
          <w:bCs/>
          <w:sz w:val="32"/>
          <w:szCs w:val="32"/>
        </w:rPr>
        <w:t xml:space="preserve"> </w:t>
      </w:r>
      <w:r>
        <w:rPr>
          <w:rFonts w:ascii="Times New Roman" w:hAnsi="Times New Roman" w:cs="Times New Roman"/>
          <w:b/>
          <w:bCs/>
          <w:sz w:val="32"/>
          <w:szCs w:val="32"/>
        </w:rPr>
        <w:t xml:space="preserve">in </w:t>
      </w:r>
      <w:bookmarkStart w:id="7" w:name="OLE_LINK7"/>
      <w:r>
        <w:rPr>
          <w:rFonts w:hint="eastAsia" w:ascii="Times New Roman" w:hAnsi="Times New Roman" w:cs="Times New Roman"/>
          <w:b/>
          <w:bCs/>
          <w:sz w:val="32"/>
          <w:szCs w:val="32"/>
        </w:rPr>
        <w:t>c</w:t>
      </w:r>
      <w:r>
        <w:rPr>
          <w:rFonts w:ascii="Times New Roman" w:hAnsi="Times New Roman" w:cs="Times New Roman"/>
          <w:b/>
          <w:bCs/>
          <w:sz w:val="32"/>
          <w:szCs w:val="32"/>
        </w:rPr>
        <w:t>lear cell renal cell</w:t>
      </w:r>
      <w:r>
        <w:rPr>
          <w:rFonts w:hint="eastAsia" w:ascii="Times New Roman" w:hAnsi="Times New Roman" w:cs="Times New Roman"/>
          <w:b/>
          <w:bCs/>
          <w:sz w:val="32"/>
          <w:szCs w:val="32"/>
        </w:rPr>
        <w:t xml:space="preserve"> </w:t>
      </w:r>
      <w:r>
        <w:rPr>
          <w:rFonts w:ascii="Times New Roman" w:hAnsi="Times New Roman" w:cs="Times New Roman"/>
          <w:b/>
          <w:bCs/>
          <w:sz w:val="32"/>
          <w:szCs w:val="32"/>
        </w:rPr>
        <w:t>carcinoma</w:t>
      </w:r>
      <w:bookmarkEnd w:id="4"/>
      <w:bookmarkEnd w:id="5"/>
      <w:bookmarkEnd w:id="7"/>
      <w:r>
        <w:rPr>
          <w:rFonts w:ascii="Times New Roman" w:hAnsi="Times New Roman" w:cs="Times New Roman"/>
          <w:b/>
          <w:sz w:val="32"/>
          <w:szCs w:val="24"/>
        </w:rPr>
        <w:t xml:space="preserve"> </w:t>
      </w:r>
    </w:p>
    <w:p>
      <w:pPr>
        <w:spacing w:line="240" w:lineRule="atLeast"/>
        <w:jc w:val="center"/>
        <w:rPr>
          <w:rFonts w:ascii="Times New Roman" w:hAnsi="Times New Roman" w:cs="Times New Roman"/>
          <w:b/>
          <w:sz w:val="32"/>
          <w:szCs w:val="24"/>
        </w:rPr>
      </w:pPr>
      <w:r>
        <w:rPr>
          <w:rFonts w:ascii="Times New Roman" w:hAnsi="Times New Roman" w:cs="Times New Roman"/>
          <w:b/>
          <w:sz w:val="32"/>
          <w:szCs w:val="24"/>
        </w:rPr>
        <w:t>Supplementary materials</w:t>
      </w:r>
    </w:p>
    <w:bookmarkEnd w:id="0"/>
    <w:bookmarkEnd w:id="1"/>
    <w:p>
      <w:pPr>
        <w:spacing w:line="240" w:lineRule="atLeast"/>
        <w:jc w:val="center"/>
        <w:rPr>
          <w:rFonts w:hint="eastAsia"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drawing>
          <wp:inline distT="0" distB="0" distL="0" distR="0">
            <wp:extent cx="5274310" cy="2787015"/>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0"/>
                      <a:ext cx="5274310" cy="2787015"/>
                    </a:xfrm>
                    <a:prstGeom prst="rect">
                      <a:avLst/>
                    </a:prstGeom>
                  </pic:spPr>
                </pic:pic>
              </a:graphicData>
            </a:graphic>
          </wp:inline>
        </w:drawing>
      </w:r>
    </w:p>
    <w:p>
      <w:pPr>
        <w:spacing w:line="240" w:lineRule="atLeast"/>
        <w:rPr>
          <w:rFonts w:hint="eastAsia" w:ascii="Times New Roman" w:hAnsi="Times New Roman" w:cs="Times New Roman"/>
          <w:sz w:val="18"/>
          <w:szCs w:val="18"/>
        </w:rPr>
      </w:pPr>
      <w:r>
        <w:rPr>
          <w:rFonts w:ascii="Times New Roman" w:hAnsi="Times New Roman" w:cs="Times New Roman"/>
          <w:b/>
          <w:color w:val="000000" w:themeColor="text1"/>
          <w:sz w:val="18"/>
          <w:szCs w:val="18"/>
          <w14:textFill>
            <w14:solidFill>
              <w14:schemeClr w14:val="tx1"/>
            </w14:solidFill>
          </w14:textFill>
        </w:rPr>
        <w:t>Supplementary Fig</w:t>
      </w:r>
      <w:r>
        <w:rPr>
          <w:rFonts w:hint="eastAsia" w:ascii="Times New Roman" w:hAnsi="Times New Roman" w:cs="Times New Roman"/>
          <w:b/>
          <w:color w:val="000000" w:themeColor="text1"/>
          <w:sz w:val="18"/>
          <w:szCs w:val="18"/>
          <w14:textFill>
            <w14:solidFill>
              <w14:schemeClr w14:val="tx1"/>
            </w14:solidFill>
          </w14:textFill>
        </w:rPr>
        <w:t>ure</w:t>
      </w:r>
      <w:r>
        <w:rPr>
          <w:rFonts w:ascii="Times New Roman" w:hAnsi="Times New Roman" w:cs="Times New Roman"/>
          <w:b/>
          <w:color w:val="000000" w:themeColor="text1"/>
          <w:sz w:val="18"/>
          <w:szCs w:val="18"/>
          <w14:textFill>
            <w14:solidFill>
              <w14:schemeClr w14:val="tx1"/>
            </w14:solidFill>
          </w14:textFill>
        </w:rPr>
        <w:t xml:space="preserve"> 1</w:t>
      </w:r>
      <w:r>
        <w:rPr>
          <w:rFonts w:hint="eastAsia" w:ascii="Times New Roman" w:hAnsi="Times New Roman" w:cs="Times New Roman"/>
          <w:b/>
          <w:color w:val="000000" w:themeColor="text1"/>
          <w:sz w:val="18"/>
          <w:szCs w:val="18"/>
          <w14:textFill>
            <w14:solidFill>
              <w14:schemeClr w14:val="tx1"/>
            </w14:solidFill>
          </w14:textFill>
        </w:rPr>
        <w:t>.</w:t>
      </w:r>
      <w:bookmarkStart w:id="8" w:name="OLE_LINK140"/>
      <w:bookmarkStart w:id="9" w:name="OLE_LINK139"/>
      <w:r>
        <w:rPr>
          <w:rFonts w:ascii="Times New Roman" w:hAnsi="Times New Roman" w:cs="Times New Roman"/>
          <w:b/>
          <w:color w:val="000000" w:themeColor="text1"/>
          <w:sz w:val="18"/>
          <w:szCs w:val="18"/>
          <w14:textFill>
            <w14:solidFill>
              <w14:schemeClr w14:val="tx1"/>
            </w14:solidFill>
          </w14:textFill>
        </w:rPr>
        <w:t xml:space="preserve"> 526 ccRCC patients were grouped according to the consensus clustering matrix.</w:t>
      </w:r>
      <w:bookmarkEnd w:id="8"/>
      <w:bookmarkEnd w:id="9"/>
      <w:r>
        <w:rPr>
          <w:rFonts w:ascii="Times New Roman" w:hAnsi="Times New Roman" w:cs="Times New Roman"/>
          <w:b/>
          <w:color w:val="000000" w:themeColor="text1"/>
          <w:sz w:val="18"/>
          <w:szCs w:val="18"/>
          <w14:textFill>
            <w14:solidFill>
              <w14:schemeClr w14:val="tx1"/>
            </w14:solidFill>
          </w14:textFill>
        </w:rPr>
        <w:t xml:space="preserve"> </w:t>
      </w:r>
      <w:r>
        <w:rPr>
          <w:rFonts w:ascii="Times New Roman" w:hAnsi="Times New Roman" w:cs="Times New Roman"/>
          <w:sz w:val="18"/>
          <w:szCs w:val="18"/>
        </w:rPr>
        <w:t xml:space="preserve">(A) </w:t>
      </w:r>
      <w:r>
        <w:rPr>
          <w:rFonts w:hint="eastAsia" w:ascii="Times New Roman" w:hAnsi="Times New Roman" w:cs="Times New Roman"/>
          <w:sz w:val="18"/>
          <w:szCs w:val="18"/>
        </w:rPr>
        <w:t>consensus</w:t>
      </w:r>
      <w:r>
        <w:rPr>
          <w:rFonts w:ascii="Times New Roman" w:hAnsi="Times New Roman" w:cs="Times New Roman"/>
          <w:sz w:val="18"/>
          <w:szCs w:val="18"/>
        </w:rPr>
        <w:t xml:space="preserve"> </w:t>
      </w:r>
      <w:r>
        <w:rPr>
          <w:rFonts w:hint="eastAsia" w:ascii="Times New Roman" w:hAnsi="Times New Roman" w:cs="Times New Roman"/>
          <w:sz w:val="18"/>
          <w:szCs w:val="18"/>
        </w:rPr>
        <w:t>matrix</w:t>
      </w:r>
      <w:r>
        <w:rPr>
          <w:rFonts w:ascii="Times New Roman" w:hAnsi="Times New Roman" w:cs="Times New Roman"/>
          <w:sz w:val="18"/>
          <w:szCs w:val="18"/>
        </w:rPr>
        <w:t xml:space="preserve"> </w:t>
      </w:r>
      <w:r>
        <w:rPr>
          <w:rFonts w:hint="eastAsia" w:ascii="Times New Roman" w:hAnsi="Times New Roman" w:cs="Times New Roman"/>
          <w:sz w:val="18"/>
          <w:szCs w:val="18"/>
        </w:rPr>
        <w:t>legend</w:t>
      </w:r>
      <w:r>
        <w:rPr>
          <w:rFonts w:ascii="Times New Roman" w:hAnsi="Times New Roman" w:cs="Times New Roman"/>
          <w:sz w:val="18"/>
          <w:szCs w:val="18"/>
        </w:rPr>
        <w:t>. (B) k=3. (C) k=4. (D) k=5. (E) k=6. (F) k=7. (G) k=8. (H) k=9.</w:t>
      </w:r>
    </w:p>
    <w:p>
      <w:pPr>
        <w:spacing w:line="240" w:lineRule="atLeast"/>
        <w:jc w:val="center"/>
        <w:rPr>
          <w:rFonts w:ascii="Times New Roman" w:hAnsi="Times New Roman" w:cs="Times New Roman"/>
          <w:b/>
          <w:color w:val="000000" w:themeColor="text1"/>
          <w:sz w:val="24"/>
          <w:szCs w:val="24"/>
          <w14:textFill>
            <w14:solidFill>
              <w14:schemeClr w14:val="tx1"/>
            </w14:solidFill>
          </w14:textFill>
        </w:rPr>
      </w:pPr>
    </w:p>
    <w:p>
      <w:pPr>
        <w:spacing w:line="240" w:lineRule="atLeast"/>
        <w:rPr>
          <w:rFonts w:hint="eastAsia" w:ascii="Times New Roman" w:hAnsi="Times New Roman" w:cs="Times New Roman"/>
          <w:b/>
          <w:color w:val="000000" w:themeColor="text1"/>
          <w:sz w:val="24"/>
          <w:szCs w:val="24"/>
          <w14:textFill>
            <w14:solidFill>
              <w14:schemeClr w14:val="tx1"/>
            </w14:solidFill>
          </w14:textFill>
        </w:rPr>
      </w:pPr>
    </w:p>
    <w:p>
      <w:pPr>
        <w:spacing w:line="240" w:lineRule="atLeast"/>
        <w:jc w:val="center"/>
        <w:rPr>
          <w:rFonts w:ascii="Times New Roman" w:hAnsi="Times New Roman" w:cs="Times New Roman"/>
          <w:b/>
          <w:color w:val="000000" w:themeColor="text1"/>
          <w:sz w:val="24"/>
          <w:szCs w:val="24"/>
          <w14:textFill>
            <w14:solidFill>
              <w14:schemeClr w14:val="tx1"/>
            </w14:solidFill>
          </w14:textFill>
        </w:rPr>
      </w:pPr>
      <w:r>
        <w:rPr>
          <w:rFonts w:ascii="Times New Roman" w:hAnsi="Times New Roman" w:cs="Times New Roman"/>
          <w:b/>
          <w:color w:val="000000" w:themeColor="text1"/>
          <w:sz w:val="24"/>
          <w:szCs w:val="24"/>
          <w14:textFill>
            <w14:solidFill>
              <w14:schemeClr w14:val="tx1"/>
            </w14:solidFill>
          </w14:textFill>
        </w:rPr>
        <w:drawing>
          <wp:inline distT="0" distB="0" distL="0" distR="0">
            <wp:extent cx="3975100" cy="3759200"/>
            <wp:effectExtent l="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3975100" cy="3759200"/>
                    </a:xfrm>
                    <a:prstGeom prst="rect">
                      <a:avLst/>
                    </a:prstGeom>
                  </pic:spPr>
                </pic:pic>
              </a:graphicData>
            </a:graphic>
          </wp:inline>
        </w:drawing>
      </w:r>
    </w:p>
    <w:p>
      <w:pPr>
        <w:spacing w:line="240" w:lineRule="atLeast"/>
        <w:rPr>
          <w:rFonts w:ascii="Times New Roman" w:hAnsi="Times New Roman" w:cs="Times New Roman"/>
          <w:sz w:val="18"/>
          <w:szCs w:val="18"/>
        </w:rPr>
      </w:pPr>
      <w:bookmarkStart w:id="10" w:name="OLE_LINK466"/>
      <w:bookmarkStart w:id="11" w:name="OLE_LINK465"/>
      <w:bookmarkStart w:id="12" w:name="OLE_LINK303"/>
      <w:bookmarkStart w:id="13" w:name="OLE_LINK304"/>
      <w:bookmarkStart w:id="14" w:name="OLE_LINK85"/>
      <w:bookmarkStart w:id="15" w:name="OLE_LINK84"/>
      <w:r>
        <w:rPr>
          <w:rFonts w:ascii="Times New Roman" w:hAnsi="Times New Roman" w:cs="Times New Roman"/>
          <w:b/>
          <w:color w:val="000000" w:themeColor="text1"/>
          <w:sz w:val="18"/>
          <w:szCs w:val="18"/>
          <w14:textFill>
            <w14:solidFill>
              <w14:schemeClr w14:val="tx1"/>
            </w14:solidFill>
          </w14:textFill>
        </w:rPr>
        <w:t>Supplementary Fig</w:t>
      </w:r>
      <w:r>
        <w:rPr>
          <w:rFonts w:hint="eastAsia" w:ascii="Times New Roman" w:hAnsi="Times New Roman" w:cs="Times New Roman"/>
          <w:b/>
          <w:color w:val="000000" w:themeColor="text1"/>
          <w:sz w:val="18"/>
          <w:szCs w:val="18"/>
          <w14:textFill>
            <w14:solidFill>
              <w14:schemeClr w14:val="tx1"/>
            </w14:solidFill>
          </w14:textFill>
        </w:rPr>
        <w:t>ure</w:t>
      </w:r>
      <w:r>
        <w:rPr>
          <w:rFonts w:ascii="Times New Roman" w:hAnsi="Times New Roman" w:cs="Times New Roman"/>
          <w:b/>
          <w:color w:val="000000" w:themeColor="text1"/>
          <w:sz w:val="18"/>
          <w:szCs w:val="18"/>
          <w14:textFill>
            <w14:solidFill>
              <w14:schemeClr w14:val="tx1"/>
            </w14:solidFill>
          </w14:textFill>
        </w:rPr>
        <w:t xml:space="preserve"> 2</w:t>
      </w:r>
      <w:r>
        <w:rPr>
          <w:rFonts w:hint="eastAsia" w:ascii="Times New Roman" w:hAnsi="Times New Roman" w:cs="Times New Roman"/>
          <w:b/>
          <w:color w:val="000000" w:themeColor="text1"/>
          <w:sz w:val="18"/>
          <w:szCs w:val="18"/>
          <w14:textFill>
            <w14:solidFill>
              <w14:schemeClr w14:val="tx1"/>
            </w14:solidFill>
          </w14:textFill>
        </w:rPr>
        <w:t>.</w:t>
      </w:r>
      <w:bookmarkEnd w:id="10"/>
      <w:bookmarkEnd w:id="11"/>
      <w:r>
        <w:rPr>
          <w:rFonts w:ascii="Times New Roman" w:hAnsi="Times New Roman" w:cs="Times New Roman"/>
          <w:b/>
          <w:color w:val="000000" w:themeColor="text1"/>
          <w:sz w:val="18"/>
          <w:szCs w:val="18"/>
          <w14:textFill>
            <w14:solidFill>
              <w14:schemeClr w14:val="tx1"/>
            </w14:solidFill>
          </w14:textFill>
        </w:rPr>
        <w:t xml:space="preserve"> </w:t>
      </w:r>
      <w:bookmarkEnd w:id="12"/>
      <w:bookmarkEnd w:id="13"/>
      <w:bookmarkStart w:id="16" w:name="OLE_LINK79"/>
      <w:bookmarkStart w:id="17" w:name="OLE_LINK80"/>
      <w:bookmarkStart w:id="18" w:name="OLE_LINK81"/>
      <w:r>
        <w:rPr>
          <w:rFonts w:ascii="Times New Roman" w:hAnsi="Times New Roman" w:cs="Times New Roman"/>
          <w:b/>
          <w:sz w:val="18"/>
          <w:szCs w:val="18"/>
        </w:rPr>
        <w:t>The correction between prognostic genes and CTLA4, PD-L1, EGFR and VEGFR.</w:t>
      </w:r>
      <w:bookmarkEnd w:id="16"/>
      <w:bookmarkEnd w:id="17"/>
      <w:bookmarkEnd w:id="18"/>
      <w:r>
        <w:rPr>
          <w:rFonts w:ascii="Times New Roman" w:hAnsi="Times New Roman" w:cs="Times New Roman"/>
          <w:b/>
          <w:sz w:val="18"/>
          <w:szCs w:val="18"/>
        </w:rPr>
        <w:t xml:space="preserve"> </w:t>
      </w:r>
      <w:r>
        <w:rPr>
          <w:rFonts w:ascii="Times New Roman" w:hAnsi="Times New Roman" w:cs="Times New Roman"/>
          <w:sz w:val="18"/>
          <w:szCs w:val="18"/>
        </w:rPr>
        <w:t>(A) CTLA4. (B) PD-L1. (C) EGFR. (D) VEGFR.</w:t>
      </w:r>
    </w:p>
    <w:bookmarkEnd w:id="14"/>
    <w:bookmarkEnd w:id="15"/>
    <w:p>
      <w:pPr>
        <w:jc w:val="left"/>
        <w:rPr>
          <w:rFonts w:hint="eastAsia" w:ascii="Times New Roman" w:hAnsi="Times New Roman" w:cs="Times New Roman"/>
          <w:szCs w:val="21"/>
        </w:rPr>
      </w:pPr>
      <w:r>
        <w:drawing>
          <wp:inline distT="0" distB="0" distL="0" distR="0">
            <wp:extent cx="5274310" cy="690054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5274310" cy="6900545"/>
                    </a:xfrm>
                    <a:prstGeom prst="rect">
                      <a:avLst/>
                    </a:prstGeom>
                    <a:noFill/>
                    <a:ln>
                      <a:noFill/>
                    </a:ln>
                  </pic:spPr>
                </pic:pic>
              </a:graphicData>
            </a:graphic>
          </wp:inline>
        </w:drawing>
      </w:r>
    </w:p>
    <w:p>
      <w:pPr>
        <w:jc w:val="left"/>
        <w:rPr>
          <w:rFonts w:ascii="Times New Roman" w:hAnsi="Times New Roman" w:cs="Times New Roman"/>
          <w:szCs w:val="21"/>
        </w:rPr>
      </w:pPr>
      <w:bookmarkStart w:id="19" w:name="OLE_LINK477"/>
      <w:bookmarkStart w:id="20" w:name="OLE_LINK478"/>
      <w:bookmarkStart w:id="21" w:name="OLE_LINK181"/>
      <w:bookmarkStart w:id="22" w:name="OLE_LINK182"/>
      <w:bookmarkStart w:id="23" w:name="OLE_LINK157"/>
      <w:bookmarkStart w:id="24" w:name="OLE_LINK158"/>
      <w:r>
        <w:rPr>
          <w:rFonts w:ascii="Times New Roman" w:hAnsi="Times New Roman" w:cs="Times New Roman"/>
          <w:b/>
          <w:color w:val="000000" w:themeColor="text1"/>
          <w:sz w:val="18"/>
          <w:szCs w:val="18"/>
          <w14:textFill>
            <w14:solidFill>
              <w14:schemeClr w14:val="tx1"/>
            </w14:solidFill>
          </w14:textFill>
        </w:rPr>
        <w:t>Supplementary Figure 3</w:t>
      </w:r>
      <w:bookmarkEnd w:id="19"/>
      <w:bookmarkEnd w:id="20"/>
      <w:r>
        <w:rPr>
          <w:rFonts w:ascii="Times New Roman" w:hAnsi="Times New Roman" w:cs="Times New Roman"/>
          <w:b/>
          <w:color w:val="000000" w:themeColor="text1"/>
          <w:sz w:val="18"/>
          <w:szCs w:val="18"/>
          <w14:textFill>
            <w14:solidFill>
              <w14:schemeClr w14:val="tx1"/>
            </w14:solidFill>
          </w14:textFill>
        </w:rPr>
        <w:t>. Construction and validation of a nomogram</w:t>
      </w:r>
      <w:bookmarkEnd w:id="21"/>
      <w:bookmarkEnd w:id="22"/>
      <w:r>
        <w:rPr>
          <w:rFonts w:ascii="Times New Roman" w:hAnsi="Times New Roman" w:cs="Times New Roman"/>
          <w:b/>
          <w:color w:val="000000" w:themeColor="text1"/>
          <w:sz w:val="18"/>
          <w:szCs w:val="18"/>
          <w14:textFill>
            <w14:solidFill>
              <w14:schemeClr w14:val="tx1"/>
            </w14:solidFill>
          </w14:textFill>
        </w:rPr>
        <w:t xml:space="preserve">. </w:t>
      </w:r>
      <w:r>
        <w:rPr>
          <w:rFonts w:ascii="Times New Roman" w:hAnsi="Times New Roman" w:cs="Times New Roman"/>
          <w:bCs/>
          <w:color w:val="000000" w:themeColor="text1"/>
          <w:sz w:val="18"/>
          <w:szCs w:val="18"/>
          <w14:textFill>
            <w14:solidFill>
              <w14:schemeClr w14:val="tx1"/>
            </w14:solidFill>
          </w14:textFill>
        </w:rPr>
        <w:t>(</w:t>
      </w:r>
      <w:bookmarkEnd w:id="23"/>
      <w:bookmarkEnd w:id="24"/>
      <w:r>
        <w:rPr>
          <w:rFonts w:ascii="Times New Roman" w:hAnsi="Times New Roman" w:cs="Times New Roman"/>
          <w:bCs/>
          <w:color w:val="000000" w:themeColor="text1"/>
          <w:sz w:val="18"/>
          <w:szCs w:val="18"/>
          <w14:textFill>
            <w14:solidFill>
              <w14:schemeClr w14:val="tx1"/>
            </w14:solidFill>
          </w14:textFill>
        </w:rPr>
        <w:t>A) Nomogram for predicting the 1-, 3-, and 5--year OS of ccRCC patients in the training set. (B) ROC curves demonstrated the predictive efficiency of the risk score in training set. (C) ROC curves demonstrated the predictive efficiency of the risk score in test set. (D) Calibration curves of the nomogram for predicting of 1-, 3-, and 5-year OS in the test set.</w:t>
      </w:r>
      <w:r>
        <w:rPr>
          <w:rFonts w:ascii="Times New Roman" w:hAnsi="Times New Roman" w:cs="Times New Roman"/>
          <w:bCs/>
          <w:color w:val="000000" w:themeColor="text1"/>
          <w:sz w:val="18"/>
          <w:szCs w:val="18"/>
          <w14:textFill>
            <w14:solidFill>
              <w14:schemeClr w14:val="tx1"/>
            </w14:solidFill>
          </w14:textFill>
        </w:rPr>
        <w:cr/>
      </w:r>
      <w:r>
        <w:drawing>
          <wp:inline distT="0" distB="0" distL="0" distR="0">
            <wp:extent cx="5274310" cy="5586095"/>
            <wp:effectExtent l="0" t="0" r="2540" b="0"/>
            <wp:docPr id="5" name="图片 5"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示&#10;&#10;描述已自动生成"/>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74310" cy="5586095"/>
                    </a:xfrm>
                    <a:prstGeom prst="rect">
                      <a:avLst/>
                    </a:prstGeom>
                    <a:noFill/>
                    <a:ln>
                      <a:noFill/>
                    </a:ln>
                  </pic:spPr>
                </pic:pic>
              </a:graphicData>
            </a:graphic>
          </wp:inline>
        </w:drawing>
      </w:r>
    </w:p>
    <w:p>
      <w:pPr>
        <w:jc w:val="left"/>
        <w:rPr>
          <w:rFonts w:ascii="Times New Roman" w:hAnsi="Times New Roman" w:cs="Times New Roman"/>
          <w:szCs w:val="21"/>
        </w:rPr>
      </w:pPr>
    </w:p>
    <w:p>
      <w:pPr>
        <w:jc w:val="left"/>
        <w:rPr>
          <w:rFonts w:ascii="Times New Roman" w:hAnsi="Times New Roman" w:cs="Times New Roman"/>
          <w:bCs/>
          <w:color w:val="000000" w:themeColor="text1"/>
          <w:sz w:val="18"/>
          <w:szCs w:val="18"/>
          <w14:textFill>
            <w14:solidFill>
              <w14:schemeClr w14:val="tx1"/>
            </w14:solidFill>
          </w14:textFill>
        </w:rPr>
      </w:pPr>
      <w:bookmarkStart w:id="25" w:name="OLE_LINK175"/>
      <w:bookmarkStart w:id="26" w:name="OLE_LINK176"/>
      <w:r>
        <w:rPr>
          <w:rFonts w:ascii="Times New Roman" w:hAnsi="Times New Roman" w:cs="Times New Roman"/>
          <w:b/>
          <w:color w:val="000000" w:themeColor="text1"/>
          <w:sz w:val="18"/>
          <w:szCs w:val="18"/>
          <w14:textFill>
            <w14:solidFill>
              <w14:schemeClr w14:val="tx1"/>
            </w14:solidFill>
          </w14:textFill>
        </w:rPr>
        <w:t>Supplementary Figure 4. The ssGSEA analysis results and the risk score correlated with immune cell infiltration.</w:t>
      </w:r>
      <w:r>
        <w:rPr>
          <w:rFonts w:ascii="Times New Roman" w:hAnsi="Times New Roman" w:cs="Times New Roman"/>
          <w:bCs/>
          <w:color w:val="000000" w:themeColor="text1"/>
          <w:sz w:val="18"/>
          <w:szCs w:val="18"/>
          <w14:textFill>
            <w14:solidFill>
              <w14:schemeClr w14:val="tx1"/>
            </w14:solidFill>
          </w14:textFill>
        </w:rPr>
        <w:t xml:space="preserve"> </w:t>
      </w:r>
      <w:bookmarkEnd w:id="25"/>
      <w:bookmarkEnd w:id="26"/>
      <w:r>
        <w:rPr>
          <w:rFonts w:ascii="Times New Roman" w:hAnsi="Times New Roman" w:cs="Times New Roman"/>
          <w:bCs/>
          <w:color w:val="000000" w:themeColor="text1"/>
          <w:sz w:val="18"/>
          <w:szCs w:val="18"/>
          <w14:textFill>
            <w14:solidFill>
              <w14:schemeClr w14:val="tx1"/>
            </w14:solidFill>
          </w14:textFill>
        </w:rPr>
        <w:t>(A) The difference of infiltrating score for immune cells in TCGA cohort. (B) The difference of infiltrating score for immune related pathways’ activity in TCGA cohort. (C-H) Correlations between Risk score and immune cell types.</w:t>
      </w:r>
      <w:r>
        <w:rPr>
          <w:rFonts w:ascii="Times New Roman" w:hAnsi="Times New Roman" w:cs="Times New Roman"/>
          <w:bCs/>
          <w:color w:val="000000" w:themeColor="text1"/>
          <w:sz w:val="18"/>
          <w:szCs w:val="18"/>
          <w14:textFill>
            <w14:solidFill>
              <w14:schemeClr w14:val="tx1"/>
            </w14:solidFill>
          </w14:textFill>
        </w:rPr>
        <w:cr/>
      </w:r>
    </w:p>
    <w:p>
      <w:pPr>
        <w:rPr>
          <w:rFonts w:ascii="Times New Roman" w:hAnsi="Times New Roman" w:cs="Times New Roman"/>
          <w:b/>
          <w:color w:val="000000" w:themeColor="text1"/>
          <w:sz w:val="18"/>
          <w:szCs w:val="18"/>
          <w14:textFill>
            <w14:solidFill>
              <w14:schemeClr w14:val="tx1"/>
            </w14:solidFill>
          </w14:textFill>
        </w:rPr>
      </w:pPr>
    </w:p>
    <w:p>
      <w:pPr>
        <w:spacing w:line="240" w:lineRule="atLeast"/>
        <w:rPr>
          <w:rFonts w:ascii="Times New Roman" w:hAnsi="Times New Roman" w:cs="Times New Roman"/>
          <w:color w:val="000000" w:themeColor="text1"/>
          <w:sz w:val="18"/>
          <w:szCs w:val="18"/>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KSO_WPS_MARK_KEY" w:val="dd77b010-11ec-4430-bb11-95491a71c4e0"/>
  </w:docVars>
  <w:rsids>
    <w:rsidRoot w:val="00D11AC2"/>
    <w:rsid w:val="00141840"/>
    <w:rsid w:val="00226E0C"/>
    <w:rsid w:val="002804CC"/>
    <w:rsid w:val="003C451D"/>
    <w:rsid w:val="00443254"/>
    <w:rsid w:val="00485C63"/>
    <w:rsid w:val="004D3B13"/>
    <w:rsid w:val="004F150F"/>
    <w:rsid w:val="004F2367"/>
    <w:rsid w:val="0052730E"/>
    <w:rsid w:val="00613E82"/>
    <w:rsid w:val="00796554"/>
    <w:rsid w:val="00892BEA"/>
    <w:rsid w:val="00967E2E"/>
    <w:rsid w:val="009B1976"/>
    <w:rsid w:val="00A22FE4"/>
    <w:rsid w:val="00A53B07"/>
    <w:rsid w:val="00C222F7"/>
    <w:rsid w:val="00C54D34"/>
    <w:rsid w:val="00D11AC2"/>
    <w:rsid w:val="00D11D1C"/>
    <w:rsid w:val="00D5489D"/>
    <w:rsid w:val="00D76309"/>
    <w:rsid w:val="00D9733B"/>
    <w:rsid w:val="00DC07E2"/>
    <w:rsid w:val="00E70F7C"/>
    <w:rsid w:val="00F01757"/>
    <w:rsid w:val="45FB7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0"/>
    <w:unhideWhenUsed/>
    <w:uiPriority w:val="99"/>
    <w:rPr>
      <w:sz w:val="20"/>
      <w:szCs w:val="20"/>
    </w:rPr>
  </w:style>
  <w:style w:type="paragraph" w:styleId="3">
    <w:name w:val="Balloon Text"/>
    <w:basedOn w:val="1"/>
    <w:link w:val="9"/>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character" w:styleId="8">
    <w:name w:val="Hyperlink"/>
    <w:basedOn w:val="7"/>
    <w:unhideWhenUsed/>
    <w:qFormat/>
    <w:uiPriority w:val="0"/>
    <w:rPr>
      <w:color w:val="0000FF"/>
      <w:u w:val="single"/>
    </w:rPr>
  </w:style>
  <w:style w:type="character" w:customStyle="1" w:styleId="9">
    <w:name w:val="批注框文本 字符"/>
    <w:basedOn w:val="7"/>
    <w:link w:val="3"/>
    <w:semiHidden/>
    <w:qFormat/>
    <w:uiPriority w:val="99"/>
    <w:rPr>
      <w:sz w:val="18"/>
      <w:szCs w:val="18"/>
    </w:rPr>
  </w:style>
  <w:style w:type="character" w:customStyle="1" w:styleId="10">
    <w:name w:val="批注文字 字符"/>
    <w:basedOn w:val="7"/>
    <w:link w:val="2"/>
    <w:qFormat/>
    <w:uiPriority w:val="99"/>
    <w:rPr>
      <w:sz w:val="20"/>
      <w:szCs w:val="20"/>
    </w:rPr>
  </w:style>
  <w:style w:type="character" w:customStyle="1" w:styleId="11">
    <w:name w:val="页眉 字符"/>
    <w:basedOn w:val="7"/>
    <w:link w:val="5"/>
    <w:qFormat/>
    <w:uiPriority w:val="99"/>
    <w:rPr>
      <w:sz w:val="18"/>
      <w:szCs w:val="18"/>
    </w:rPr>
  </w:style>
  <w:style w:type="character" w:customStyle="1" w:styleId="12">
    <w:name w:val="页脚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4.tiff"/><Relationship Id="rId6" Type="http://schemas.openxmlformats.org/officeDocument/2006/relationships/image" Target="media/image3.tiff"/><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3</Pages>
  <Words>185</Words>
  <Characters>1061</Characters>
  <Lines>8</Lines>
  <Paragraphs>2</Paragraphs>
  <TotalTime>0</TotalTime>
  <ScaleCrop>false</ScaleCrop>
  <LinksUpToDate>false</LinksUpToDate>
  <CharactersWithSpaces>1244</CharactersWithSpaces>
  <Application>WPS Office_11.1.0.12970_F1E327BC-269C-435d-A152-05C5408002CA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2022-10-25T02:45:00Z</dcterms:created>
  <dc:creator>hp</dc:creator>
  <cp:lastModifiedBy>WXY</cp:lastModifiedBy>
  <dcterms:modified xsi:type="dcterms:W3CDTF">2023-03-14T11:24:06Z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2052-11.1.0.12970</vt:lpwstr>
  </property>
  <property fmtid="{D5CDD505-2E9C-101B-9397-08002B2CF9AE}" pid="3" name="ICV">
    <vt:lpwstr>2323233CEB7C418B8038FE2C25356343</vt:lpwstr>
  </property>
</Properties>
</file>