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>
          <w:sz w:val="40"/>
          <w:szCs w:val="40"/>
        </w:rPr>
      </w:pPr>
      <w:bookmarkStart w:colFirst="0" w:colLast="0" w:name="_skcy4wbpob4g" w:id="0"/>
      <w:bookmarkEnd w:id="0"/>
      <w:r w:rsidDel="00000000" w:rsidR="00000000" w:rsidRPr="00000000">
        <w:rPr>
          <w:sz w:val="40"/>
          <w:szCs w:val="40"/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y6vibuo3wo6" w:id="1"/>
      <w:bookmarkEnd w:id="1"/>
      <w:r w:rsidDel="00000000" w:rsidR="00000000" w:rsidRPr="00000000">
        <w:rPr>
          <w:rtl w:val="0"/>
        </w:rPr>
        <w:t xml:space="preserve">Supplementary Results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spacing w:line="240" w:lineRule="auto"/>
        <w:rPr/>
      </w:pPr>
      <w:bookmarkStart w:colFirst="0" w:colLast="0" w:name="_xgbnyj3au37f" w:id="2"/>
      <w:bookmarkEnd w:id="2"/>
      <w:r w:rsidDel="00000000" w:rsidR="00000000" w:rsidRPr="00000000">
        <w:rPr>
          <w:rtl w:val="0"/>
        </w:rPr>
        <w:t xml:space="preserve">Influence of wean method and speed on hospital length of stay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1. </w:t>
      </w:r>
      <w:r w:rsidDel="00000000" w:rsidR="00000000" w:rsidRPr="00000000">
        <w:rPr>
          <w:sz w:val="20"/>
          <w:szCs w:val="20"/>
          <w:rtl w:val="0"/>
        </w:rPr>
        <w:t xml:space="preserve">Differences in hospital length of stay by wean method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38.999999999998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5100"/>
        <w:gridCol w:w="1478.9999999999986"/>
        <w:tblGridChange w:id="0">
          <w:tblGrid>
            <w:gridCol w:w="1860"/>
            <w:gridCol w:w="5100"/>
            <w:gridCol w:w="1478.99999999999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Wean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Median hospital length of stay in days (IQR)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(24 - 41.5)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KW, statistic = 0.14, p = 0.93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Removed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(23.5 - 44.5)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 (19 - 47)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Variables suspected of influencing hospital length of stay included: age, sex, wean method, time to clamp, diagnosis, whether the patient had a CNS infection and suffered an episode of radiological vasopasm. These were used to identify the best subset (Supplementary Table 2).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2. </w:t>
      </w:r>
      <w:r w:rsidDel="00000000" w:rsidR="00000000" w:rsidRPr="00000000">
        <w:rPr>
          <w:sz w:val="20"/>
          <w:szCs w:val="20"/>
          <w:rtl w:val="0"/>
        </w:rPr>
        <w:t xml:space="preserve">Best subset multiple linear regression model based on Akaike and Bayesian Information Criterion showing adjusted effect of time to first clamp on length of stay. (CI = confidence interval)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440.585845347312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36.5858453473134"/>
        <w:gridCol w:w="2010"/>
        <w:gridCol w:w="915"/>
        <w:gridCol w:w="1478.9999999999986"/>
        <w:tblGridChange w:id="0">
          <w:tblGrid>
            <w:gridCol w:w="3036.5858453473134"/>
            <w:gridCol w:w="2010"/>
            <w:gridCol w:w="915"/>
            <w:gridCol w:w="1478.99999999999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Coefficient (CI)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12.27 (1.16 - 23.38)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Days to first clamp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1.25 (0.33 - 2.16)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0.008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mechanical failure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6.04 (-2.55 - 14.63)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0.17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Stroke diagnosis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16.63 (4.97 - 28.29)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vasospasm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6.70 (-3.10 - 16.49)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0.18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 parameters: Adj. 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= 0.195, AIC = 564, BIC = 575</w:t>
            </w:r>
          </w:p>
        </w:tc>
      </w:tr>
    </w:tbl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spacing w:line="240" w:lineRule="auto"/>
        <w:rPr/>
      </w:pPr>
      <w:bookmarkStart w:colFirst="0" w:colLast="0" w:name="_qgld0wez0sl" w:id="3"/>
      <w:bookmarkEnd w:id="3"/>
      <w:r w:rsidDel="00000000" w:rsidR="00000000" w:rsidRPr="00000000">
        <w:rPr>
          <w:rtl w:val="0"/>
        </w:rPr>
        <w:t xml:space="preserve">Influence of weaning on shunt frequency and timing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3. </w:t>
      </w:r>
      <w:r w:rsidDel="00000000" w:rsidR="00000000" w:rsidRPr="00000000">
        <w:rPr>
          <w:sz w:val="20"/>
          <w:szCs w:val="20"/>
          <w:rtl w:val="0"/>
        </w:rPr>
        <w:t xml:space="preserve">Association between wean method, shunt frequency and timing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32.71952817824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1080"/>
        <w:gridCol w:w="1410"/>
        <w:gridCol w:w="1410"/>
        <w:gridCol w:w="1920"/>
        <w:gridCol w:w="2412.7195281782447"/>
        <w:tblGridChange w:id="0">
          <w:tblGrid>
            <w:gridCol w:w="1800"/>
            <w:gridCol w:w="1080"/>
            <w:gridCol w:w="1410"/>
            <w:gridCol w:w="1410"/>
            <w:gridCol w:w="1920"/>
            <w:gridCol w:w="2412.719528178244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Wean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Shunted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Non-shunted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Median time to shunt in days (IQR)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statistic = 2.09, p = 0.35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23.5 (19.3 - 25.5)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KW, statistic = 7.96, p = 0.02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Dunn: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 vs. removed,, p = 0.01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Rapid vs. removed, p = 0.08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 vs. rapid, p = 0.13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Removed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10.0 (8.0 - 11.0)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17.0 (12.0 - 24.0) 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Variables suspected of influencing time to shunt included: age, sex, wean method, time to clamp, diagnosis, drainage collecting system and drain type. These were used to identify the best subset (S. Table 4).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4. </w:t>
      </w:r>
      <w:r w:rsidDel="00000000" w:rsidR="00000000" w:rsidRPr="00000000">
        <w:rPr>
          <w:sz w:val="20"/>
          <w:szCs w:val="20"/>
          <w:rtl w:val="0"/>
        </w:rPr>
        <w:t xml:space="preserve">Best subset multiple linear regression model showing factors associated with time to shunt based on Akaike and Bayesian Information Criterion. (CI = confidence interval)</w:t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59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2625"/>
        <w:gridCol w:w="975"/>
        <w:gridCol w:w="0"/>
        <w:tblGridChange w:id="0">
          <w:tblGrid>
            <w:gridCol w:w="1995"/>
            <w:gridCol w:w="2625"/>
            <w:gridCol w:w="975"/>
            <w:gridCol w:w="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Coefficient (CI)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-12.65 (-37.5 – 12.22)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0.213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0.33 (0.02 – 0.64)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to clamp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1.03 (0.17 – 1.88)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7.74 (-1.38 –16.9)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0.09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Wean method: removal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-12.40 (-22.87 –  -0.73)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 parameters: Adj. 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= 0.23, AIC = 247, BIC = 254</w:t>
            </w:r>
          </w:p>
        </w:tc>
      </w:tr>
    </w:tbl>
    <w:p w:rsidR="00000000" w:rsidDel="00000000" w:rsidP="00000000" w:rsidRDefault="00000000" w:rsidRPr="00000000" w14:paraId="0000006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Figure 1. </w:t>
      </w:r>
      <w:r w:rsidDel="00000000" w:rsidR="00000000" w:rsidRPr="00000000">
        <w:rPr>
          <w:sz w:val="20"/>
          <w:szCs w:val="20"/>
          <w:rtl w:val="0"/>
        </w:rPr>
        <w:t xml:space="preserve">Kaplan-Meier cumulative incidence curves showing probability of shunt treatment by different wean methods for the first month of admission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i w:val="1"/>
        </w:rPr>
      </w:pPr>
      <w:r w:rsidDel="00000000" w:rsidR="00000000" w:rsidRPr="00000000">
        <w:rPr>
          <w:i w:val="1"/>
        </w:rPr>
        <w:drawing>
          <wp:inline distB="114300" distT="114300" distL="114300" distR="114300">
            <wp:extent cx="5624513" cy="318292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4513" cy="31829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3"/>
        <w:spacing w:line="240" w:lineRule="auto"/>
        <w:rPr/>
      </w:pPr>
      <w:bookmarkStart w:colFirst="0" w:colLast="0" w:name="_vjuwhtlizko8" w:id="4"/>
      <w:bookmarkEnd w:id="4"/>
      <w:r w:rsidDel="00000000" w:rsidR="00000000" w:rsidRPr="00000000">
        <w:rPr>
          <w:rtl w:val="0"/>
        </w:rPr>
        <w:t xml:space="preserve">Influence of weaning on risk of CNS infection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5. </w:t>
      </w:r>
      <w:r w:rsidDel="00000000" w:rsidR="00000000" w:rsidRPr="00000000">
        <w:rPr>
          <w:sz w:val="20"/>
          <w:szCs w:val="20"/>
          <w:rtl w:val="0"/>
        </w:rPr>
        <w:t xml:space="preserve">Association between wean method and occurrence of CNS infection. FE = Fisher-Exact with Freeman-Hamilton extension. Only significant or trending post-hoc p-values are reported.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2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1185"/>
        <w:gridCol w:w="1095"/>
        <w:gridCol w:w="990"/>
        <w:gridCol w:w="1575"/>
        <w:gridCol w:w="2700"/>
        <w:tblGridChange w:id="0">
          <w:tblGrid>
            <w:gridCol w:w="1380"/>
            <w:gridCol w:w="1185"/>
            <w:gridCol w:w="1095"/>
            <w:gridCol w:w="990"/>
            <w:gridCol w:w="1575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Wean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CNS infection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 CNS infection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Median time to CNS infection in days (IQR)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FE, p = 0.23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 (10 - 13)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KW, statistic = 11.15, p = 0.003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Dunn: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 vs. rapid,, p = 0.008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 vs. removed, p = 0.03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Removed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(2 - 2)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1.34765624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5.5 (4 - 7)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Variables suspected of influencing occurrence of CNS infection included: age, sex, wean method, time to clamp, diagnosis, and presence of another infection. These were used to identify the best subset (S. Table 6).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6. </w:t>
      </w:r>
      <w:r w:rsidDel="00000000" w:rsidR="00000000" w:rsidRPr="00000000">
        <w:rPr>
          <w:sz w:val="20"/>
          <w:szCs w:val="20"/>
          <w:rtl w:val="0"/>
        </w:rPr>
        <w:t xml:space="preserve">Best subset multiple linear regression model showing factors associated with time to CNS infection based on Akaike and Bayesian Information Criterion. (CI = confidence interval)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1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2265"/>
        <w:gridCol w:w="1050"/>
        <w:gridCol w:w="0"/>
        <w:tblGridChange w:id="0">
          <w:tblGrid>
            <w:gridCol w:w="2850"/>
            <w:gridCol w:w="2265"/>
            <w:gridCol w:w="1050"/>
            <w:gridCol w:w="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Coefficient (CI)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6.00 (-0.16 - 12.17)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Stroke diagnosis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2.94 (0.16 - 5.72)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Meningitis diagnosis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-1.86 (-6.76 - 3.04)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Tumour diagnosis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0.73 (-2.54 - 4.00)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Wean method: rapid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-6.31 (-9.07 - -3.54)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Wean method: removal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-12.56 (-18.02 - -7.12)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Days to clamp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 (-0.19 - 0.23)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0.87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0.09 (-0.01 - 0.19)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0.09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 parameters: Adj. 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= 0.70, AIC = 93, BIC = 100</w:t>
            </w:r>
          </w:p>
        </w:tc>
      </w:tr>
    </w:tbl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3"/>
        <w:spacing w:line="240" w:lineRule="auto"/>
        <w:rPr/>
      </w:pPr>
      <w:bookmarkStart w:colFirst="0" w:colLast="0" w:name="_ymybiawvqrtn" w:id="5"/>
      <w:bookmarkEnd w:id="5"/>
      <w:r w:rsidDel="00000000" w:rsidR="00000000" w:rsidRPr="00000000">
        <w:rPr>
          <w:rtl w:val="0"/>
        </w:rPr>
        <w:t xml:space="preserve">Influence of weaning on mechanical complications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7. </w:t>
      </w:r>
      <w:r w:rsidDel="00000000" w:rsidR="00000000" w:rsidRPr="00000000">
        <w:rPr>
          <w:sz w:val="20"/>
          <w:szCs w:val="20"/>
          <w:rtl w:val="0"/>
        </w:rPr>
        <w:t xml:space="preserve">Association between wean method and occurrence of mechanical complications. Only significant or trending post-hoc p-values are reported. *Excluded from analysis (KW = Kruskal Wallis, MWU = Mann-Whitney 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1485"/>
        <w:gridCol w:w="1575"/>
        <w:gridCol w:w="1230"/>
        <w:gridCol w:w="1485"/>
        <w:gridCol w:w="1050"/>
        <w:gridCol w:w="1590"/>
        <w:gridCol w:w="1080"/>
        <w:tblGridChange w:id="0">
          <w:tblGrid>
            <w:gridCol w:w="1185"/>
            <w:gridCol w:w="1485"/>
            <w:gridCol w:w="1575"/>
            <w:gridCol w:w="1230"/>
            <w:gridCol w:w="1485"/>
            <w:gridCol w:w="1050"/>
            <w:gridCol w:w="1590"/>
            <w:gridCol w:w="1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Wean method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Mechanical complication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 mechanical complication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Median episodes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Median time to first mechanical failure (IQR)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Statistic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statistic = 1.84, p = 0.17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(0 - 2)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MWU, statistic = 427, p = 0.04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(0 - 4.3)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MWU, statistic = 37.5, p = 0.57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*Removed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(0 - 2.5)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(0.3 - 3.8)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1.34765624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(0 - 0.5)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(0 - 4)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Variables suspected of influencing occurrence of mechanical complication included: age, sex, wean method, time to clamp, diagnosis, and presence of another infection. These were used to identify the best subset (Supplementary Table 8). 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Table 8. </w:t>
      </w:r>
      <w:r w:rsidDel="00000000" w:rsidR="00000000" w:rsidRPr="00000000">
        <w:rPr>
          <w:sz w:val="20"/>
          <w:szCs w:val="20"/>
          <w:rtl w:val="0"/>
        </w:rPr>
        <w:t xml:space="preserve">Best subset multiple linear regression model showing factors associated with episodes of mechanical failure on Akaike and Bayesian Information Criterion. (CI = confidence interval)</w:t>
      </w:r>
    </w:p>
    <w:p w:rsidR="00000000" w:rsidDel="00000000" w:rsidP="00000000" w:rsidRDefault="00000000" w:rsidRPr="00000000" w14:paraId="000000EB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69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2460"/>
        <w:gridCol w:w="1275"/>
        <w:gridCol w:w="0"/>
        <w:tblGridChange w:id="0">
          <w:tblGrid>
            <w:gridCol w:w="3225"/>
            <w:gridCol w:w="2460"/>
            <w:gridCol w:w="1275"/>
            <w:gridCol w:w="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Coefficient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Intercept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0.56 (0.11 – 1.00)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Collecting system: LiquoGuard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0.33 (-0.18 – 0.83)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Collecting system: mixed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1.88 (0.99 – 2.77)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Drain type: lumbar drain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0.16 (-0.55 – 0.87)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0.66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Drain type: tunnelled EVD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1.04 (0.49 – 1.59)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Wean method: rapid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-0.54 (-1.04 – -0.05)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Wean method: removed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0.30 (-0.36 – 0.95)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0.37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 parameters: Adj. R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= 0.40, AIC = 180, BIC = 196</w:t>
            </w:r>
          </w:p>
        </w:tc>
      </w:tr>
    </w:tbl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Roboto" w:cs="Roboto" w:eastAsia="Roboto" w:hAnsi="Robo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sz w:val="22"/>
        <w:szCs w:val="22"/>
        <w:lang w:val="en-GB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