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15914A" w14:textId="77777777" w:rsidR="00E175A0" w:rsidRDefault="00E175A0" w:rsidP="00E175A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131156500"/>
      <w:r w:rsidRPr="00B960A2">
        <w:rPr>
          <w:rFonts w:ascii="Times New Roman" w:hAnsi="Times New Roman" w:cs="Times New Roman"/>
          <w:b/>
          <w:sz w:val="24"/>
          <w:szCs w:val="24"/>
        </w:rPr>
        <w:t>Sclerostin antibody improves alveolar bone quality</w:t>
      </w:r>
      <w:r>
        <w:rPr>
          <w:rFonts w:ascii="Times New Roman" w:hAnsi="Times New Roman" w:cs="Times New Roman"/>
          <w:b/>
          <w:sz w:val="24"/>
          <w:szCs w:val="24"/>
        </w:rPr>
        <w:t xml:space="preserve"> in the</w:t>
      </w:r>
      <w:r w:rsidRPr="00B960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960A2">
        <w:rPr>
          <w:rFonts w:ascii="Times New Roman" w:hAnsi="Times New Roman" w:cs="Times New Roman"/>
          <w:b/>
          <w:i/>
          <w:sz w:val="24"/>
          <w:szCs w:val="24"/>
        </w:rPr>
        <w:t xml:space="preserve">Hyp </w:t>
      </w:r>
      <w:r>
        <w:rPr>
          <w:rFonts w:ascii="Times New Roman" w:hAnsi="Times New Roman" w:cs="Times New Roman"/>
          <w:b/>
          <w:sz w:val="24"/>
          <w:szCs w:val="24"/>
        </w:rPr>
        <w:t>mouse model of X-Linked Hypophosphatemia (XLH)</w:t>
      </w:r>
    </w:p>
    <w:bookmarkEnd w:id="0"/>
    <w:p w14:paraId="3B8C9668" w14:textId="77777777" w:rsidR="003052AD" w:rsidRPr="00611C6F" w:rsidRDefault="003052AD" w:rsidP="003052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72F664" w14:textId="77777777" w:rsidR="003052AD" w:rsidRPr="00611C6F" w:rsidRDefault="003052AD" w:rsidP="003052AD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611C6F">
        <w:rPr>
          <w:rFonts w:ascii="Times New Roman" w:hAnsi="Times New Roman" w:cs="Times New Roman"/>
          <w:sz w:val="24"/>
          <w:szCs w:val="24"/>
        </w:rPr>
        <w:t>Kelsey A. Carpenter</w:t>
      </w:r>
      <w:r w:rsidRPr="00611C6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11C6F">
        <w:rPr>
          <w:rFonts w:ascii="Times New Roman" w:hAnsi="Times New Roman" w:cs="Times New Roman"/>
          <w:sz w:val="24"/>
          <w:szCs w:val="24"/>
        </w:rPr>
        <w:t>, Delia O. Alkhatib</w:t>
      </w:r>
      <w:r w:rsidRPr="00611C6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11C6F">
        <w:rPr>
          <w:rFonts w:ascii="Times New Roman" w:hAnsi="Times New Roman" w:cs="Times New Roman"/>
          <w:sz w:val="24"/>
          <w:szCs w:val="24"/>
        </w:rPr>
        <w:t>, Bryan A. Dulion</w:t>
      </w:r>
      <w:r w:rsidRPr="00611C6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11C6F">
        <w:rPr>
          <w:rFonts w:ascii="Times New Roman" w:hAnsi="Times New Roman" w:cs="Times New Roman"/>
          <w:sz w:val="24"/>
          <w:szCs w:val="24"/>
        </w:rPr>
        <w:t>,</w:t>
      </w:r>
      <w:r w:rsidRPr="00611C6F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611C6F">
        <w:rPr>
          <w:rFonts w:ascii="Times New Roman" w:hAnsi="Times New Roman" w:cs="Times New Roman"/>
          <w:sz w:val="24"/>
          <w:szCs w:val="24"/>
        </w:rPr>
        <w:t>Elizabeth Guirado</w:t>
      </w:r>
      <w:r w:rsidRPr="00611C6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11C6F">
        <w:rPr>
          <w:rFonts w:ascii="Times New Roman" w:hAnsi="Times New Roman" w:cs="Times New Roman"/>
          <w:sz w:val="24"/>
          <w:szCs w:val="24"/>
        </w:rPr>
        <w:t>, Shreya Patel</w:t>
      </w:r>
      <w:r w:rsidRPr="00611C6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11C6F">
        <w:rPr>
          <w:rFonts w:ascii="Times New Roman" w:hAnsi="Times New Roman" w:cs="Times New Roman"/>
          <w:sz w:val="24"/>
          <w:szCs w:val="24"/>
        </w:rPr>
        <w:t>, Yinghua Chen</w:t>
      </w:r>
      <w:r w:rsidRPr="00611C6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11C6F">
        <w:rPr>
          <w:rFonts w:ascii="Times New Roman" w:hAnsi="Times New Roman" w:cs="Times New Roman"/>
          <w:sz w:val="24"/>
          <w:szCs w:val="24"/>
        </w:rPr>
        <w:t>, Anne George</w:t>
      </w:r>
      <w:r w:rsidRPr="00611C6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11C6F">
        <w:rPr>
          <w:rFonts w:ascii="Times New Roman" w:hAnsi="Times New Roman" w:cs="Times New Roman"/>
          <w:sz w:val="24"/>
          <w:szCs w:val="24"/>
        </w:rPr>
        <w:t>, Ryan D. Ross</w:t>
      </w:r>
      <w:r w:rsidRPr="00611C6F">
        <w:rPr>
          <w:rFonts w:ascii="Times New Roman" w:hAnsi="Times New Roman" w:cs="Times New Roman"/>
          <w:sz w:val="24"/>
          <w:szCs w:val="24"/>
          <w:vertAlign w:val="superscript"/>
        </w:rPr>
        <w:t>1,3,4</w:t>
      </w:r>
    </w:p>
    <w:p w14:paraId="24630F4E" w14:textId="77777777" w:rsidR="003052AD" w:rsidRPr="00611C6F" w:rsidRDefault="003052AD" w:rsidP="003052AD">
      <w:pPr>
        <w:pStyle w:val="ListParagraph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611C6F">
        <w:rPr>
          <w:rFonts w:ascii="Times New Roman" w:hAnsi="Times New Roman" w:cs="Times New Roman"/>
          <w:sz w:val="24"/>
          <w:szCs w:val="24"/>
        </w:rPr>
        <w:t>Department of Anatomy &amp; Cell Biology, Rush University Medical Center, Chicago, IL</w:t>
      </w:r>
    </w:p>
    <w:p w14:paraId="074EE6ED" w14:textId="77777777" w:rsidR="003052AD" w:rsidRPr="00611C6F" w:rsidRDefault="003052AD" w:rsidP="003052AD">
      <w:pPr>
        <w:pStyle w:val="ListParagraph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611C6F">
        <w:rPr>
          <w:rFonts w:ascii="Times New Roman" w:hAnsi="Times New Roman" w:cs="Times New Roman"/>
          <w:sz w:val="24"/>
          <w:szCs w:val="24"/>
        </w:rPr>
        <w:t>Department of Oral Biology, The University of Illinois at Chicago, Chicago, IL</w:t>
      </w:r>
    </w:p>
    <w:p w14:paraId="78FDBF6D" w14:textId="77777777" w:rsidR="003052AD" w:rsidRPr="00611C6F" w:rsidRDefault="003052AD" w:rsidP="003052AD">
      <w:pPr>
        <w:pStyle w:val="ListParagraph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611C6F">
        <w:rPr>
          <w:rFonts w:ascii="Times New Roman" w:hAnsi="Times New Roman" w:cs="Times New Roman"/>
          <w:sz w:val="24"/>
          <w:szCs w:val="24"/>
        </w:rPr>
        <w:t>Department of Orthopedic Surgery, Rush University Medical Center, Chicago, IL</w:t>
      </w:r>
    </w:p>
    <w:p w14:paraId="39A5B4AE" w14:textId="77777777" w:rsidR="003052AD" w:rsidRPr="00611C6F" w:rsidRDefault="003052AD" w:rsidP="003052AD">
      <w:pPr>
        <w:pStyle w:val="ListParagraph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611C6F">
        <w:rPr>
          <w:rFonts w:ascii="Times New Roman" w:hAnsi="Times New Roman" w:cs="Times New Roman"/>
          <w:sz w:val="24"/>
          <w:szCs w:val="24"/>
        </w:rPr>
        <w:t>Department of Microbial Pathogens and Immunity, Rush University Medical Center, Chicago, IL</w:t>
      </w:r>
    </w:p>
    <w:p w14:paraId="23343ED9" w14:textId="77777777" w:rsidR="003052AD" w:rsidRPr="00611C6F" w:rsidRDefault="003052AD" w:rsidP="00EE239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298C63C5" w14:textId="7BBAFCC7" w:rsidR="003052AD" w:rsidRPr="00611C6F" w:rsidRDefault="003052AD" w:rsidP="00EE239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611C6F">
        <w:rPr>
          <w:rFonts w:ascii="Times New Roman" w:hAnsi="Times New Roman" w:cs="Times New Roman"/>
          <w:b/>
          <w:sz w:val="24"/>
          <w:szCs w:val="24"/>
        </w:rPr>
        <w:t>Supplemental Materials</w:t>
      </w:r>
    </w:p>
    <w:p w14:paraId="2CEBC098" w14:textId="3AE5F365" w:rsidR="00551E69" w:rsidRPr="00611C6F" w:rsidRDefault="00551E69" w:rsidP="00551E69">
      <w:pPr>
        <w:spacing w:after="160" w:line="259" w:lineRule="auto"/>
        <w:rPr>
          <w:b/>
          <w:bCs/>
          <w:sz w:val="24"/>
          <w:szCs w:val="24"/>
        </w:rPr>
      </w:pPr>
    </w:p>
    <w:p w14:paraId="035FDE3E" w14:textId="17EB7B85" w:rsidR="00D27D6D" w:rsidRPr="00611C6F" w:rsidRDefault="00D27D6D" w:rsidP="00551E69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1C6F">
        <w:rPr>
          <w:rFonts w:ascii="Times New Roman" w:hAnsi="Times New Roman" w:cs="Times New Roman"/>
          <w:b/>
          <w:bCs/>
          <w:sz w:val="24"/>
          <w:szCs w:val="24"/>
        </w:rPr>
        <w:t>Supplemental Figure Captions</w:t>
      </w:r>
    </w:p>
    <w:p w14:paraId="49746D82" w14:textId="77FB287E" w:rsidR="009771D3" w:rsidRPr="00611C6F" w:rsidRDefault="009771D3" w:rsidP="009771D3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11C6F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Supplemental Figure 1:</w:t>
      </w:r>
      <w:r w:rsidRPr="00611C6F">
        <w:rPr>
          <w:rFonts w:ascii="Times New Roman" w:hAnsi="Times New Roman" w:cs="Times New Roman"/>
          <w:sz w:val="24"/>
          <w:szCs w:val="24"/>
          <w:lang w:val="en-US"/>
        </w:rPr>
        <w:t xml:space="preserve"> DMP1 immunostaining in the alveolar bone between the tooth roots of the first molar in male (left) and female (right) WT and </w:t>
      </w:r>
      <w:r w:rsidRPr="00611C6F">
        <w:rPr>
          <w:rFonts w:ascii="Times New Roman" w:hAnsi="Times New Roman" w:cs="Times New Roman"/>
          <w:i/>
          <w:iCs/>
          <w:sz w:val="24"/>
          <w:szCs w:val="24"/>
          <w:lang w:val="en-US"/>
        </w:rPr>
        <w:t>Hyp</w:t>
      </w:r>
      <w:r w:rsidRPr="00611C6F">
        <w:rPr>
          <w:rFonts w:ascii="Times New Roman" w:hAnsi="Times New Roman" w:cs="Times New Roman"/>
          <w:sz w:val="24"/>
          <w:szCs w:val="24"/>
          <w:lang w:val="en-US"/>
        </w:rPr>
        <w:t xml:space="preserve"> mice treated with vehicle or Scl-Ab. Single arrows highlight positively stained embedded osteocytes, while double arrows highlight positively stained extracellular bone matrix. </w:t>
      </w:r>
    </w:p>
    <w:p w14:paraId="38851A5F" w14:textId="77777777" w:rsidR="009771D3" w:rsidRPr="00611C6F" w:rsidRDefault="009771D3" w:rsidP="00D27D6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141DA7D" w14:textId="02E8E1E2" w:rsidR="003056AE" w:rsidRPr="00611C6F" w:rsidRDefault="00D27D6D" w:rsidP="00D27D6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11C6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Supplemental Figure </w:t>
      </w:r>
      <w:r w:rsidR="009771D3" w:rsidRPr="00611C6F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611C6F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Pr="00611C6F">
        <w:rPr>
          <w:rFonts w:ascii="Times New Roman" w:hAnsi="Times New Roman" w:cs="Times New Roman"/>
          <w:sz w:val="24"/>
          <w:szCs w:val="24"/>
          <w:lang w:val="en-US"/>
        </w:rPr>
        <w:t xml:space="preserve"> Picrosirius red staining of the periodontal ligament (PDL) in sagittal mandibular sections from male (left) and female (right) WT and </w:t>
      </w:r>
      <w:r w:rsidRPr="00611C6F">
        <w:rPr>
          <w:rFonts w:ascii="Times New Roman" w:hAnsi="Times New Roman" w:cs="Times New Roman"/>
          <w:i/>
          <w:iCs/>
          <w:sz w:val="24"/>
          <w:szCs w:val="24"/>
          <w:lang w:val="en-US"/>
        </w:rPr>
        <w:t>Hyp</w:t>
      </w:r>
      <w:r w:rsidRPr="00611C6F">
        <w:rPr>
          <w:rFonts w:ascii="Times New Roman" w:hAnsi="Times New Roman" w:cs="Times New Roman"/>
          <w:sz w:val="24"/>
          <w:szCs w:val="24"/>
          <w:lang w:val="en-US"/>
        </w:rPr>
        <w:t xml:space="preserve"> animals treated with vehicle or Scl-Ab. The top panels are from brightfield imaging while the bottom panels are from polarized imaging. The root su</w:t>
      </w:r>
      <w:bookmarkStart w:id="1" w:name="_GoBack"/>
      <w:bookmarkEnd w:id="1"/>
      <w:r w:rsidRPr="00611C6F">
        <w:rPr>
          <w:rFonts w:ascii="Times New Roman" w:hAnsi="Times New Roman" w:cs="Times New Roman"/>
          <w:sz w:val="24"/>
          <w:szCs w:val="24"/>
          <w:lang w:val="en-US"/>
        </w:rPr>
        <w:t>rfaces of the first (M1) and second (M2) molar are marked for orientation. Arrows point to regions of detachment between the PDL and the tooth roots. G marks the gingival surface between the first two molars and AB marks the alveolar bone.</w:t>
      </w:r>
    </w:p>
    <w:p w14:paraId="1E630E2B" w14:textId="59235ADD" w:rsidR="00477BDD" w:rsidRPr="00611C6F" w:rsidRDefault="00477BDD" w:rsidP="00D27D6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C61C8EC" w14:textId="77777777" w:rsidR="00477BDD" w:rsidRPr="00611C6F" w:rsidRDefault="00477BDD" w:rsidP="00D27D6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FEE48DA" w14:textId="457C0E38" w:rsidR="00D27D6D" w:rsidRPr="00611C6F" w:rsidRDefault="00D27D6D">
      <w:pPr>
        <w:spacing w:after="160" w:line="259" w:lineRule="auto"/>
        <w:rPr>
          <w:b/>
          <w:bCs/>
          <w:sz w:val="20"/>
          <w:szCs w:val="20"/>
        </w:rPr>
      </w:pPr>
      <w:r w:rsidRPr="00611C6F">
        <w:rPr>
          <w:b/>
          <w:bCs/>
          <w:sz w:val="20"/>
          <w:szCs w:val="20"/>
        </w:rPr>
        <w:br w:type="page"/>
      </w:r>
    </w:p>
    <w:p w14:paraId="184F3CDB" w14:textId="0AEBABD0" w:rsidR="00E42B7B" w:rsidRPr="00611C6F" w:rsidRDefault="00F557F9" w:rsidP="00E42B7B">
      <w:pPr>
        <w:rPr>
          <w:sz w:val="20"/>
          <w:szCs w:val="20"/>
        </w:rPr>
      </w:pPr>
      <w:r w:rsidRPr="00611C6F">
        <w:rPr>
          <w:b/>
          <w:bCs/>
          <w:sz w:val="20"/>
          <w:szCs w:val="20"/>
        </w:rPr>
        <w:lastRenderedPageBreak/>
        <w:t>Supplemental Table 1:</w:t>
      </w:r>
      <w:r w:rsidRPr="00611C6F">
        <w:rPr>
          <w:sz w:val="20"/>
          <w:szCs w:val="20"/>
        </w:rPr>
        <w:t xml:space="preserve"> Micro-computed tomography results from dentoalveolar tissues.</w:t>
      </w:r>
    </w:p>
    <w:tbl>
      <w:tblPr>
        <w:tblStyle w:val="TableGrid"/>
        <w:tblW w:w="9555" w:type="dxa"/>
        <w:jc w:val="center"/>
        <w:tblLayout w:type="fixed"/>
        <w:tblLook w:val="04A0" w:firstRow="1" w:lastRow="0" w:firstColumn="1" w:lastColumn="0" w:noHBand="0" w:noVBand="1"/>
      </w:tblPr>
      <w:tblGrid>
        <w:gridCol w:w="1715"/>
        <w:gridCol w:w="1170"/>
        <w:gridCol w:w="1201"/>
        <w:gridCol w:w="1220"/>
        <w:gridCol w:w="1138"/>
        <w:gridCol w:w="997"/>
        <w:gridCol w:w="1050"/>
        <w:gridCol w:w="1064"/>
      </w:tblGrid>
      <w:tr w:rsidR="006D550B" w:rsidRPr="00611C6F" w14:paraId="480C0250" w14:textId="77777777" w:rsidTr="00EB7A52">
        <w:trPr>
          <w:jc w:val="center"/>
        </w:trPr>
        <w:tc>
          <w:tcPr>
            <w:tcW w:w="1715" w:type="dxa"/>
          </w:tcPr>
          <w:p w14:paraId="3BC4D17B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Variable</w:t>
            </w:r>
          </w:p>
        </w:tc>
        <w:tc>
          <w:tcPr>
            <w:tcW w:w="1170" w:type="dxa"/>
          </w:tcPr>
          <w:p w14:paraId="08A5281D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WT Vehicle</w:t>
            </w:r>
          </w:p>
        </w:tc>
        <w:tc>
          <w:tcPr>
            <w:tcW w:w="1201" w:type="dxa"/>
          </w:tcPr>
          <w:p w14:paraId="43009E80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WT Scl-Ab</w:t>
            </w:r>
          </w:p>
        </w:tc>
        <w:tc>
          <w:tcPr>
            <w:tcW w:w="1220" w:type="dxa"/>
          </w:tcPr>
          <w:p w14:paraId="09CD76A9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i/>
                <w:sz w:val="18"/>
                <w:szCs w:val="18"/>
              </w:rPr>
              <w:t>Hyp</w:t>
            </w:r>
            <w:r w:rsidRPr="00611C6F">
              <w:rPr>
                <w:sz w:val="18"/>
                <w:szCs w:val="18"/>
              </w:rPr>
              <w:t xml:space="preserve"> Vehicle</w:t>
            </w:r>
          </w:p>
        </w:tc>
        <w:tc>
          <w:tcPr>
            <w:tcW w:w="1138" w:type="dxa"/>
          </w:tcPr>
          <w:p w14:paraId="2A4DE2EC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i/>
                <w:sz w:val="18"/>
                <w:szCs w:val="18"/>
              </w:rPr>
              <w:t>Hyp</w:t>
            </w:r>
            <w:r w:rsidRPr="00611C6F">
              <w:rPr>
                <w:sz w:val="18"/>
                <w:szCs w:val="18"/>
              </w:rPr>
              <w:t xml:space="preserve"> Scl-Ab</w:t>
            </w:r>
          </w:p>
        </w:tc>
        <w:tc>
          <w:tcPr>
            <w:tcW w:w="997" w:type="dxa"/>
          </w:tcPr>
          <w:p w14:paraId="0907540D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 xml:space="preserve">Genotype </w:t>
            </w:r>
          </w:p>
        </w:tc>
        <w:tc>
          <w:tcPr>
            <w:tcW w:w="1050" w:type="dxa"/>
          </w:tcPr>
          <w:p w14:paraId="793021CE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 xml:space="preserve">Treatment </w:t>
            </w:r>
          </w:p>
        </w:tc>
        <w:tc>
          <w:tcPr>
            <w:tcW w:w="1064" w:type="dxa"/>
          </w:tcPr>
          <w:p w14:paraId="468DC6AF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Interaction</w:t>
            </w:r>
          </w:p>
        </w:tc>
      </w:tr>
      <w:tr w:rsidR="006D550B" w:rsidRPr="00611C6F" w14:paraId="0FAFE1CB" w14:textId="77777777" w:rsidTr="00EB7A52">
        <w:trPr>
          <w:jc w:val="center"/>
        </w:trPr>
        <w:tc>
          <w:tcPr>
            <w:tcW w:w="9555" w:type="dxa"/>
            <w:gridSpan w:val="8"/>
          </w:tcPr>
          <w:p w14:paraId="0FC18FA2" w14:textId="77777777" w:rsidR="006D550B" w:rsidRPr="00611C6F" w:rsidRDefault="006D550B" w:rsidP="00EB7A52">
            <w:pPr>
              <w:rPr>
                <w:b/>
                <w:sz w:val="20"/>
                <w:szCs w:val="20"/>
              </w:rPr>
            </w:pPr>
            <w:r w:rsidRPr="00611C6F">
              <w:rPr>
                <w:b/>
                <w:sz w:val="20"/>
                <w:szCs w:val="20"/>
              </w:rPr>
              <w:t>Males:</w:t>
            </w:r>
          </w:p>
        </w:tc>
      </w:tr>
      <w:tr w:rsidR="006D550B" w:rsidRPr="00611C6F" w14:paraId="1F52157B" w14:textId="77777777" w:rsidTr="00EB7A52">
        <w:trPr>
          <w:jc w:val="center"/>
        </w:trPr>
        <w:tc>
          <w:tcPr>
            <w:tcW w:w="1715" w:type="dxa"/>
          </w:tcPr>
          <w:p w14:paraId="6975D51A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Alveolar bone volume per total volume (AB BV, TV)</w:t>
            </w:r>
          </w:p>
        </w:tc>
        <w:tc>
          <w:tcPr>
            <w:tcW w:w="1170" w:type="dxa"/>
          </w:tcPr>
          <w:p w14:paraId="687D34AA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0.58 ± 0.04</w:t>
            </w:r>
          </w:p>
        </w:tc>
        <w:tc>
          <w:tcPr>
            <w:tcW w:w="1201" w:type="dxa"/>
          </w:tcPr>
          <w:p w14:paraId="265A3F04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0.87 ± 0.02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20" w:type="dxa"/>
          </w:tcPr>
          <w:p w14:paraId="6F304D73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0.36 ± 0.05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8" w:type="dxa"/>
            <w:shd w:val="clear" w:color="auto" w:fill="auto"/>
          </w:tcPr>
          <w:p w14:paraId="2B181C2E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 xml:space="preserve">0.52 ± </w:t>
            </w:r>
            <w:proofErr w:type="gramStart"/>
            <w:r w:rsidRPr="00611C6F">
              <w:rPr>
                <w:sz w:val="18"/>
                <w:szCs w:val="18"/>
              </w:rPr>
              <w:t>0.04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a,b</w:t>
            </w:r>
            <w:proofErr w:type="gramEnd"/>
          </w:p>
        </w:tc>
        <w:tc>
          <w:tcPr>
            <w:tcW w:w="997" w:type="dxa"/>
            <w:shd w:val="clear" w:color="auto" w:fill="auto"/>
          </w:tcPr>
          <w:p w14:paraId="56FDDDA9" w14:textId="77777777" w:rsidR="006D550B" w:rsidRPr="00611C6F" w:rsidRDefault="006D550B" w:rsidP="00EB7A52">
            <w:pPr>
              <w:rPr>
                <w:b/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050" w:type="dxa"/>
            <w:shd w:val="clear" w:color="auto" w:fill="auto"/>
          </w:tcPr>
          <w:p w14:paraId="642D8B23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bookmarkStart w:id="2" w:name="OLE_LINK1"/>
            <w:r w:rsidRPr="00611C6F">
              <w:rPr>
                <w:b/>
                <w:sz w:val="18"/>
                <w:szCs w:val="18"/>
              </w:rPr>
              <w:t>&lt;0.001</w:t>
            </w:r>
            <w:bookmarkEnd w:id="2"/>
          </w:p>
        </w:tc>
        <w:tc>
          <w:tcPr>
            <w:tcW w:w="1064" w:type="dxa"/>
            <w:shd w:val="clear" w:color="auto" w:fill="auto"/>
          </w:tcPr>
          <w:p w14:paraId="423FA963" w14:textId="77777777" w:rsidR="006D550B" w:rsidRPr="00611C6F" w:rsidRDefault="006D550B" w:rsidP="00EB7A52">
            <w:pPr>
              <w:rPr>
                <w:b/>
                <w:bCs/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</w:tr>
      <w:tr w:rsidR="006D550B" w:rsidRPr="00611C6F" w14:paraId="24A817D1" w14:textId="77777777" w:rsidTr="00EB7A52">
        <w:trPr>
          <w:jc w:val="center"/>
        </w:trPr>
        <w:tc>
          <w:tcPr>
            <w:tcW w:w="1715" w:type="dxa"/>
          </w:tcPr>
          <w:p w14:paraId="2B0ED358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Alveolar bone volume (mm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72CEB1A1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0.15 ± 0.01</w:t>
            </w:r>
          </w:p>
        </w:tc>
        <w:tc>
          <w:tcPr>
            <w:tcW w:w="1201" w:type="dxa"/>
          </w:tcPr>
          <w:p w14:paraId="7E816572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0.23 ± 0.02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20" w:type="dxa"/>
          </w:tcPr>
          <w:p w14:paraId="451DBF46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0.12 ± 0.02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  <w:r w:rsidRPr="00611C6F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138" w:type="dxa"/>
            <w:shd w:val="clear" w:color="auto" w:fill="auto"/>
          </w:tcPr>
          <w:p w14:paraId="213FB9D2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0.17 ± 0.03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997" w:type="dxa"/>
            <w:shd w:val="clear" w:color="auto" w:fill="auto"/>
          </w:tcPr>
          <w:p w14:paraId="24C87B84" w14:textId="77777777" w:rsidR="006D550B" w:rsidRPr="00611C6F" w:rsidRDefault="006D550B" w:rsidP="00EB7A52">
            <w:pPr>
              <w:rPr>
                <w:b/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050" w:type="dxa"/>
            <w:shd w:val="clear" w:color="auto" w:fill="auto"/>
          </w:tcPr>
          <w:p w14:paraId="3A3742B5" w14:textId="77777777" w:rsidR="006D550B" w:rsidRPr="00611C6F" w:rsidRDefault="006D550B" w:rsidP="00EB7A52">
            <w:pPr>
              <w:rPr>
                <w:b/>
                <w:bCs/>
                <w:sz w:val="18"/>
                <w:szCs w:val="18"/>
              </w:rPr>
            </w:pPr>
            <w:r w:rsidRPr="00611C6F">
              <w:rPr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064" w:type="dxa"/>
            <w:shd w:val="clear" w:color="auto" w:fill="auto"/>
          </w:tcPr>
          <w:p w14:paraId="7506E5BA" w14:textId="77777777" w:rsidR="006D550B" w:rsidRPr="00611C6F" w:rsidRDefault="006D550B" w:rsidP="00EB7A52">
            <w:pPr>
              <w:rPr>
                <w:b/>
                <w:bCs/>
                <w:sz w:val="18"/>
                <w:szCs w:val="18"/>
              </w:rPr>
            </w:pPr>
            <w:r w:rsidRPr="00611C6F">
              <w:rPr>
                <w:b/>
                <w:bCs/>
                <w:sz w:val="18"/>
                <w:szCs w:val="18"/>
              </w:rPr>
              <w:t>0.016</w:t>
            </w:r>
          </w:p>
        </w:tc>
      </w:tr>
      <w:tr w:rsidR="006D550B" w:rsidRPr="00611C6F" w14:paraId="07AA8825" w14:textId="77777777" w:rsidTr="00EB7A52">
        <w:trPr>
          <w:jc w:val="center"/>
        </w:trPr>
        <w:tc>
          <w:tcPr>
            <w:tcW w:w="1715" w:type="dxa"/>
          </w:tcPr>
          <w:p w14:paraId="5FA68185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Total volume (mm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11C3A7EE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0.26 ± 0.03</w:t>
            </w:r>
          </w:p>
        </w:tc>
        <w:tc>
          <w:tcPr>
            <w:tcW w:w="1201" w:type="dxa"/>
          </w:tcPr>
          <w:p w14:paraId="1A0E1C6C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0.27 ± 0.02</w:t>
            </w:r>
          </w:p>
        </w:tc>
        <w:tc>
          <w:tcPr>
            <w:tcW w:w="1220" w:type="dxa"/>
          </w:tcPr>
          <w:p w14:paraId="2A650F3C" w14:textId="77777777" w:rsidR="006D550B" w:rsidRPr="00611C6F" w:rsidRDefault="006D550B" w:rsidP="00EB7A52">
            <w:pPr>
              <w:rPr>
                <w:b/>
                <w:bCs/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0.33 ± 0.03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  <w:r w:rsidRPr="00611C6F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138" w:type="dxa"/>
            <w:shd w:val="clear" w:color="auto" w:fill="auto"/>
          </w:tcPr>
          <w:p w14:paraId="02064CE3" w14:textId="290FCB6E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0.32 ± 0.03</w:t>
            </w:r>
            <w:r w:rsidR="00A35835"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997" w:type="dxa"/>
            <w:shd w:val="clear" w:color="auto" w:fill="auto"/>
          </w:tcPr>
          <w:p w14:paraId="46C05D02" w14:textId="77777777" w:rsidR="006D550B" w:rsidRPr="00611C6F" w:rsidRDefault="006D550B" w:rsidP="00EB7A52">
            <w:pPr>
              <w:rPr>
                <w:b/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050" w:type="dxa"/>
            <w:shd w:val="clear" w:color="auto" w:fill="auto"/>
          </w:tcPr>
          <w:p w14:paraId="5CBCE693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0.890</w:t>
            </w:r>
          </w:p>
        </w:tc>
        <w:tc>
          <w:tcPr>
            <w:tcW w:w="1064" w:type="dxa"/>
            <w:shd w:val="clear" w:color="auto" w:fill="auto"/>
          </w:tcPr>
          <w:p w14:paraId="55E685DE" w14:textId="77777777" w:rsidR="006D550B" w:rsidRPr="00611C6F" w:rsidRDefault="006D550B" w:rsidP="00EB7A52">
            <w:pPr>
              <w:rPr>
                <w:b/>
                <w:bCs/>
                <w:sz w:val="18"/>
                <w:szCs w:val="18"/>
              </w:rPr>
            </w:pPr>
            <w:r w:rsidRPr="00611C6F">
              <w:rPr>
                <w:b/>
                <w:bCs/>
                <w:sz w:val="18"/>
                <w:szCs w:val="18"/>
              </w:rPr>
              <w:t>0.702</w:t>
            </w:r>
          </w:p>
        </w:tc>
      </w:tr>
      <w:tr w:rsidR="006D550B" w:rsidRPr="00611C6F" w14:paraId="7121C51E" w14:textId="77777777" w:rsidTr="00EB7A52">
        <w:trPr>
          <w:jc w:val="center"/>
        </w:trPr>
        <w:tc>
          <w:tcPr>
            <w:tcW w:w="1715" w:type="dxa"/>
          </w:tcPr>
          <w:p w14:paraId="34359589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Alveolar tissue material density (AB TMD, mg HA/mm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06B6750D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1105 ± 18.69</w:t>
            </w:r>
          </w:p>
        </w:tc>
        <w:tc>
          <w:tcPr>
            <w:tcW w:w="1201" w:type="dxa"/>
          </w:tcPr>
          <w:p w14:paraId="20B523C1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1153 ± 21.02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20" w:type="dxa"/>
          </w:tcPr>
          <w:p w14:paraId="60296726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946 ± 17.61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  <w:r w:rsidRPr="00611C6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8" w:type="dxa"/>
            <w:shd w:val="clear" w:color="auto" w:fill="auto"/>
          </w:tcPr>
          <w:p w14:paraId="2F66F3F3" w14:textId="41D912D4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954 ± 18.06</w:t>
            </w:r>
            <w:r w:rsidR="00A35835"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997" w:type="dxa"/>
            <w:shd w:val="clear" w:color="auto" w:fill="auto"/>
          </w:tcPr>
          <w:p w14:paraId="1BA96E46" w14:textId="77777777" w:rsidR="006D550B" w:rsidRPr="00611C6F" w:rsidRDefault="006D550B" w:rsidP="00EB7A52">
            <w:pPr>
              <w:rPr>
                <w:b/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050" w:type="dxa"/>
            <w:shd w:val="clear" w:color="auto" w:fill="auto"/>
          </w:tcPr>
          <w:p w14:paraId="4DF8215C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064" w:type="dxa"/>
            <w:shd w:val="clear" w:color="auto" w:fill="auto"/>
          </w:tcPr>
          <w:p w14:paraId="4324AD86" w14:textId="77777777" w:rsidR="006D550B" w:rsidRPr="00611C6F" w:rsidRDefault="006D550B" w:rsidP="00EB7A52">
            <w:pPr>
              <w:rPr>
                <w:b/>
                <w:bCs/>
                <w:sz w:val="18"/>
                <w:szCs w:val="18"/>
              </w:rPr>
            </w:pPr>
            <w:r w:rsidRPr="00611C6F">
              <w:rPr>
                <w:b/>
                <w:bCs/>
                <w:sz w:val="18"/>
                <w:szCs w:val="18"/>
              </w:rPr>
              <w:t>0.004</w:t>
            </w:r>
          </w:p>
        </w:tc>
      </w:tr>
      <w:tr w:rsidR="006D550B" w:rsidRPr="00611C6F" w14:paraId="683642FD" w14:textId="77777777" w:rsidTr="00EB7A52">
        <w:trPr>
          <w:jc w:val="center"/>
        </w:trPr>
        <w:tc>
          <w:tcPr>
            <w:tcW w:w="1715" w:type="dxa"/>
          </w:tcPr>
          <w:p w14:paraId="37940F21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Enamel volume (mm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461528F3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0.12 ± 0.01</w:t>
            </w:r>
          </w:p>
        </w:tc>
        <w:tc>
          <w:tcPr>
            <w:tcW w:w="1201" w:type="dxa"/>
          </w:tcPr>
          <w:p w14:paraId="34D0C274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0.13 ± 0.01</w:t>
            </w:r>
          </w:p>
        </w:tc>
        <w:tc>
          <w:tcPr>
            <w:tcW w:w="1220" w:type="dxa"/>
          </w:tcPr>
          <w:p w14:paraId="47C09D41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0.11 ± 0.01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8" w:type="dxa"/>
            <w:shd w:val="clear" w:color="auto" w:fill="auto"/>
          </w:tcPr>
          <w:p w14:paraId="435D9A88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0.11 ± 0.01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  <w:r w:rsidRPr="00611C6F">
              <w:rPr>
                <w:sz w:val="18"/>
                <w:szCs w:val="18"/>
              </w:rPr>
              <w:t xml:space="preserve">  </w:t>
            </w:r>
          </w:p>
        </w:tc>
        <w:tc>
          <w:tcPr>
            <w:tcW w:w="997" w:type="dxa"/>
            <w:shd w:val="clear" w:color="auto" w:fill="auto"/>
          </w:tcPr>
          <w:p w14:paraId="78FE3E07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050" w:type="dxa"/>
            <w:shd w:val="clear" w:color="auto" w:fill="auto"/>
          </w:tcPr>
          <w:p w14:paraId="4C9E7E97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0.745</w:t>
            </w:r>
          </w:p>
        </w:tc>
        <w:tc>
          <w:tcPr>
            <w:tcW w:w="1064" w:type="dxa"/>
            <w:shd w:val="clear" w:color="auto" w:fill="auto"/>
          </w:tcPr>
          <w:p w14:paraId="776B3DFE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0.394</w:t>
            </w:r>
          </w:p>
        </w:tc>
      </w:tr>
      <w:tr w:rsidR="006D550B" w:rsidRPr="00611C6F" w14:paraId="7B3B1137" w14:textId="77777777" w:rsidTr="00EB7A52">
        <w:trPr>
          <w:jc w:val="center"/>
        </w:trPr>
        <w:tc>
          <w:tcPr>
            <w:tcW w:w="1715" w:type="dxa"/>
          </w:tcPr>
          <w:p w14:paraId="04B4DEB9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Enamel tissue mineral density (mg HA/ 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29D10785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1938 ± 34.7</w:t>
            </w:r>
          </w:p>
        </w:tc>
        <w:tc>
          <w:tcPr>
            <w:tcW w:w="1201" w:type="dxa"/>
          </w:tcPr>
          <w:p w14:paraId="531A4884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1943 ± 26.4</w:t>
            </w:r>
          </w:p>
        </w:tc>
        <w:tc>
          <w:tcPr>
            <w:tcW w:w="1220" w:type="dxa"/>
          </w:tcPr>
          <w:p w14:paraId="325CC992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1958 ± 40.5</w:t>
            </w:r>
          </w:p>
        </w:tc>
        <w:tc>
          <w:tcPr>
            <w:tcW w:w="1138" w:type="dxa"/>
            <w:shd w:val="clear" w:color="auto" w:fill="auto"/>
          </w:tcPr>
          <w:p w14:paraId="2CADA2CF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 xml:space="preserve">1943 ± 31.6 </w:t>
            </w:r>
          </w:p>
        </w:tc>
        <w:tc>
          <w:tcPr>
            <w:tcW w:w="997" w:type="dxa"/>
            <w:shd w:val="clear" w:color="auto" w:fill="auto"/>
          </w:tcPr>
          <w:p w14:paraId="1C4B9E97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0.328</w:t>
            </w:r>
          </w:p>
        </w:tc>
        <w:tc>
          <w:tcPr>
            <w:tcW w:w="1050" w:type="dxa"/>
            <w:shd w:val="clear" w:color="auto" w:fill="auto"/>
          </w:tcPr>
          <w:p w14:paraId="1C0FD3F6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0.624</w:t>
            </w:r>
          </w:p>
        </w:tc>
        <w:tc>
          <w:tcPr>
            <w:tcW w:w="1064" w:type="dxa"/>
            <w:shd w:val="clear" w:color="auto" w:fill="auto"/>
          </w:tcPr>
          <w:p w14:paraId="26433453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0.347</w:t>
            </w:r>
          </w:p>
        </w:tc>
      </w:tr>
      <w:tr w:rsidR="006D550B" w:rsidRPr="00611C6F" w14:paraId="50293CFD" w14:textId="77777777" w:rsidTr="00EB7A52">
        <w:trPr>
          <w:jc w:val="center"/>
        </w:trPr>
        <w:tc>
          <w:tcPr>
            <w:tcW w:w="1715" w:type="dxa"/>
          </w:tcPr>
          <w:p w14:paraId="24106C9C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Dentin/Cementum volume (mm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25235971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 xml:space="preserve">0.94 ± 0.04  </w:t>
            </w:r>
          </w:p>
        </w:tc>
        <w:tc>
          <w:tcPr>
            <w:tcW w:w="1201" w:type="dxa"/>
          </w:tcPr>
          <w:p w14:paraId="582B0370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0.93 ± 0.06</w:t>
            </w:r>
          </w:p>
        </w:tc>
        <w:tc>
          <w:tcPr>
            <w:tcW w:w="1220" w:type="dxa"/>
          </w:tcPr>
          <w:p w14:paraId="052FD328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0.75 ± 0.04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8" w:type="dxa"/>
            <w:shd w:val="clear" w:color="auto" w:fill="auto"/>
          </w:tcPr>
          <w:p w14:paraId="16C4557D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0.74 ± 0.04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997" w:type="dxa"/>
            <w:shd w:val="clear" w:color="auto" w:fill="auto"/>
          </w:tcPr>
          <w:p w14:paraId="0510597B" w14:textId="77777777" w:rsidR="006D550B" w:rsidRPr="00611C6F" w:rsidRDefault="006D550B" w:rsidP="00EB7A52">
            <w:pPr>
              <w:rPr>
                <w:b/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050" w:type="dxa"/>
            <w:shd w:val="clear" w:color="auto" w:fill="auto"/>
          </w:tcPr>
          <w:p w14:paraId="5F457895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0.658</w:t>
            </w:r>
          </w:p>
        </w:tc>
        <w:tc>
          <w:tcPr>
            <w:tcW w:w="1064" w:type="dxa"/>
            <w:shd w:val="clear" w:color="auto" w:fill="auto"/>
          </w:tcPr>
          <w:p w14:paraId="072FCF1D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0.903</w:t>
            </w:r>
          </w:p>
        </w:tc>
      </w:tr>
      <w:tr w:rsidR="006D550B" w:rsidRPr="00611C6F" w14:paraId="29DE504E" w14:textId="77777777" w:rsidTr="00EB7A52">
        <w:trPr>
          <w:jc w:val="center"/>
        </w:trPr>
        <w:tc>
          <w:tcPr>
            <w:tcW w:w="1715" w:type="dxa"/>
          </w:tcPr>
          <w:p w14:paraId="59158B41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Dentin/Cementum tissue mineral density (mg HA/mm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2A8C122F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1155 ± 13.7</w:t>
            </w:r>
          </w:p>
        </w:tc>
        <w:tc>
          <w:tcPr>
            <w:tcW w:w="1201" w:type="dxa"/>
          </w:tcPr>
          <w:p w14:paraId="5AA2592F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1156 ± 12.6</w:t>
            </w:r>
          </w:p>
        </w:tc>
        <w:tc>
          <w:tcPr>
            <w:tcW w:w="1220" w:type="dxa"/>
          </w:tcPr>
          <w:p w14:paraId="21443E30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1157 ± 16.6</w:t>
            </w:r>
          </w:p>
        </w:tc>
        <w:tc>
          <w:tcPr>
            <w:tcW w:w="1138" w:type="dxa"/>
            <w:shd w:val="clear" w:color="auto" w:fill="auto"/>
          </w:tcPr>
          <w:p w14:paraId="5212704F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1148 ± 12.2</w:t>
            </w:r>
          </w:p>
        </w:tc>
        <w:tc>
          <w:tcPr>
            <w:tcW w:w="997" w:type="dxa"/>
            <w:shd w:val="clear" w:color="auto" w:fill="auto"/>
          </w:tcPr>
          <w:p w14:paraId="286B5B5F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0.496</w:t>
            </w:r>
          </w:p>
        </w:tc>
        <w:tc>
          <w:tcPr>
            <w:tcW w:w="1050" w:type="dxa"/>
            <w:shd w:val="clear" w:color="auto" w:fill="auto"/>
          </w:tcPr>
          <w:p w14:paraId="399D08BB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0.324</w:t>
            </w:r>
          </w:p>
        </w:tc>
        <w:tc>
          <w:tcPr>
            <w:tcW w:w="1064" w:type="dxa"/>
            <w:shd w:val="clear" w:color="auto" w:fill="auto"/>
          </w:tcPr>
          <w:p w14:paraId="5864B0C5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0.224</w:t>
            </w:r>
          </w:p>
        </w:tc>
      </w:tr>
      <w:tr w:rsidR="006D550B" w:rsidRPr="00611C6F" w14:paraId="732F1091" w14:textId="77777777" w:rsidTr="00EB7A52">
        <w:trPr>
          <w:jc w:val="center"/>
        </w:trPr>
        <w:tc>
          <w:tcPr>
            <w:tcW w:w="1715" w:type="dxa"/>
          </w:tcPr>
          <w:p w14:paraId="50BB98E7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Pulp volume (mm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47E5A438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0.035 ± 0.003</w:t>
            </w:r>
          </w:p>
        </w:tc>
        <w:tc>
          <w:tcPr>
            <w:tcW w:w="1201" w:type="dxa"/>
          </w:tcPr>
          <w:p w14:paraId="4FD9CB10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0.036 ± 0.003</w:t>
            </w:r>
          </w:p>
        </w:tc>
        <w:tc>
          <w:tcPr>
            <w:tcW w:w="1220" w:type="dxa"/>
          </w:tcPr>
          <w:p w14:paraId="71501308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0.046 ± 0.005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8" w:type="dxa"/>
            <w:shd w:val="clear" w:color="auto" w:fill="auto"/>
          </w:tcPr>
          <w:p w14:paraId="27F6FB2A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0.047 ± 0.003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997" w:type="dxa"/>
            <w:shd w:val="clear" w:color="auto" w:fill="auto"/>
          </w:tcPr>
          <w:p w14:paraId="490E4B68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050" w:type="dxa"/>
            <w:shd w:val="clear" w:color="auto" w:fill="auto"/>
          </w:tcPr>
          <w:p w14:paraId="446FA3C1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0.381</w:t>
            </w:r>
          </w:p>
        </w:tc>
        <w:tc>
          <w:tcPr>
            <w:tcW w:w="1064" w:type="dxa"/>
            <w:shd w:val="clear" w:color="auto" w:fill="auto"/>
          </w:tcPr>
          <w:p w14:paraId="09EA0E30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0.920</w:t>
            </w:r>
          </w:p>
        </w:tc>
      </w:tr>
      <w:tr w:rsidR="006D550B" w:rsidRPr="00611C6F" w14:paraId="3909DB14" w14:textId="77777777" w:rsidTr="00EB7A52">
        <w:trPr>
          <w:jc w:val="center"/>
        </w:trPr>
        <w:tc>
          <w:tcPr>
            <w:tcW w:w="9555" w:type="dxa"/>
            <w:gridSpan w:val="8"/>
            <w:shd w:val="clear" w:color="auto" w:fill="auto"/>
          </w:tcPr>
          <w:p w14:paraId="6F9B6F4D" w14:textId="77777777" w:rsidR="006D550B" w:rsidRPr="00611C6F" w:rsidRDefault="006D550B" w:rsidP="00EB7A52">
            <w:pPr>
              <w:rPr>
                <w:b/>
                <w:sz w:val="20"/>
                <w:szCs w:val="20"/>
              </w:rPr>
            </w:pPr>
            <w:r w:rsidRPr="00611C6F">
              <w:rPr>
                <w:b/>
                <w:sz w:val="20"/>
                <w:szCs w:val="20"/>
              </w:rPr>
              <w:t>Females:</w:t>
            </w:r>
          </w:p>
        </w:tc>
      </w:tr>
      <w:tr w:rsidR="006D550B" w:rsidRPr="00611C6F" w14:paraId="77439422" w14:textId="77777777" w:rsidTr="00EB7A52">
        <w:trPr>
          <w:jc w:val="center"/>
        </w:trPr>
        <w:tc>
          <w:tcPr>
            <w:tcW w:w="1715" w:type="dxa"/>
          </w:tcPr>
          <w:p w14:paraId="4A265CB7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Alveolar bone volume per total volume (AB BV, TV)</w:t>
            </w:r>
          </w:p>
        </w:tc>
        <w:tc>
          <w:tcPr>
            <w:tcW w:w="1170" w:type="dxa"/>
          </w:tcPr>
          <w:p w14:paraId="3CBFB923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0.73 ± 0.06</w:t>
            </w:r>
          </w:p>
        </w:tc>
        <w:tc>
          <w:tcPr>
            <w:tcW w:w="1201" w:type="dxa"/>
          </w:tcPr>
          <w:p w14:paraId="222E59B2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0.91 ± 0.06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20" w:type="dxa"/>
          </w:tcPr>
          <w:p w14:paraId="6733BD4E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0.59 ± 0.10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8" w:type="dxa"/>
            <w:shd w:val="clear" w:color="auto" w:fill="auto"/>
          </w:tcPr>
          <w:p w14:paraId="46F249A7" w14:textId="347E68D9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0.66 ± 0.04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997" w:type="dxa"/>
            <w:shd w:val="clear" w:color="auto" w:fill="auto"/>
          </w:tcPr>
          <w:p w14:paraId="58007038" w14:textId="77777777" w:rsidR="006D550B" w:rsidRPr="00611C6F" w:rsidRDefault="006D550B" w:rsidP="00EB7A52">
            <w:pPr>
              <w:rPr>
                <w:b/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050" w:type="dxa"/>
            <w:shd w:val="clear" w:color="auto" w:fill="auto"/>
          </w:tcPr>
          <w:p w14:paraId="23DE0B68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064" w:type="dxa"/>
            <w:shd w:val="clear" w:color="auto" w:fill="auto"/>
          </w:tcPr>
          <w:p w14:paraId="18686050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0.026</w:t>
            </w:r>
          </w:p>
        </w:tc>
      </w:tr>
      <w:tr w:rsidR="006D550B" w:rsidRPr="00611C6F" w14:paraId="29C928C0" w14:textId="77777777" w:rsidTr="00EB7A52">
        <w:trPr>
          <w:jc w:val="center"/>
        </w:trPr>
        <w:tc>
          <w:tcPr>
            <w:tcW w:w="1715" w:type="dxa"/>
          </w:tcPr>
          <w:p w14:paraId="7696C998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Alveolar bone volume (mm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11C0C621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0.16 ± 0.03</w:t>
            </w:r>
          </w:p>
        </w:tc>
        <w:tc>
          <w:tcPr>
            <w:tcW w:w="1201" w:type="dxa"/>
          </w:tcPr>
          <w:p w14:paraId="2B7DA7D9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0.25 ± 0.03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20" w:type="dxa"/>
          </w:tcPr>
          <w:p w14:paraId="0E9CEABB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0.16 ± 0.03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8" w:type="dxa"/>
            <w:shd w:val="clear" w:color="auto" w:fill="auto"/>
          </w:tcPr>
          <w:p w14:paraId="34E5B292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0.17 ± 0.04</w:t>
            </w:r>
          </w:p>
        </w:tc>
        <w:tc>
          <w:tcPr>
            <w:tcW w:w="997" w:type="dxa"/>
            <w:shd w:val="clear" w:color="auto" w:fill="auto"/>
          </w:tcPr>
          <w:p w14:paraId="6B004C13" w14:textId="77777777" w:rsidR="006D550B" w:rsidRPr="00611C6F" w:rsidRDefault="006D550B" w:rsidP="00EB7A52">
            <w:pPr>
              <w:rPr>
                <w:b/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050" w:type="dxa"/>
            <w:shd w:val="clear" w:color="auto" w:fill="auto"/>
          </w:tcPr>
          <w:p w14:paraId="05736839" w14:textId="77777777" w:rsidR="006D550B" w:rsidRPr="00611C6F" w:rsidRDefault="006D550B" w:rsidP="00EB7A52">
            <w:pPr>
              <w:rPr>
                <w:b/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064" w:type="dxa"/>
            <w:shd w:val="clear" w:color="auto" w:fill="auto"/>
          </w:tcPr>
          <w:p w14:paraId="3771F4CD" w14:textId="77777777" w:rsidR="006D550B" w:rsidRPr="00611C6F" w:rsidRDefault="006D550B" w:rsidP="00EB7A52">
            <w:pPr>
              <w:rPr>
                <w:bCs/>
                <w:sz w:val="18"/>
                <w:szCs w:val="18"/>
              </w:rPr>
            </w:pPr>
            <w:r w:rsidRPr="00611C6F">
              <w:rPr>
                <w:bCs/>
                <w:sz w:val="18"/>
                <w:szCs w:val="18"/>
              </w:rPr>
              <w:t>0.096</w:t>
            </w:r>
          </w:p>
        </w:tc>
      </w:tr>
      <w:tr w:rsidR="006D550B" w:rsidRPr="00611C6F" w14:paraId="17F217E5" w14:textId="77777777" w:rsidTr="00EB7A52">
        <w:trPr>
          <w:jc w:val="center"/>
        </w:trPr>
        <w:tc>
          <w:tcPr>
            <w:tcW w:w="1715" w:type="dxa"/>
          </w:tcPr>
          <w:p w14:paraId="252D2425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Total volume (mm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4FD0637A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0.62 ± 0.03</w:t>
            </w:r>
          </w:p>
        </w:tc>
        <w:tc>
          <w:tcPr>
            <w:tcW w:w="1201" w:type="dxa"/>
          </w:tcPr>
          <w:p w14:paraId="08851677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0.27 ± 0.03</w:t>
            </w:r>
          </w:p>
        </w:tc>
        <w:tc>
          <w:tcPr>
            <w:tcW w:w="1220" w:type="dxa"/>
          </w:tcPr>
          <w:p w14:paraId="74BB9038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0.27 ± 0.04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8" w:type="dxa"/>
            <w:shd w:val="clear" w:color="auto" w:fill="auto"/>
          </w:tcPr>
          <w:p w14:paraId="5A98AF00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0.26 ± 0.05</w:t>
            </w:r>
          </w:p>
        </w:tc>
        <w:tc>
          <w:tcPr>
            <w:tcW w:w="997" w:type="dxa"/>
            <w:shd w:val="clear" w:color="auto" w:fill="auto"/>
          </w:tcPr>
          <w:p w14:paraId="2E7E7A2D" w14:textId="77777777" w:rsidR="006D550B" w:rsidRPr="00611C6F" w:rsidRDefault="006D550B" w:rsidP="00EB7A52">
            <w:pPr>
              <w:rPr>
                <w:bCs/>
                <w:sz w:val="18"/>
                <w:szCs w:val="18"/>
              </w:rPr>
            </w:pPr>
            <w:r w:rsidRPr="00611C6F">
              <w:rPr>
                <w:bCs/>
                <w:sz w:val="18"/>
                <w:szCs w:val="18"/>
              </w:rPr>
              <w:t>0.954</w:t>
            </w:r>
          </w:p>
        </w:tc>
        <w:tc>
          <w:tcPr>
            <w:tcW w:w="1050" w:type="dxa"/>
            <w:shd w:val="clear" w:color="auto" w:fill="auto"/>
          </w:tcPr>
          <w:p w14:paraId="4521EEC2" w14:textId="77777777" w:rsidR="006D550B" w:rsidRPr="00611C6F" w:rsidRDefault="006D550B" w:rsidP="00EB7A52">
            <w:pPr>
              <w:rPr>
                <w:bCs/>
                <w:sz w:val="18"/>
                <w:szCs w:val="18"/>
              </w:rPr>
            </w:pPr>
            <w:r w:rsidRPr="00611C6F">
              <w:rPr>
                <w:bCs/>
                <w:sz w:val="18"/>
                <w:szCs w:val="18"/>
              </w:rPr>
              <w:t>0.850</w:t>
            </w:r>
          </w:p>
        </w:tc>
        <w:tc>
          <w:tcPr>
            <w:tcW w:w="1064" w:type="dxa"/>
            <w:shd w:val="clear" w:color="auto" w:fill="auto"/>
          </w:tcPr>
          <w:p w14:paraId="41D15D38" w14:textId="77777777" w:rsidR="006D550B" w:rsidRPr="00611C6F" w:rsidRDefault="006D550B" w:rsidP="00EB7A52">
            <w:pPr>
              <w:rPr>
                <w:bCs/>
                <w:sz w:val="18"/>
                <w:szCs w:val="18"/>
              </w:rPr>
            </w:pPr>
            <w:r w:rsidRPr="00611C6F">
              <w:rPr>
                <w:bCs/>
                <w:sz w:val="18"/>
                <w:szCs w:val="18"/>
              </w:rPr>
              <w:t>0.620</w:t>
            </w:r>
          </w:p>
        </w:tc>
      </w:tr>
      <w:tr w:rsidR="006D550B" w:rsidRPr="00611C6F" w14:paraId="794BDCA4" w14:textId="77777777" w:rsidTr="00EB7A52">
        <w:trPr>
          <w:jc w:val="center"/>
        </w:trPr>
        <w:tc>
          <w:tcPr>
            <w:tcW w:w="1715" w:type="dxa"/>
          </w:tcPr>
          <w:p w14:paraId="3D8B6AE8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Alveolar tissue material density (AB TMD, mg HA/mm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28912165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1123 ± 37.7</w:t>
            </w:r>
          </w:p>
        </w:tc>
        <w:tc>
          <w:tcPr>
            <w:tcW w:w="1201" w:type="dxa"/>
          </w:tcPr>
          <w:p w14:paraId="62BAF4BC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1153 ± 42.1</w:t>
            </w:r>
          </w:p>
        </w:tc>
        <w:tc>
          <w:tcPr>
            <w:tcW w:w="1220" w:type="dxa"/>
          </w:tcPr>
          <w:p w14:paraId="394BB05B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1023 ± 48.3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8" w:type="dxa"/>
            <w:shd w:val="clear" w:color="auto" w:fill="auto"/>
          </w:tcPr>
          <w:p w14:paraId="27B967A8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1012 ± 36.8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997" w:type="dxa"/>
            <w:shd w:val="clear" w:color="auto" w:fill="auto"/>
          </w:tcPr>
          <w:p w14:paraId="0ECA4E48" w14:textId="77777777" w:rsidR="006D550B" w:rsidRPr="00611C6F" w:rsidRDefault="006D550B" w:rsidP="00EB7A52">
            <w:pPr>
              <w:rPr>
                <w:b/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050" w:type="dxa"/>
            <w:shd w:val="clear" w:color="auto" w:fill="auto"/>
          </w:tcPr>
          <w:p w14:paraId="0229E71E" w14:textId="77777777" w:rsidR="006D550B" w:rsidRPr="00611C6F" w:rsidRDefault="006D550B" w:rsidP="00EB7A52">
            <w:pPr>
              <w:rPr>
                <w:bCs/>
                <w:sz w:val="18"/>
                <w:szCs w:val="18"/>
              </w:rPr>
            </w:pPr>
            <w:r w:rsidRPr="00611C6F">
              <w:rPr>
                <w:bCs/>
                <w:sz w:val="18"/>
                <w:szCs w:val="18"/>
              </w:rPr>
              <w:t>0.435</w:t>
            </w:r>
          </w:p>
        </w:tc>
        <w:tc>
          <w:tcPr>
            <w:tcW w:w="1064" w:type="dxa"/>
            <w:shd w:val="clear" w:color="auto" w:fill="auto"/>
          </w:tcPr>
          <w:p w14:paraId="1C941DE7" w14:textId="77777777" w:rsidR="006D550B" w:rsidRPr="00611C6F" w:rsidRDefault="006D550B" w:rsidP="00EB7A52">
            <w:pPr>
              <w:rPr>
                <w:bCs/>
                <w:sz w:val="18"/>
                <w:szCs w:val="18"/>
              </w:rPr>
            </w:pPr>
            <w:r w:rsidRPr="00611C6F">
              <w:rPr>
                <w:bCs/>
                <w:sz w:val="18"/>
                <w:szCs w:val="18"/>
              </w:rPr>
              <w:t>0.109</w:t>
            </w:r>
          </w:p>
        </w:tc>
      </w:tr>
      <w:tr w:rsidR="006D550B" w:rsidRPr="00611C6F" w14:paraId="169F2A2D" w14:textId="77777777" w:rsidTr="00EB7A52">
        <w:trPr>
          <w:jc w:val="center"/>
        </w:trPr>
        <w:tc>
          <w:tcPr>
            <w:tcW w:w="1715" w:type="dxa"/>
          </w:tcPr>
          <w:p w14:paraId="6E5C797C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Enamel volume (mm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6CAD7844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0.13 ± 0.02</w:t>
            </w:r>
          </w:p>
        </w:tc>
        <w:tc>
          <w:tcPr>
            <w:tcW w:w="1201" w:type="dxa"/>
          </w:tcPr>
          <w:p w14:paraId="55EBAA09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0.13 ± 0.02</w:t>
            </w:r>
          </w:p>
        </w:tc>
        <w:tc>
          <w:tcPr>
            <w:tcW w:w="1220" w:type="dxa"/>
          </w:tcPr>
          <w:p w14:paraId="4CE6F34F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0.11 ± 0.01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8" w:type="dxa"/>
          </w:tcPr>
          <w:p w14:paraId="531107F2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0.11 ± 0.01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997" w:type="dxa"/>
          </w:tcPr>
          <w:p w14:paraId="4F6ABE7B" w14:textId="77777777" w:rsidR="006D550B" w:rsidRPr="00611C6F" w:rsidRDefault="006D550B" w:rsidP="00EB7A52">
            <w:pPr>
              <w:rPr>
                <w:b/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0.001</w:t>
            </w:r>
          </w:p>
        </w:tc>
        <w:tc>
          <w:tcPr>
            <w:tcW w:w="1050" w:type="dxa"/>
          </w:tcPr>
          <w:p w14:paraId="4D1A6048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0.850</w:t>
            </w:r>
          </w:p>
        </w:tc>
        <w:tc>
          <w:tcPr>
            <w:tcW w:w="1064" w:type="dxa"/>
          </w:tcPr>
          <w:p w14:paraId="07EC7DB4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0.845</w:t>
            </w:r>
          </w:p>
        </w:tc>
      </w:tr>
      <w:tr w:rsidR="006D550B" w:rsidRPr="00611C6F" w14:paraId="3BF8D97C" w14:textId="77777777" w:rsidTr="00EB7A52">
        <w:trPr>
          <w:jc w:val="center"/>
        </w:trPr>
        <w:tc>
          <w:tcPr>
            <w:tcW w:w="1715" w:type="dxa"/>
          </w:tcPr>
          <w:p w14:paraId="7321B445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Enamel tissue mineral density (mg HA/ 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6F0DB68C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1951 ± 22.9</w:t>
            </w:r>
          </w:p>
        </w:tc>
        <w:tc>
          <w:tcPr>
            <w:tcW w:w="1201" w:type="dxa"/>
          </w:tcPr>
          <w:p w14:paraId="7C20FFE2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1952 ± 43.9</w:t>
            </w:r>
          </w:p>
        </w:tc>
        <w:tc>
          <w:tcPr>
            <w:tcW w:w="1220" w:type="dxa"/>
          </w:tcPr>
          <w:p w14:paraId="19057804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1945 ± 31.4</w:t>
            </w:r>
          </w:p>
        </w:tc>
        <w:tc>
          <w:tcPr>
            <w:tcW w:w="1138" w:type="dxa"/>
          </w:tcPr>
          <w:p w14:paraId="01D9EF20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1936 ± 38.6</w:t>
            </w:r>
          </w:p>
        </w:tc>
        <w:tc>
          <w:tcPr>
            <w:tcW w:w="997" w:type="dxa"/>
          </w:tcPr>
          <w:p w14:paraId="20B73E8C" w14:textId="77777777" w:rsidR="006D550B" w:rsidRPr="00611C6F" w:rsidRDefault="006D550B" w:rsidP="00EB7A52">
            <w:pPr>
              <w:rPr>
                <w:b/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0.309</w:t>
            </w:r>
          </w:p>
        </w:tc>
        <w:tc>
          <w:tcPr>
            <w:tcW w:w="1050" w:type="dxa"/>
          </w:tcPr>
          <w:p w14:paraId="30E742E0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0.684</w:t>
            </w:r>
          </w:p>
        </w:tc>
        <w:tc>
          <w:tcPr>
            <w:tcW w:w="1064" w:type="dxa"/>
          </w:tcPr>
          <w:p w14:paraId="32FD56D4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0.627</w:t>
            </w:r>
          </w:p>
        </w:tc>
      </w:tr>
      <w:tr w:rsidR="006D550B" w:rsidRPr="00611C6F" w14:paraId="50CA4237" w14:textId="77777777" w:rsidTr="00EB7A52">
        <w:trPr>
          <w:jc w:val="center"/>
        </w:trPr>
        <w:tc>
          <w:tcPr>
            <w:tcW w:w="1715" w:type="dxa"/>
          </w:tcPr>
          <w:p w14:paraId="54BC350D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Dentin/Cementum volume (mm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534C06BE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0.94 ± 0.07</w:t>
            </w:r>
          </w:p>
        </w:tc>
        <w:tc>
          <w:tcPr>
            <w:tcW w:w="1201" w:type="dxa"/>
          </w:tcPr>
          <w:p w14:paraId="26AB8AC1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0.94 ± 0.04</w:t>
            </w:r>
          </w:p>
        </w:tc>
        <w:tc>
          <w:tcPr>
            <w:tcW w:w="1220" w:type="dxa"/>
          </w:tcPr>
          <w:p w14:paraId="1DF6DEE3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0.78 ± 0.06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8" w:type="dxa"/>
          </w:tcPr>
          <w:p w14:paraId="22D17CF7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0.75 ± 0.10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997" w:type="dxa"/>
          </w:tcPr>
          <w:p w14:paraId="59B3C2AE" w14:textId="77777777" w:rsidR="006D550B" w:rsidRPr="00611C6F" w:rsidRDefault="006D550B" w:rsidP="00EB7A52">
            <w:pPr>
              <w:rPr>
                <w:b/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050" w:type="dxa"/>
          </w:tcPr>
          <w:p w14:paraId="60407AD4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0.415</w:t>
            </w:r>
          </w:p>
        </w:tc>
        <w:tc>
          <w:tcPr>
            <w:tcW w:w="1064" w:type="dxa"/>
          </w:tcPr>
          <w:p w14:paraId="24B50D41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0.391</w:t>
            </w:r>
          </w:p>
        </w:tc>
      </w:tr>
      <w:tr w:rsidR="006D550B" w:rsidRPr="00611C6F" w14:paraId="3E9B7B25" w14:textId="77777777" w:rsidTr="00EB7A52">
        <w:trPr>
          <w:jc w:val="center"/>
        </w:trPr>
        <w:tc>
          <w:tcPr>
            <w:tcW w:w="1715" w:type="dxa"/>
          </w:tcPr>
          <w:p w14:paraId="7A5B1C62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Dentin/Cementum tissue mineral density (mg HA/mm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145CC4BB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1160 ± 13.6</w:t>
            </w:r>
          </w:p>
        </w:tc>
        <w:tc>
          <w:tcPr>
            <w:tcW w:w="1201" w:type="dxa"/>
          </w:tcPr>
          <w:p w14:paraId="45F3E76A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1156 ± 15.2</w:t>
            </w:r>
          </w:p>
        </w:tc>
        <w:tc>
          <w:tcPr>
            <w:tcW w:w="1220" w:type="dxa"/>
          </w:tcPr>
          <w:p w14:paraId="3901B12A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1153 ± 14.6</w:t>
            </w:r>
          </w:p>
        </w:tc>
        <w:tc>
          <w:tcPr>
            <w:tcW w:w="1138" w:type="dxa"/>
          </w:tcPr>
          <w:p w14:paraId="10F66211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1148 ± 19.9</w:t>
            </w:r>
          </w:p>
        </w:tc>
        <w:tc>
          <w:tcPr>
            <w:tcW w:w="997" w:type="dxa"/>
          </w:tcPr>
          <w:p w14:paraId="571CD66E" w14:textId="77777777" w:rsidR="006D550B" w:rsidRPr="00611C6F" w:rsidRDefault="006D550B" w:rsidP="00EB7A52">
            <w:pPr>
              <w:rPr>
                <w:b/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0.120</w:t>
            </w:r>
          </w:p>
        </w:tc>
        <w:tc>
          <w:tcPr>
            <w:tcW w:w="1050" w:type="dxa"/>
          </w:tcPr>
          <w:p w14:paraId="085B12E8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0.346</w:t>
            </w:r>
          </w:p>
        </w:tc>
        <w:tc>
          <w:tcPr>
            <w:tcW w:w="1064" w:type="dxa"/>
          </w:tcPr>
          <w:p w14:paraId="28F0F2B3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0.973</w:t>
            </w:r>
          </w:p>
        </w:tc>
      </w:tr>
      <w:tr w:rsidR="006D550B" w:rsidRPr="00611C6F" w14:paraId="591C0753" w14:textId="77777777" w:rsidTr="00EB7A52">
        <w:trPr>
          <w:jc w:val="center"/>
        </w:trPr>
        <w:tc>
          <w:tcPr>
            <w:tcW w:w="1715" w:type="dxa"/>
          </w:tcPr>
          <w:p w14:paraId="6DD0042B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lastRenderedPageBreak/>
              <w:t>Pulp volume (mm</w:t>
            </w:r>
            <w:r w:rsidRPr="00611C6F">
              <w:rPr>
                <w:sz w:val="18"/>
                <w:szCs w:val="18"/>
                <w:vertAlign w:val="superscript"/>
              </w:rPr>
              <w:t>3</w:t>
            </w:r>
            <w:r w:rsidRPr="00611C6F">
              <w:rPr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603CDBA2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0.036 ± 0.004</w:t>
            </w:r>
          </w:p>
        </w:tc>
        <w:tc>
          <w:tcPr>
            <w:tcW w:w="1201" w:type="dxa"/>
          </w:tcPr>
          <w:p w14:paraId="19C2B2FD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0.038 ± 0.003</w:t>
            </w:r>
          </w:p>
        </w:tc>
        <w:tc>
          <w:tcPr>
            <w:tcW w:w="1220" w:type="dxa"/>
          </w:tcPr>
          <w:p w14:paraId="5D596548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0.044 ± 0.005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8" w:type="dxa"/>
          </w:tcPr>
          <w:p w14:paraId="498F5F09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0.042 ± 0.004</w:t>
            </w:r>
            <w:r w:rsidRPr="00611C6F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997" w:type="dxa"/>
          </w:tcPr>
          <w:p w14:paraId="1C3DBAFB" w14:textId="77777777" w:rsidR="006D550B" w:rsidRPr="00611C6F" w:rsidRDefault="006D550B" w:rsidP="00EB7A52">
            <w:pPr>
              <w:rPr>
                <w:b/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tcW w:w="1050" w:type="dxa"/>
          </w:tcPr>
          <w:p w14:paraId="073AF971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sz w:val="18"/>
                <w:szCs w:val="18"/>
              </w:rPr>
              <w:t>0.857</w:t>
            </w:r>
          </w:p>
        </w:tc>
        <w:tc>
          <w:tcPr>
            <w:tcW w:w="1064" w:type="dxa"/>
          </w:tcPr>
          <w:p w14:paraId="7C8017BF" w14:textId="77777777" w:rsidR="006D550B" w:rsidRPr="00611C6F" w:rsidRDefault="006D550B" w:rsidP="00EB7A52">
            <w:pPr>
              <w:rPr>
                <w:sz w:val="18"/>
                <w:szCs w:val="18"/>
              </w:rPr>
            </w:pPr>
            <w:r w:rsidRPr="00611C6F">
              <w:rPr>
                <w:b/>
                <w:sz w:val="18"/>
                <w:szCs w:val="18"/>
              </w:rPr>
              <w:t>0.043</w:t>
            </w:r>
          </w:p>
        </w:tc>
      </w:tr>
      <w:tr w:rsidR="006D550B" w:rsidRPr="00A26AD4" w14:paraId="2C751C43" w14:textId="77777777" w:rsidTr="00EB7A52">
        <w:trPr>
          <w:jc w:val="center"/>
        </w:trPr>
        <w:tc>
          <w:tcPr>
            <w:tcW w:w="9555" w:type="dxa"/>
            <w:gridSpan w:val="8"/>
          </w:tcPr>
          <w:p w14:paraId="2351EE9E" w14:textId="77777777" w:rsidR="006D550B" w:rsidRPr="00611C6F" w:rsidRDefault="006D550B" w:rsidP="00EB7A52">
            <w:pPr>
              <w:rPr>
                <w:sz w:val="20"/>
                <w:szCs w:val="20"/>
              </w:rPr>
            </w:pPr>
            <w:r w:rsidRPr="00611C6F">
              <w:rPr>
                <w:sz w:val="20"/>
                <w:szCs w:val="20"/>
              </w:rPr>
              <w:t xml:space="preserve">The sample size for </w:t>
            </w:r>
            <w:proofErr w:type="spellStart"/>
            <w:r w:rsidRPr="00611C6F">
              <w:rPr>
                <w:sz w:val="20"/>
                <w:szCs w:val="20"/>
              </w:rPr>
              <w:t>microCT</w:t>
            </w:r>
            <w:proofErr w:type="spellEnd"/>
            <w:r w:rsidRPr="00611C6F">
              <w:rPr>
                <w:sz w:val="20"/>
                <w:szCs w:val="20"/>
              </w:rPr>
              <w:t xml:space="preserve"> parameters are as follows:</w:t>
            </w:r>
          </w:p>
          <w:p w14:paraId="193BF9B8" w14:textId="77777777" w:rsidR="006D550B" w:rsidRPr="00611C6F" w:rsidRDefault="006D550B" w:rsidP="00EB7A52">
            <w:pPr>
              <w:rPr>
                <w:sz w:val="20"/>
                <w:szCs w:val="20"/>
              </w:rPr>
            </w:pPr>
            <w:r w:rsidRPr="00611C6F">
              <w:rPr>
                <w:sz w:val="20"/>
                <w:szCs w:val="20"/>
              </w:rPr>
              <w:t xml:space="preserve">n=10, 10, 10, 9 for male </w:t>
            </w:r>
            <w:proofErr w:type="spellStart"/>
            <w:r w:rsidRPr="00611C6F">
              <w:rPr>
                <w:sz w:val="20"/>
                <w:szCs w:val="20"/>
              </w:rPr>
              <w:t>WT+vehicle</w:t>
            </w:r>
            <w:proofErr w:type="spellEnd"/>
            <w:r w:rsidRPr="00611C6F">
              <w:rPr>
                <w:sz w:val="20"/>
                <w:szCs w:val="20"/>
              </w:rPr>
              <w:t xml:space="preserve">, </w:t>
            </w:r>
            <w:proofErr w:type="spellStart"/>
            <w:r w:rsidRPr="00611C6F">
              <w:rPr>
                <w:sz w:val="20"/>
                <w:szCs w:val="20"/>
              </w:rPr>
              <w:t>WT+Scl-Ab</w:t>
            </w:r>
            <w:proofErr w:type="spellEnd"/>
            <w:r w:rsidRPr="00611C6F">
              <w:rPr>
                <w:sz w:val="20"/>
                <w:szCs w:val="20"/>
              </w:rPr>
              <w:t xml:space="preserve">, </w:t>
            </w:r>
            <w:proofErr w:type="spellStart"/>
            <w:r w:rsidRPr="00611C6F">
              <w:rPr>
                <w:sz w:val="20"/>
                <w:szCs w:val="20"/>
              </w:rPr>
              <w:t>Hyp+vehicle</w:t>
            </w:r>
            <w:proofErr w:type="spellEnd"/>
            <w:r w:rsidRPr="00611C6F">
              <w:rPr>
                <w:sz w:val="20"/>
                <w:szCs w:val="20"/>
              </w:rPr>
              <w:t xml:space="preserve">, </w:t>
            </w:r>
            <w:proofErr w:type="spellStart"/>
            <w:r w:rsidRPr="00611C6F">
              <w:rPr>
                <w:sz w:val="20"/>
                <w:szCs w:val="20"/>
              </w:rPr>
              <w:t>Hyp+Scl-Ab</w:t>
            </w:r>
            <w:proofErr w:type="spellEnd"/>
            <w:r w:rsidRPr="00611C6F">
              <w:rPr>
                <w:sz w:val="20"/>
                <w:szCs w:val="20"/>
              </w:rPr>
              <w:t xml:space="preserve"> and n=13, 13, 13, 8 for female </w:t>
            </w:r>
            <w:proofErr w:type="spellStart"/>
            <w:r w:rsidRPr="00611C6F">
              <w:rPr>
                <w:sz w:val="20"/>
                <w:szCs w:val="20"/>
              </w:rPr>
              <w:t>WT+vehicle</w:t>
            </w:r>
            <w:proofErr w:type="spellEnd"/>
            <w:r w:rsidRPr="00611C6F">
              <w:rPr>
                <w:sz w:val="20"/>
                <w:szCs w:val="20"/>
              </w:rPr>
              <w:t xml:space="preserve">, </w:t>
            </w:r>
            <w:proofErr w:type="spellStart"/>
            <w:r w:rsidRPr="00611C6F">
              <w:rPr>
                <w:sz w:val="20"/>
                <w:szCs w:val="20"/>
              </w:rPr>
              <w:t>WT+Scl-Ab</w:t>
            </w:r>
            <w:proofErr w:type="spellEnd"/>
            <w:r w:rsidRPr="00611C6F">
              <w:rPr>
                <w:sz w:val="20"/>
                <w:szCs w:val="20"/>
              </w:rPr>
              <w:t xml:space="preserve">, </w:t>
            </w:r>
            <w:proofErr w:type="spellStart"/>
            <w:r w:rsidRPr="00611C6F">
              <w:rPr>
                <w:sz w:val="20"/>
                <w:szCs w:val="20"/>
              </w:rPr>
              <w:t>Hyp+vehicle</w:t>
            </w:r>
            <w:proofErr w:type="spellEnd"/>
            <w:r w:rsidRPr="00611C6F">
              <w:rPr>
                <w:sz w:val="20"/>
                <w:szCs w:val="20"/>
              </w:rPr>
              <w:t xml:space="preserve">, </w:t>
            </w:r>
            <w:proofErr w:type="spellStart"/>
            <w:r w:rsidRPr="00611C6F">
              <w:rPr>
                <w:sz w:val="20"/>
                <w:szCs w:val="20"/>
              </w:rPr>
              <w:t>Hyp+Scl-Ab</w:t>
            </w:r>
            <w:proofErr w:type="spellEnd"/>
          </w:p>
          <w:p w14:paraId="2CE7C4E9" w14:textId="77777777" w:rsidR="006D550B" w:rsidRPr="00611C6F" w:rsidRDefault="006D550B" w:rsidP="00EB7A52">
            <w:pPr>
              <w:rPr>
                <w:sz w:val="20"/>
                <w:szCs w:val="20"/>
              </w:rPr>
            </w:pPr>
            <w:proofErr w:type="spellStart"/>
            <w:r w:rsidRPr="00611C6F">
              <w:rPr>
                <w:sz w:val="20"/>
                <w:szCs w:val="20"/>
                <w:vertAlign w:val="superscript"/>
              </w:rPr>
              <w:t>a</w:t>
            </w:r>
            <w:proofErr w:type="spellEnd"/>
            <w:r w:rsidRPr="00611C6F">
              <w:rPr>
                <w:sz w:val="20"/>
                <w:szCs w:val="20"/>
              </w:rPr>
              <w:t xml:space="preserve"> Indicates significant differences between vehicle and Scl-Ab treated mice of the same genotype.</w:t>
            </w:r>
          </w:p>
          <w:p w14:paraId="5279F9E8" w14:textId="77777777" w:rsidR="006D550B" w:rsidRPr="00A26AD4" w:rsidRDefault="006D550B" w:rsidP="00EB7A52">
            <w:pPr>
              <w:rPr>
                <w:sz w:val="20"/>
                <w:szCs w:val="20"/>
              </w:rPr>
            </w:pPr>
            <w:r w:rsidRPr="00611C6F">
              <w:rPr>
                <w:sz w:val="20"/>
                <w:szCs w:val="20"/>
                <w:vertAlign w:val="superscript"/>
              </w:rPr>
              <w:t>b</w:t>
            </w:r>
            <w:r w:rsidRPr="00611C6F">
              <w:rPr>
                <w:sz w:val="20"/>
                <w:szCs w:val="20"/>
              </w:rPr>
              <w:t xml:space="preserve"> Indicates significant differences from vehicle treated WT mice.</w:t>
            </w:r>
          </w:p>
        </w:tc>
      </w:tr>
    </w:tbl>
    <w:p w14:paraId="32437A9A" w14:textId="2C8FF127" w:rsidR="009263E9" w:rsidRDefault="009263E9" w:rsidP="00E42B7B">
      <w:pPr>
        <w:rPr>
          <w:sz w:val="20"/>
          <w:szCs w:val="20"/>
        </w:rPr>
      </w:pPr>
    </w:p>
    <w:p w14:paraId="255409F5" w14:textId="5F54AD21" w:rsidR="009263E9" w:rsidRPr="00A26AD4" w:rsidRDefault="009263E9" w:rsidP="006D550B">
      <w:pPr>
        <w:spacing w:after="160" w:line="259" w:lineRule="auto"/>
        <w:rPr>
          <w:sz w:val="20"/>
          <w:szCs w:val="20"/>
        </w:rPr>
      </w:pPr>
    </w:p>
    <w:sectPr w:rsidR="009263E9" w:rsidRPr="00A26A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93DC22" w14:textId="77777777" w:rsidR="00E42B7B" w:rsidRDefault="00E42B7B" w:rsidP="00E42B7B">
      <w:pPr>
        <w:spacing w:line="240" w:lineRule="auto"/>
      </w:pPr>
      <w:r>
        <w:separator/>
      </w:r>
    </w:p>
  </w:endnote>
  <w:endnote w:type="continuationSeparator" w:id="0">
    <w:p w14:paraId="37CE7FB8" w14:textId="77777777" w:rsidR="00E42B7B" w:rsidRDefault="00E42B7B" w:rsidP="00E42B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187A59" w14:textId="77777777" w:rsidR="00E42B7B" w:rsidRDefault="00E42B7B" w:rsidP="00E42B7B">
      <w:pPr>
        <w:spacing w:line="240" w:lineRule="auto"/>
      </w:pPr>
      <w:r>
        <w:separator/>
      </w:r>
    </w:p>
  </w:footnote>
  <w:footnote w:type="continuationSeparator" w:id="0">
    <w:p w14:paraId="2131FD0B" w14:textId="77777777" w:rsidR="00E42B7B" w:rsidRDefault="00E42B7B" w:rsidP="00E42B7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C45B2"/>
    <w:multiLevelType w:val="hybridMultilevel"/>
    <w:tmpl w:val="A20E8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proofState w:spelling="clean" w:grammar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z5zpz99bv9fslewzpd5dwp2v0tr2awrz22f&quot;&gt;rick_sumner@rush.edu&lt;record-ids&gt;&lt;item&gt;9809&lt;/item&gt;&lt;item&gt;19453&lt;/item&gt;&lt;item&gt;19574&lt;/item&gt;&lt;/record-ids&gt;&lt;/item&gt;&lt;/Libraries&gt;"/>
  </w:docVars>
  <w:rsids>
    <w:rsidRoot w:val="00BB198A"/>
    <w:rsid w:val="00032317"/>
    <w:rsid w:val="000579AD"/>
    <w:rsid w:val="001615CB"/>
    <w:rsid w:val="001A53A0"/>
    <w:rsid w:val="001A65D9"/>
    <w:rsid w:val="001C0AEA"/>
    <w:rsid w:val="002078AC"/>
    <w:rsid w:val="002509A0"/>
    <w:rsid w:val="002A2920"/>
    <w:rsid w:val="003052AD"/>
    <w:rsid w:val="003056AE"/>
    <w:rsid w:val="0031299D"/>
    <w:rsid w:val="003A1B44"/>
    <w:rsid w:val="003D4015"/>
    <w:rsid w:val="003F43E6"/>
    <w:rsid w:val="00463A24"/>
    <w:rsid w:val="004754B0"/>
    <w:rsid w:val="00477BDD"/>
    <w:rsid w:val="00480B4A"/>
    <w:rsid w:val="0051384C"/>
    <w:rsid w:val="00534AFD"/>
    <w:rsid w:val="005373E5"/>
    <w:rsid w:val="00551E69"/>
    <w:rsid w:val="00583626"/>
    <w:rsid w:val="005D4A7F"/>
    <w:rsid w:val="00611C6F"/>
    <w:rsid w:val="00612E8A"/>
    <w:rsid w:val="006D550B"/>
    <w:rsid w:val="006D60B2"/>
    <w:rsid w:val="0084043E"/>
    <w:rsid w:val="008809E0"/>
    <w:rsid w:val="008C6100"/>
    <w:rsid w:val="009263E9"/>
    <w:rsid w:val="009771D3"/>
    <w:rsid w:val="009A0101"/>
    <w:rsid w:val="009B5671"/>
    <w:rsid w:val="00A0538A"/>
    <w:rsid w:val="00A1073B"/>
    <w:rsid w:val="00A26AD4"/>
    <w:rsid w:val="00A35835"/>
    <w:rsid w:val="00A77BF5"/>
    <w:rsid w:val="00AF4752"/>
    <w:rsid w:val="00B137F1"/>
    <w:rsid w:val="00B35D28"/>
    <w:rsid w:val="00B47E8C"/>
    <w:rsid w:val="00BB198A"/>
    <w:rsid w:val="00C064DF"/>
    <w:rsid w:val="00C32D6B"/>
    <w:rsid w:val="00D00885"/>
    <w:rsid w:val="00D12418"/>
    <w:rsid w:val="00D27050"/>
    <w:rsid w:val="00D27D6D"/>
    <w:rsid w:val="00DB0D57"/>
    <w:rsid w:val="00E1682F"/>
    <w:rsid w:val="00E175A0"/>
    <w:rsid w:val="00E32157"/>
    <w:rsid w:val="00E42B7B"/>
    <w:rsid w:val="00E50EDB"/>
    <w:rsid w:val="00EE170F"/>
    <w:rsid w:val="00EE2390"/>
    <w:rsid w:val="00F40EEB"/>
    <w:rsid w:val="00F5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5088C9A8"/>
  <w15:chartTrackingRefBased/>
  <w15:docId w15:val="{90C97DBC-E12F-4123-AE71-1CEC27563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00885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08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42B7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2B7B"/>
    <w:rPr>
      <w:rFonts w:ascii="Arial" w:eastAsia="Arial" w:hAnsi="Arial" w:cs="Arial"/>
      <w:lang w:val="en"/>
    </w:rPr>
  </w:style>
  <w:style w:type="paragraph" w:styleId="Footer">
    <w:name w:val="footer"/>
    <w:basedOn w:val="Normal"/>
    <w:link w:val="FooterChar"/>
    <w:uiPriority w:val="99"/>
    <w:unhideWhenUsed/>
    <w:rsid w:val="00E42B7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2B7B"/>
    <w:rPr>
      <w:rFonts w:ascii="Arial" w:eastAsia="Arial" w:hAnsi="Arial" w:cs="Arial"/>
      <w:lang w:val="en"/>
    </w:rPr>
  </w:style>
  <w:style w:type="paragraph" w:styleId="NoSpacing">
    <w:name w:val="No Spacing"/>
    <w:uiPriority w:val="1"/>
    <w:qFormat/>
    <w:rsid w:val="00EE2390"/>
    <w:pPr>
      <w:spacing w:after="0" w:line="240" w:lineRule="auto"/>
    </w:pPr>
    <w:rPr>
      <w:rFonts w:ascii="Arial" w:eastAsia="Arial" w:hAnsi="Arial" w:cs="Arial"/>
      <w:lang w:val="en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551E69"/>
    <w:rPr>
      <w:rFonts w:ascii="Arial" w:eastAsia="Arial" w:hAnsi="Arial" w:cs="Arial"/>
      <w:noProof/>
    </w:rPr>
  </w:style>
  <w:style w:type="paragraph" w:customStyle="1" w:styleId="EndNoteBibliography">
    <w:name w:val="EndNote Bibliography"/>
    <w:basedOn w:val="Normal"/>
    <w:link w:val="EndNoteBibliographyChar"/>
    <w:rsid w:val="00551E69"/>
    <w:pPr>
      <w:spacing w:line="240" w:lineRule="auto"/>
    </w:pPr>
    <w:rPr>
      <w:noProof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9A0101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A0101"/>
    <w:rPr>
      <w:rFonts w:ascii="Arial" w:eastAsia="Arial" w:hAnsi="Arial" w:cs="Arial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6D55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55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550B"/>
    <w:rPr>
      <w:rFonts w:ascii="Arial" w:eastAsia="Arial" w:hAnsi="Arial" w:cs="Arial"/>
      <w:sz w:val="20"/>
      <w:szCs w:val="20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550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50B"/>
    <w:rPr>
      <w:rFonts w:ascii="Segoe UI" w:eastAsia="Arial" w:hAnsi="Segoe UI" w:cs="Segoe UI"/>
      <w:sz w:val="18"/>
      <w:szCs w:val="18"/>
      <w:lang w:val="en"/>
    </w:rPr>
  </w:style>
  <w:style w:type="paragraph" w:styleId="ListParagraph">
    <w:name w:val="List Paragraph"/>
    <w:basedOn w:val="Normal"/>
    <w:uiPriority w:val="34"/>
    <w:qFormat/>
    <w:rsid w:val="003052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75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75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275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595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Kelsey A Carpenter</dc:creator>
  <cp:keywords/>
  <dc:description/>
  <cp:lastModifiedBy>Ryan Ross</cp:lastModifiedBy>
  <cp:revision>7</cp:revision>
  <dcterms:created xsi:type="dcterms:W3CDTF">2023-03-21T18:01:00Z</dcterms:created>
  <dcterms:modified xsi:type="dcterms:W3CDTF">2023-03-31T17:41:00Z</dcterms:modified>
</cp:coreProperties>
</file>