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0EBF5" w14:textId="77777777" w:rsidR="0037322F" w:rsidRDefault="0037322F" w:rsidP="0037322F">
      <w:pPr>
        <w:spacing w:line="276" w:lineRule="auto"/>
        <w:jc w:val="both"/>
        <w:rPr>
          <w:rFonts w:ascii="Arial" w:eastAsiaTheme="minorHAnsi" w:hAnsi="Arial" w:cs="Arial"/>
          <w:b/>
          <w:lang w:eastAsia="en-US"/>
        </w:rPr>
      </w:pPr>
      <w:r w:rsidRPr="00195BCE">
        <w:rPr>
          <w:rFonts w:ascii="Arial" w:eastAsiaTheme="minorHAnsi" w:hAnsi="Arial" w:cs="Arial"/>
          <w:b/>
          <w:lang w:eastAsia="en-US"/>
        </w:rPr>
        <w:t>Supplementary Material</w:t>
      </w:r>
    </w:p>
    <w:p w14:paraId="7238EF04" w14:textId="77777777" w:rsidR="0037322F" w:rsidRPr="00483CF3" w:rsidRDefault="0037322F" w:rsidP="0037322F">
      <w:pPr>
        <w:spacing w:line="276" w:lineRule="auto"/>
        <w:jc w:val="both"/>
        <w:rPr>
          <w:rFonts w:ascii="Arial" w:hAnsi="Arial" w:cs="Arial"/>
          <w:b/>
          <w:i/>
          <w:iCs/>
        </w:rPr>
      </w:pPr>
      <w:r w:rsidRPr="00483CF3">
        <w:rPr>
          <w:rFonts w:ascii="Arial" w:hAnsi="Arial" w:cs="Arial"/>
          <w:b/>
          <w:i/>
          <w:iCs/>
        </w:rPr>
        <w:t>Minimising Decalcification Time</w:t>
      </w:r>
    </w:p>
    <w:p w14:paraId="0D366491" w14:textId="77777777" w:rsidR="0037322F" w:rsidRPr="00CA4538" w:rsidRDefault="0037322F" w:rsidP="0037322F">
      <w:pPr>
        <w:spacing w:line="276" w:lineRule="auto"/>
        <w:ind w:firstLine="720"/>
        <w:jc w:val="both"/>
        <w:rPr>
          <w:rFonts w:ascii="Arial" w:hAnsi="Arial" w:cs="Arial"/>
          <w:b/>
          <w:i/>
          <w:iCs/>
        </w:rPr>
      </w:pPr>
      <w:r w:rsidRPr="006966C4">
        <w:rPr>
          <w:rFonts w:ascii="Arial" w:hAnsi="Arial" w:cs="Arial"/>
        </w:rPr>
        <w:t xml:space="preserve">To optimise the speed of </w:t>
      </w:r>
      <w:r>
        <w:rPr>
          <w:rFonts w:ascii="Arial" w:hAnsi="Arial" w:cs="Arial"/>
        </w:rPr>
        <w:t>Auto</w:t>
      </w:r>
      <w:r w:rsidRPr="006966C4">
        <w:rPr>
          <w:rFonts w:ascii="Arial" w:hAnsi="Arial" w:cs="Arial"/>
        </w:rPr>
        <w:t>ZooMS</w:t>
      </w:r>
      <w:r>
        <w:rPr>
          <w:rFonts w:ascii="Arial" w:hAnsi="Arial" w:cs="Arial"/>
        </w:rPr>
        <w:t>,</w:t>
      </w:r>
      <w:r w:rsidRPr="006966C4">
        <w:rPr>
          <w:rFonts w:ascii="Arial" w:hAnsi="Arial" w:cs="Arial"/>
        </w:rPr>
        <w:t xml:space="preserve"> an investigation into the minimum required decalcification time was conducted. Bone fra</w:t>
      </w:r>
      <w:r>
        <w:rPr>
          <w:rFonts w:ascii="Arial" w:hAnsi="Arial" w:cs="Arial"/>
        </w:rPr>
        <w:t>gments (n=24) were place in 5 mL</w:t>
      </w:r>
      <w:r w:rsidRPr="006966C4">
        <w:rPr>
          <w:rFonts w:ascii="Arial" w:hAnsi="Arial" w:cs="Arial"/>
        </w:rPr>
        <w:t xml:space="preserve"> Eppen</w:t>
      </w:r>
      <w:r>
        <w:rPr>
          <w:rFonts w:ascii="Arial" w:hAnsi="Arial" w:cs="Arial"/>
        </w:rPr>
        <w:t>dorf tubes and 4 mL of 0.6 M HCl</w:t>
      </w:r>
      <w:r w:rsidRPr="006966C4">
        <w:rPr>
          <w:rFonts w:ascii="Arial" w:hAnsi="Arial" w:cs="Arial"/>
        </w:rPr>
        <w:t xml:space="preserve"> was added. Then at 2-, 4-,</w:t>
      </w:r>
      <w:r>
        <w:rPr>
          <w:rFonts w:ascii="Arial" w:hAnsi="Arial" w:cs="Arial"/>
        </w:rPr>
        <w:t xml:space="preserve"> 6- and 24-hour intervals 0.3 mL</w:t>
      </w:r>
      <w:r w:rsidRPr="006966C4">
        <w:rPr>
          <w:rFonts w:ascii="Arial" w:hAnsi="Arial" w:cs="Arial"/>
        </w:rPr>
        <w:t xml:space="preserve"> of acid was removed and frozen. After the final acid had been removed, samples were thawed, and a protein assay was performed</w:t>
      </w:r>
      <w:r w:rsidRPr="00EA34AF">
        <w:rPr>
          <w:rFonts w:ascii="Arial" w:hAnsi="Arial" w:cs="Arial"/>
        </w:rPr>
        <w:t xml:space="preserve"> using an Invitrogen Qubit Protein Assay Kit and a Qubit 2.0 Fluorometer (Thermofisher Scientific, UK). Protein assay was performed as by product specification. Protein quantification was performed on 24 acid-soluble protein samples</w:t>
      </w:r>
      <w:r w:rsidRPr="00483CF3">
        <w:rPr>
          <w:rFonts w:ascii="Arial" w:hAnsi="Arial" w:cs="Arial"/>
        </w:rPr>
        <w:t>.</w:t>
      </w:r>
      <w:r>
        <w:rPr>
          <w:rFonts w:ascii="Arial" w:hAnsi="Arial" w:cs="Arial"/>
          <w:b/>
          <w:i/>
          <w:iCs/>
        </w:rPr>
        <w:t xml:space="preserve"> </w:t>
      </w:r>
      <w:r w:rsidRPr="006966C4">
        <w:rPr>
          <w:rFonts w:ascii="Arial" w:hAnsi="Arial" w:cs="Arial"/>
        </w:rPr>
        <w:t>Protein concentration at both 6- and 24-hours was significantly higher than protein concentration at 2- and 4-hours (2~6: p&lt;0.01, 2~24: p&lt;0.0001, 4~6: p&lt;0.01, 4~24: p&lt;0.01). No significant difference in protein concentration was recorded between 2</w:t>
      </w:r>
      <w:r>
        <w:rPr>
          <w:rFonts w:ascii="Arial" w:hAnsi="Arial" w:cs="Arial"/>
        </w:rPr>
        <w:t>-</w:t>
      </w:r>
      <w:r w:rsidRPr="006966C4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Pr="006966C4">
        <w:rPr>
          <w:rFonts w:ascii="Arial" w:hAnsi="Arial" w:cs="Arial"/>
        </w:rPr>
        <w:t xml:space="preserve">hours, and </w:t>
      </w:r>
      <w:r>
        <w:rPr>
          <w:rFonts w:ascii="Arial" w:hAnsi="Arial" w:cs="Arial"/>
        </w:rPr>
        <w:t xml:space="preserve">between </w:t>
      </w:r>
      <w:r w:rsidRPr="006966C4">
        <w:rPr>
          <w:rFonts w:ascii="Arial" w:hAnsi="Arial" w:cs="Arial"/>
        </w:rPr>
        <w:t>6-24</w:t>
      </w:r>
      <w:r>
        <w:rPr>
          <w:rFonts w:ascii="Arial" w:hAnsi="Arial" w:cs="Arial"/>
        </w:rPr>
        <w:t xml:space="preserve"> </w:t>
      </w:r>
      <w:r w:rsidRPr="006966C4">
        <w:rPr>
          <w:rFonts w:ascii="Arial" w:hAnsi="Arial" w:cs="Arial"/>
        </w:rPr>
        <w:t>hour</w:t>
      </w:r>
      <w:r>
        <w:rPr>
          <w:rFonts w:ascii="Arial" w:hAnsi="Arial" w:cs="Arial"/>
        </w:rPr>
        <w:t xml:space="preserve">s respectively (p&gt;0.05 for all), indicating </w:t>
      </w:r>
      <w:r w:rsidRPr="006966C4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 xml:space="preserve">a </w:t>
      </w:r>
      <w:r w:rsidRPr="006966C4">
        <w:rPr>
          <w:rFonts w:ascii="Arial" w:hAnsi="Arial" w:cs="Arial"/>
        </w:rPr>
        <w:t xml:space="preserve">6-hour decalcification </w:t>
      </w:r>
      <w:r>
        <w:rPr>
          <w:rFonts w:ascii="Arial" w:hAnsi="Arial" w:cs="Arial"/>
        </w:rPr>
        <w:t>could be considered adequate.</w:t>
      </w:r>
    </w:p>
    <w:p w14:paraId="7ABCC8BE" w14:textId="77777777" w:rsidR="0037322F" w:rsidRPr="006966C4" w:rsidRDefault="0037322F" w:rsidP="0037322F">
      <w:pPr>
        <w:spacing w:line="276" w:lineRule="auto"/>
        <w:ind w:firstLine="720"/>
        <w:jc w:val="both"/>
        <w:rPr>
          <w:rFonts w:ascii="Arial" w:hAnsi="Arial" w:cs="Arial"/>
        </w:rPr>
      </w:pPr>
    </w:p>
    <w:p w14:paraId="376E1876" w14:textId="77777777" w:rsidR="0037322F" w:rsidRPr="006966C4" w:rsidRDefault="0037322F" w:rsidP="0037322F">
      <w:pPr>
        <w:spacing w:line="276" w:lineRule="auto"/>
        <w:jc w:val="center"/>
        <w:rPr>
          <w:rFonts w:ascii="Arial" w:hAnsi="Arial" w:cs="Arial"/>
          <w:i/>
          <w:iCs/>
        </w:rPr>
      </w:pPr>
      <w:r w:rsidRPr="006966C4">
        <w:rPr>
          <w:rFonts w:ascii="Arial" w:hAnsi="Arial" w:cs="Arial"/>
          <w:i/>
          <w:iCs/>
          <w:noProof/>
        </w:rPr>
        <w:drawing>
          <wp:inline distT="0" distB="0" distL="0" distR="0" wp14:anchorId="32E255F8" wp14:editId="3008E4DC">
            <wp:extent cx="4381500" cy="2843654"/>
            <wp:effectExtent l="0" t="0" r="0" b="0"/>
            <wp:docPr id="25" name="Picture 25" descr="Chart, bar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hart, bar chart, box and whiske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471" cy="284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D2F07" w14:textId="77777777" w:rsidR="0037322F" w:rsidRDefault="0037322F" w:rsidP="0037322F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83CF3">
        <w:rPr>
          <w:rFonts w:ascii="Arial" w:hAnsi="Arial" w:cs="Arial"/>
          <w:b/>
          <w:bCs/>
          <w:sz w:val="20"/>
          <w:szCs w:val="20"/>
        </w:rPr>
        <w:t>Figure S1: The mean acid-soluble protein concentration of samples after 2-, 4-, 6- and 24-hours decalcification.</w:t>
      </w:r>
      <w:r>
        <w:rPr>
          <w:rFonts w:ascii="Arial" w:hAnsi="Arial" w:cs="Arial"/>
          <w:bCs/>
          <w:sz w:val="20"/>
          <w:szCs w:val="20"/>
        </w:rPr>
        <w:t xml:space="preserve"> A and B lettering indicates groups of statistical significance.</w:t>
      </w:r>
      <w:r w:rsidRPr="00483CF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FF1CFF3" w14:textId="77777777" w:rsidR="0037322F" w:rsidRPr="00483CF3" w:rsidRDefault="0037322F" w:rsidP="0037322F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AC35DCA" w14:textId="77777777" w:rsidR="0037322F" w:rsidRPr="00483CF3" w:rsidRDefault="0037322F" w:rsidP="0037322F">
      <w:pPr>
        <w:spacing w:line="276" w:lineRule="auto"/>
        <w:jc w:val="both"/>
        <w:rPr>
          <w:rFonts w:ascii="Arial" w:hAnsi="Arial" w:cs="Arial"/>
          <w:b/>
          <w:i/>
          <w:iCs/>
        </w:rPr>
      </w:pPr>
      <w:r w:rsidRPr="00483CF3">
        <w:rPr>
          <w:rFonts w:ascii="Arial" w:hAnsi="Arial" w:cs="Arial"/>
          <w:b/>
          <w:i/>
          <w:iCs/>
        </w:rPr>
        <w:t>Minimising Enzymatic Digestion Time</w:t>
      </w:r>
    </w:p>
    <w:p w14:paraId="63F1F748" w14:textId="77777777" w:rsidR="0037322F" w:rsidRPr="006966C4" w:rsidRDefault="0037322F" w:rsidP="0037322F">
      <w:pPr>
        <w:spacing w:line="276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As</w:t>
      </w:r>
      <w:r w:rsidRPr="006966C4">
        <w:rPr>
          <w:rFonts w:ascii="Arial" w:hAnsi="Arial" w:cs="Arial"/>
        </w:rPr>
        <w:t xml:space="preserve"> ZooMS is typically performed with overnight </w:t>
      </w:r>
      <w:r>
        <w:rPr>
          <w:rFonts w:ascii="Arial" w:hAnsi="Arial" w:cs="Arial"/>
        </w:rPr>
        <w:t xml:space="preserve">(~18-24 hour) </w:t>
      </w:r>
      <w:r w:rsidRPr="006966C4">
        <w:rPr>
          <w:rFonts w:ascii="Arial" w:hAnsi="Arial" w:cs="Arial"/>
        </w:rPr>
        <w:t>digest</w:t>
      </w:r>
      <w:r>
        <w:rPr>
          <w:rFonts w:ascii="Arial" w:hAnsi="Arial" w:cs="Arial"/>
        </w:rPr>
        <w:t>s at 37 ˚C, we evaluated r</w:t>
      </w:r>
      <w:r w:rsidRPr="006966C4">
        <w:rPr>
          <w:rFonts w:ascii="Arial" w:hAnsi="Arial" w:cs="Arial"/>
        </w:rPr>
        <w:t xml:space="preserve">educing this time </w:t>
      </w:r>
      <w:r>
        <w:rPr>
          <w:rFonts w:ascii="Arial" w:hAnsi="Arial" w:cs="Arial"/>
        </w:rPr>
        <w:t xml:space="preserve">to </w:t>
      </w:r>
      <w:r w:rsidRPr="006966C4">
        <w:rPr>
          <w:rFonts w:ascii="Arial" w:hAnsi="Arial" w:cs="Arial"/>
        </w:rPr>
        <w:t>2-, 4-, 6- and 24-hour intervals</w:t>
      </w:r>
      <w:r>
        <w:rPr>
          <w:rFonts w:ascii="Arial" w:hAnsi="Arial" w:cs="Arial"/>
        </w:rPr>
        <w:t xml:space="preserve"> (Supplementary Figure S2)</w:t>
      </w:r>
      <w:r w:rsidRPr="006966C4">
        <w:rPr>
          <w:rFonts w:ascii="Arial" w:hAnsi="Arial" w:cs="Arial"/>
        </w:rPr>
        <w:t>. The success rate of collagen fingerprinting was identical across 2, 6 and 24 hours, while the success rate at 4-hours tryps</w:t>
      </w:r>
      <w:r>
        <w:rPr>
          <w:rFonts w:ascii="Arial" w:hAnsi="Arial" w:cs="Arial"/>
        </w:rPr>
        <w:t>in digest was slightly higher; t</w:t>
      </w:r>
      <w:r w:rsidRPr="006966C4">
        <w:rPr>
          <w:rFonts w:ascii="Arial" w:hAnsi="Arial" w:cs="Arial"/>
        </w:rPr>
        <w:t xml:space="preserve">hese results indicate that </w:t>
      </w:r>
      <w:r>
        <w:rPr>
          <w:rFonts w:ascii="Arial" w:hAnsi="Arial" w:cs="Arial"/>
        </w:rPr>
        <w:t xml:space="preserve">2 </w:t>
      </w:r>
      <w:r w:rsidRPr="006966C4">
        <w:rPr>
          <w:rFonts w:ascii="Arial" w:hAnsi="Arial" w:cs="Arial"/>
        </w:rPr>
        <w:t>hour</w:t>
      </w:r>
      <w:r>
        <w:rPr>
          <w:rFonts w:ascii="Arial" w:hAnsi="Arial" w:cs="Arial"/>
        </w:rPr>
        <w:t>’</w:t>
      </w:r>
      <w:r w:rsidRPr="006966C4">
        <w:rPr>
          <w:rFonts w:ascii="Arial" w:hAnsi="Arial" w:cs="Arial"/>
        </w:rPr>
        <w:t xml:space="preserve">s digestion time </w:t>
      </w:r>
      <w:r>
        <w:rPr>
          <w:rFonts w:ascii="Arial" w:hAnsi="Arial" w:cs="Arial"/>
        </w:rPr>
        <w:t>would be adequate.</w:t>
      </w:r>
    </w:p>
    <w:p w14:paraId="54A86A62" w14:textId="77777777" w:rsidR="0037322F" w:rsidRPr="006966C4" w:rsidRDefault="0037322F" w:rsidP="0037322F">
      <w:pPr>
        <w:spacing w:line="276" w:lineRule="auto"/>
        <w:jc w:val="both"/>
        <w:rPr>
          <w:rFonts w:ascii="Arial" w:hAnsi="Arial" w:cs="Arial"/>
        </w:rPr>
      </w:pPr>
    </w:p>
    <w:p w14:paraId="5C061AA6" w14:textId="77777777" w:rsidR="0037322F" w:rsidRPr="006966C4" w:rsidRDefault="0037322F" w:rsidP="0037322F">
      <w:pPr>
        <w:spacing w:line="276" w:lineRule="auto"/>
        <w:jc w:val="center"/>
        <w:rPr>
          <w:rFonts w:ascii="Arial" w:hAnsi="Arial" w:cs="Arial"/>
          <w:i/>
          <w:iCs/>
        </w:rPr>
      </w:pPr>
      <w:r w:rsidRPr="006966C4">
        <w:rPr>
          <w:rFonts w:ascii="Arial" w:hAnsi="Arial" w:cs="Arial"/>
          <w:i/>
          <w:iCs/>
          <w:noProof/>
        </w:rPr>
        <w:lastRenderedPageBreak/>
        <w:drawing>
          <wp:inline distT="0" distB="0" distL="0" distR="0" wp14:anchorId="604096A0" wp14:editId="28DF55A3">
            <wp:extent cx="5682663" cy="2659380"/>
            <wp:effectExtent l="0" t="0" r="0" b="7620"/>
            <wp:docPr id="61" name="Picture 6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Chart, bar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511" cy="266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94577" w14:textId="77777777" w:rsidR="0037322F" w:rsidRPr="006966C4" w:rsidRDefault="0037322F" w:rsidP="0037322F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3D2AED67" w14:textId="77777777" w:rsidR="0037322F" w:rsidRPr="00B44EA9" w:rsidRDefault="0037322F" w:rsidP="0037322F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Figure S2: </w:t>
      </w:r>
      <w:r w:rsidRPr="00483CF3">
        <w:rPr>
          <w:rFonts w:ascii="Arial" w:hAnsi="Arial" w:cs="Arial"/>
          <w:b/>
          <w:sz w:val="20"/>
          <w:szCs w:val="20"/>
        </w:rPr>
        <w:t>Rate of automated ZooMS success and failure across 2-, 4-, 6- and 24-</w:t>
      </w:r>
      <w:r>
        <w:rPr>
          <w:rFonts w:ascii="Arial" w:hAnsi="Arial" w:cs="Arial"/>
          <w:b/>
          <w:sz w:val="20"/>
          <w:szCs w:val="20"/>
        </w:rPr>
        <w:t>hour digestion times (n = 24), using 2 µL</w:t>
      </w:r>
      <w:r w:rsidRPr="00483CF3">
        <w:rPr>
          <w:rFonts w:ascii="Arial" w:hAnsi="Arial" w:cs="Arial"/>
          <w:b/>
          <w:sz w:val="20"/>
          <w:szCs w:val="20"/>
        </w:rPr>
        <w:t xml:space="preserve"> of </w:t>
      </w:r>
      <w:r>
        <w:rPr>
          <w:rFonts w:ascii="Arial" w:hAnsi="Arial" w:cs="Arial"/>
          <w:b/>
          <w:sz w:val="20"/>
          <w:szCs w:val="20"/>
        </w:rPr>
        <w:t>0.04</w:t>
      </w:r>
      <w:r w:rsidRPr="00483CF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µg</w:t>
      </w:r>
      <w:r w:rsidRPr="00483CF3">
        <w:rPr>
          <w:rFonts w:ascii="Arial" w:hAnsi="Arial" w:cs="Arial"/>
          <w:b/>
          <w:sz w:val="20"/>
          <w:szCs w:val="20"/>
        </w:rPr>
        <w:t xml:space="preserve"> tryps</w:t>
      </w:r>
      <w:r>
        <w:rPr>
          <w:rFonts w:ascii="Arial" w:hAnsi="Arial" w:cs="Arial"/>
          <w:b/>
          <w:sz w:val="20"/>
          <w:szCs w:val="20"/>
        </w:rPr>
        <w:t>in.</w:t>
      </w:r>
    </w:p>
    <w:p w14:paraId="7A8CD7A3" w14:textId="77777777" w:rsidR="001760E5" w:rsidRDefault="0037322F"/>
    <w:sectPr w:rsidR="001760E5" w:rsidSect="00792314">
      <w:footerReference w:type="even" r:id="rId6"/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757914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E51C11" w14:textId="77777777" w:rsidR="00841193" w:rsidRDefault="0037322F" w:rsidP="0084119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2728773" w14:textId="77777777" w:rsidR="00841193" w:rsidRDefault="003732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20"/>
        <w:szCs w:val="20"/>
      </w:rPr>
      <w:id w:val="-201444382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C9D36D" w14:textId="77777777" w:rsidR="00FC3392" w:rsidRPr="00FC3392" w:rsidRDefault="0037322F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392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FC339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C3392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FC339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13</w:t>
            </w:r>
            <w:r w:rsidRPr="00FC339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C3392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FC339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C3392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FC339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18</w:t>
            </w:r>
            <w:r w:rsidRPr="00FC339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CC10916" w14:textId="77777777" w:rsidR="00FC3392" w:rsidRDefault="0037322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2F"/>
    <w:rsid w:val="0037322F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A1C3A"/>
  <w15:chartTrackingRefBased/>
  <w15:docId w15:val="{F6C5A662-5BF3-4DAC-9BC3-BFD6BD8F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732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22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37322F"/>
  </w:style>
  <w:style w:type="character" w:styleId="LineNumber">
    <w:name w:val="line number"/>
    <w:basedOn w:val="DefaultParagraphFont"/>
    <w:uiPriority w:val="99"/>
    <w:semiHidden/>
    <w:unhideWhenUsed/>
    <w:rsid w:val="00373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1543</Characters>
  <Application>Microsoft Office Word</Application>
  <DocSecurity>0</DocSecurity>
  <Lines>12</Lines>
  <Paragraphs>3</Paragraphs>
  <ScaleCrop>false</ScaleCrop>
  <Company>Springer Nature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2023-04-06T15:58:00Z</dcterms:created>
  <dcterms:modified xsi:type="dcterms:W3CDTF">2023-04-06T15:58:00Z</dcterms:modified>
</cp:coreProperties>
</file>